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png" ContentType="image/png"/>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8"/>
        <w:ind w:left="118" w:right="0" w:firstLine="0"/>
        <w:jc w:val="left"/>
        <w:rPr>
          <w:sz w:val="27"/>
        </w:rPr>
      </w:pPr>
      <w:r>
        <w:rPr>
          <w:sz w:val="27"/>
        </w:rPr>
        <w:t>防疫學苑系列○○○</w:t>
      </w:r>
    </w:p>
    <w:p>
      <w:pPr>
        <w:pStyle w:val="BodyText"/>
        <w:spacing w:before="17"/>
        <w:rPr>
          <w:sz w:val="40"/>
        </w:rPr>
      </w:pPr>
    </w:p>
    <w:p>
      <w:pPr>
        <w:spacing w:line="1171" w:lineRule="exact" w:before="1"/>
        <w:ind w:left="143" w:right="334" w:firstLine="0"/>
        <w:jc w:val="center"/>
        <w:rPr>
          <w:sz w:val="72"/>
        </w:rPr>
      </w:pPr>
      <w:r>
        <w:rPr>
          <w:sz w:val="72"/>
        </w:rPr>
        <w:t>結核病診治指引</w:t>
      </w:r>
    </w:p>
    <w:p>
      <w:pPr>
        <w:spacing w:line="582" w:lineRule="exact" w:before="0"/>
        <w:ind w:left="275" w:right="332" w:firstLine="0"/>
        <w:jc w:val="center"/>
        <w:rPr>
          <w:sz w:val="40"/>
        </w:rPr>
      </w:pPr>
      <w:r>
        <w:rPr>
          <w:sz w:val="40"/>
        </w:rPr>
        <w:t>Taiwan Guidelines for TB Diagnosis &amp; Treatment</w:t>
      </w:r>
    </w:p>
    <w:p>
      <w:pPr>
        <w:spacing w:before="352"/>
        <w:ind w:left="275" w:right="334" w:firstLine="0"/>
        <w:jc w:val="center"/>
        <w:rPr>
          <w:sz w:val="40"/>
        </w:rPr>
      </w:pPr>
      <w:r>
        <w:rPr>
          <w:sz w:val="40"/>
        </w:rPr>
        <w:t>第七版</w:t>
      </w:r>
    </w:p>
    <w:p>
      <w:pPr>
        <w:tabs>
          <w:tab w:pos="3570" w:val="left" w:leader="none"/>
          <w:tab w:pos="4370" w:val="left" w:leader="none"/>
          <w:tab w:pos="6880" w:val="left" w:leader="none"/>
        </w:tabs>
        <w:spacing w:line="326" w:lineRule="auto" w:before="345"/>
        <w:ind w:left="2371" w:right="2427" w:firstLine="0"/>
        <w:jc w:val="center"/>
        <w:rPr>
          <w:sz w:val="40"/>
        </w:rPr>
      </w:pPr>
      <w:r>
        <w:rPr>
          <w:b/>
          <w:sz w:val="40"/>
        </w:rPr>
        <w:t>衛生福利部疾病管制署</w:t>
        <w:tab/>
      </w:r>
      <w:r>
        <w:rPr>
          <w:b/>
          <w:spacing w:val="-17"/>
          <w:sz w:val="40"/>
        </w:rPr>
        <w:t>編</w:t>
      </w:r>
      <w:r>
        <w:rPr>
          <w:b/>
          <w:sz w:val="40"/>
        </w:rPr>
        <w:t>主</w:t>
        <w:tab/>
        <w:t>編</w:t>
        <w:tab/>
      </w:r>
      <w:r>
        <w:rPr>
          <w:sz w:val="40"/>
        </w:rPr>
        <w:t>江振源</w:t>
      </w:r>
    </w:p>
    <w:p>
      <w:pPr>
        <w:spacing w:line="735" w:lineRule="exact" w:before="0"/>
        <w:ind w:left="275" w:right="332" w:firstLine="0"/>
        <w:jc w:val="center"/>
        <w:rPr>
          <w:b/>
          <w:sz w:val="40"/>
        </w:rPr>
      </w:pPr>
      <w:r>
        <w:rPr>
          <w:b/>
          <w:sz w:val="40"/>
        </w:rPr>
        <w:t>編輯委員群</w:t>
      </w:r>
    </w:p>
    <w:p>
      <w:pPr>
        <w:pStyle w:val="BodyText"/>
        <w:spacing w:before="57"/>
        <w:ind w:left="275" w:right="334"/>
        <w:jc w:val="center"/>
      </w:pPr>
      <w:r>
        <w:rPr/>
        <w:t>（依姓氏筆畫排序）</w:t>
      </w:r>
    </w:p>
    <w:p>
      <w:pPr>
        <w:pStyle w:val="BodyText"/>
        <w:spacing w:before="10"/>
        <w:rPr>
          <w:sz w:val="3"/>
        </w:rPr>
      </w:pPr>
    </w:p>
    <w:tbl>
      <w:tblPr>
        <w:tblW w:w="0" w:type="auto"/>
        <w:jc w:val="left"/>
        <w:tblInd w:w="20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9"/>
        <w:gridCol w:w="1399"/>
        <w:gridCol w:w="1399"/>
        <w:gridCol w:w="1349"/>
      </w:tblGrid>
      <w:tr>
        <w:trPr>
          <w:trHeight w:val="575" w:hRule="atLeast"/>
        </w:trPr>
        <w:tc>
          <w:tcPr>
            <w:tcW w:w="1349" w:type="dxa"/>
          </w:tcPr>
          <w:p>
            <w:pPr>
              <w:pStyle w:val="TableParagraph"/>
              <w:spacing w:line="555" w:lineRule="exact"/>
              <w:ind w:left="29" w:right="77"/>
              <w:jc w:val="center"/>
              <w:rPr>
                <w:sz w:val="40"/>
              </w:rPr>
            </w:pPr>
            <w:r>
              <w:rPr>
                <w:sz w:val="40"/>
              </w:rPr>
              <w:t>王振源</w:t>
            </w:r>
          </w:p>
        </w:tc>
        <w:tc>
          <w:tcPr>
            <w:tcW w:w="1399" w:type="dxa"/>
          </w:tcPr>
          <w:p>
            <w:pPr>
              <w:pStyle w:val="TableParagraph"/>
              <w:spacing w:line="555" w:lineRule="exact"/>
              <w:ind w:left="100"/>
              <w:rPr>
                <w:sz w:val="40"/>
              </w:rPr>
            </w:pPr>
            <w:r>
              <w:rPr>
                <w:sz w:val="40"/>
              </w:rPr>
              <w:t>余明治</w:t>
            </w:r>
          </w:p>
        </w:tc>
        <w:tc>
          <w:tcPr>
            <w:tcW w:w="1399" w:type="dxa"/>
          </w:tcPr>
          <w:p>
            <w:pPr>
              <w:pStyle w:val="TableParagraph"/>
              <w:spacing w:line="555" w:lineRule="exact"/>
              <w:ind w:left="79" w:right="77"/>
              <w:jc w:val="center"/>
              <w:rPr>
                <w:sz w:val="40"/>
              </w:rPr>
            </w:pPr>
            <w:r>
              <w:rPr>
                <w:sz w:val="40"/>
              </w:rPr>
              <w:t>李枝新</w:t>
            </w:r>
          </w:p>
        </w:tc>
        <w:tc>
          <w:tcPr>
            <w:tcW w:w="1349" w:type="dxa"/>
          </w:tcPr>
          <w:p>
            <w:pPr>
              <w:pStyle w:val="TableParagraph"/>
              <w:spacing w:line="555" w:lineRule="exact"/>
              <w:ind w:left="80" w:right="26"/>
              <w:jc w:val="center"/>
              <w:rPr>
                <w:sz w:val="40"/>
              </w:rPr>
            </w:pPr>
            <w:r>
              <w:rPr>
                <w:sz w:val="40"/>
              </w:rPr>
              <w:t>李仁智</w:t>
            </w:r>
          </w:p>
        </w:tc>
      </w:tr>
      <w:tr>
        <w:trPr>
          <w:trHeight w:val="619" w:hRule="atLeast"/>
        </w:trPr>
        <w:tc>
          <w:tcPr>
            <w:tcW w:w="1349" w:type="dxa"/>
          </w:tcPr>
          <w:p>
            <w:pPr>
              <w:pStyle w:val="TableParagraph"/>
              <w:spacing w:line="600" w:lineRule="exact"/>
              <w:ind w:left="30" w:right="77"/>
              <w:jc w:val="center"/>
              <w:rPr>
                <w:sz w:val="40"/>
              </w:rPr>
            </w:pPr>
            <w:r>
              <w:rPr>
                <w:sz w:val="40"/>
              </w:rPr>
              <w:t>李秉穎</w:t>
            </w:r>
          </w:p>
        </w:tc>
        <w:tc>
          <w:tcPr>
            <w:tcW w:w="1399" w:type="dxa"/>
          </w:tcPr>
          <w:p>
            <w:pPr>
              <w:pStyle w:val="TableParagraph"/>
              <w:spacing w:line="600" w:lineRule="exact"/>
              <w:ind w:left="100"/>
              <w:rPr>
                <w:sz w:val="40"/>
              </w:rPr>
            </w:pPr>
            <w:r>
              <w:rPr>
                <w:sz w:val="40"/>
              </w:rPr>
              <w:t>李品慧</w:t>
            </w:r>
          </w:p>
        </w:tc>
        <w:tc>
          <w:tcPr>
            <w:tcW w:w="1399" w:type="dxa"/>
          </w:tcPr>
          <w:p>
            <w:pPr>
              <w:pStyle w:val="TableParagraph"/>
              <w:spacing w:line="600" w:lineRule="exact"/>
              <w:ind w:left="80" w:right="77"/>
              <w:jc w:val="center"/>
              <w:rPr>
                <w:sz w:val="40"/>
              </w:rPr>
            </w:pPr>
            <w:r>
              <w:rPr>
                <w:sz w:val="40"/>
              </w:rPr>
              <w:t>何愉懷</w:t>
            </w:r>
          </w:p>
        </w:tc>
        <w:tc>
          <w:tcPr>
            <w:tcW w:w="1349" w:type="dxa"/>
          </w:tcPr>
          <w:p>
            <w:pPr>
              <w:pStyle w:val="TableParagraph"/>
              <w:spacing w:line="600" w:lineRule="exact"/>
              <w:ind w:left="81" w:right="26"/>
              <w:jc w:val="center"/>
              <w:rPr>
                <w:sz w:val="40"/>
              </w:rPr>
            </w:pPr>
            <w:r>
              <w:rPr>
                <w:sz w:val="40"/>
              </w:rPr>
              <w:t>周如文</w:t>
            </w:r>
          </w:p>
        </w:tc>
      </w:tr>
      <w:tr>
        <w:trPr>
          <w:trHeight w:val="620" w:hRule="atLeast"/>
        </w:trPr>
        <w:tc>
          <w:tcPr>
            <w:tcW w:w="1349" w:type="dxa"/>
          </w:tcPr>
          <w:p>
            <w:pPr>
              <w:pStyle w:val="TableParagraph"/>
              <w:spacing w:line="601" w:lineRule="exact"/>
              <w:ind w:left="30" w:right="76"/>
              <w:jc w:val="center"/>
              <w:rPr>
                <w:sz w:val="40"/>
              </w:rPr>
            </w:pPr>
            <w:r>
              <w:rPr>
                <w:sz w:val="40"/>
              </w:rPr>
              <w:t>洪健清</w:t>
            </w:r>
          </w:p>
        </w:tc>
        <w:tc>
          <w:tcPr>
            <w:tcW w:w="1399" w:type="dxa"/>
          </w:tcPr>
          <w:p>
            <w:pPr>
              <w:pStyle w:val="TableParagraph"/>
              <w:tabs>
                <w:tab w:pos="901" w:val="left" w:leader="none"/>
              </w:tabs>
              <w:spacing w:line="601" w:lineRule="exact"/>
              <w:ind w:left="101"/>
              <w:rPr>
                <w:sz w:val="40"/>
              </w:rPr>
            </w:pPr>
            <w:r>
              <w:rPr>
                <w:sz w:val="40"/>
              </w:rPr>
              <w:t>索</w:t>
              <w:tab/>
              <w:t>任</w:t>
            </w:r>
          </w:p>
        </w:tc>
        <w:tc>
          <w:tcPr>
            <w:tcW w:w="1399" w:type="dxa"/>
          </w:tcPr>
          <w:p>
            <w:pPr>
              <w:pStyle w:val="TableParagraph"/>
              <w:spacing w:line="601" w:lineRule="exact"/>
              <w:ind w:left="80" w:right="77"/>
              <w:jc w:val="center"/>
              <w:rPr>
                <w:sz w:val="40"/>
              </w:rPr>
            </w:pPr>
            <w:r>
              <w:rPr>
                <w:sz w:val="40"/>
              </w:rPr>
              <w:t>陸坤泰</w:t>
            </w:r>
          </w:p>
        </w:tc>
        <w:tc>
          <w:tcPr>
            <w:tcW w:w="1349" w:type="dxa"/>
          </w:tcPr>
          <w:p>
            <w:pPr>
              <w:pStyle w:val="TableParagraph"/>
              <w:spacing w:line="601" w:lineRule="exact"/>
              <w:ind w:left="81" w:right="26"/>
              <w:jc w:val="center"/>
              <w:rPr>
                <w:sz w:val="40"/>
              </w:rPr>
            </w:pPr>
            <w:r>
              <w:rPr>
                <w:sz w:val="40"/>
              </w:rPr>
              <w:t>黃伊文</w:t>
            </w:r>
          </w:p>
        </w:tc>
      </w:tr>
      <w:tr>
        <w:trPr>
          <w:trHeight w:val="576" w:hRule="atLeast"/>
        </w:trPr>
        <w:tc>
          <w:tcPr>
            <w:tcW w:w="1349" w:type="dxa"/>
          </w:tcPr>
          <w:p>
            <w:pPr>
              <w:pStyle w:val="TableParagraph"/>
              <w:spacing w:line="556" w:lineRule="exact"/>
              <w:ind w:left="30" w:right="76"/>
              <w:jc w:val="center"/>
              <w:rPr>
                <w:sz w:val="40"/>
              </w:rPr>
            </w:pPr>
            <w:r>
              <w:rPr>
                <w:sz w:val="40"/>
              </w:rPr>
              <w:t>馮琦芳</w:t>
            </w:r>
          </w:p>
        </w:tc>
        <w:tc>
          <w:tcPr>
            <w:tcW w:w="1399" w:type="dxa"/>
          </w:tcPr>
          <w:p>
            <w:pPr>
              <w:pStyle w:val="TableParagraph"/>
              <w:spacing w:line="556" w:lineRule="exact"/>
              <w:ind w:left="101"/>
              <w:rPr>
                <w:sz w:val="40"/>
              </w:rPr>
            </w:pPr>
            <w:r>
              <w:rPr>
                <w:sz w:val="40"/>
              </w:rPr>
              <w:t>詹珮君</w:t>
            </w:r>
          </w:p>
        </w:tc>
        <w:tc>
          <w:tcPr>
            <w:tcW w:w="1399" w:type="dxa"/>
          </w:tcPr>
          <w:p>
            <w:pPr>
              <w:pStyle w:val="TableParagraph"/>
              <w:spacing w:line="556" w:lineRule="exact"/>
              <w:ind w:left="80" w:right="76"/>
              <w:jc w:val="center"/>
              <w:rPr>
                <w:sz w:val="40"/>
              </w:rPr>
            </w:pPr>
            <w:r>
              <w:rPr>
                <w:sz w:val="40"/>
              </w:rPr>
              <w:t>賴珮芳</w:t>
            </w:r>
          </w:p>
        </w:tc>
        <w:tc>
          <w:tcPr>
            <w:tcW w:w="1349" w:type="dxa"/>
          </w:tcPr>
          <w:p>
            <w:pPr>
              <w:pStyle w:val="TableParagraph"/>
              <w:spacing w:line="556" w:lineRule="exact"/>
              <w:ind w:left="81" w:right="25"/>
              <w:jc w:val="center"/>
              <w:rPr>
                <w:sz w:val="40"/>
              </w:rPr>
            </w:pPr>
            <w:r>
              <w:rPr>
                <w:sz w:val="40"/>
              </w:rPr>
              <w:t>蘇維鈞</w:t>
            </w:r>
          </w:p>
        </w:tc>
      </w:tr>
    </w:tbl>
    <w:p>
      <w:pPr>
        <w:spacing w:before="22"/>
        <w:ind w:left="275" w:right="334" w:firstLine="0"/>
        <w:jc w:val="center"/>
        <w:rPr>
          <w:b/>
          <w:sz w:val="36"/>
        </w:rPr>
      </w:pPr>
      <w:r>
        <w:rPr>
          <w:b/>
          <w:sz w:val="36"/>
        </w:rPr>
        <w:t>共同著作</w:t>
      </w:r>
    </w:p>
    <w:p>
      <w:pPr>
        <w:pStyle w:val="Heading4"/>
        <w:spacing w:line="280" w:lineRule="auto" w:before="45"/>
        <w:ind w:left="275" w:right="334"/>
        <w:jc w:val="center"/>
      </w:pPr>
      <w:r>
        <w:rPr/>
        <w:t>台灣家庭醫學醫學會 台灣兒科醫學會 台灣感染症醫學會 台灣愛滋病學會台灣胸腔暨重症加護醫學會 台灣內科醫學會 台灣結核暨肺部疾病醫學會</w:t>
      </w:r>
    </w:p>
    <w:p>
      <w:pPr>
        <w:pStyle w:val="BodyText"/>
        <w:spacing w:before="8"/>
        <w:rPr>
          <w:sz w:val="25"/>
        </w:rPr>
      </w:pPr>
    </w:p>
    <w:p>
      <w:pPr>
        <w:tabs>
          <w:tab w:pos="4428" w:val="left" w:leader="none"/>
        </w:tabs>
        <w:spacing w:line="658" w:lineRule="exact" w:before="1"/>
        <w:ind w:left="420" w:right="0" w:firstLine="0"/>
        <w:jc w:val="center"/>
        <w:rPr>
          <w:sz w:val="36"/>
        </w:rPr>
      </w:pPr>
      <w:r>
        <w:rPr>
          <w:sz w:val="36"/>
        </w:rPr>
        <w:t>衛生福利部疾病管制署</w:t>
        <w:tab/>
        <w:t>出版</w:t>
      </w:r>
    </w:p>
    <w:p>
      <w:pPr>
        <w:pStyle w:val="Heading2"/>
        <w:spacing w:line="584" w:lineRule="exact"/>
        <w:ind w:right="330"/>
        <w:jc w:val="center"/>
      </w:pPr>
      <w:r>
        <w:rPr/>
        <w:t>2022 年  3 月</w:t>
      </w:r>
    </w:p>
    <w:p>
      <w:pPr>
        <w:pStyle w:val="Heading7"/>
        <w:spacing w:before="237"/>
        <w:ind w:left="275" w:right="334"/>
        <w:jc w:val="center"/>
      </w:pPr>
      <w:r>
        <w:rPr/>
        <w:t>當其他來源(非本署)之指引與本署全球資訊網有出入時，請以本署全球資訊網版本為主</w:t>
      </w:r>
    </w:p>
    <w:p>
      <w:pPr>
        <w:spacing w:after="0"/>
        <w:jc w:val="center"/>
        <w:sectPr>
          <w:type w:val="continuous"/>
          <w:pgSz w:w="12250" w:h="17190"/>
          <w:pgMar w:top="1500" w:bottom="280" w:left="1300" w:right="1240"/>
        </w:sectPr>
      </w:pPr>
    </w:p>
    <w:p>
      <w:pPr>
        <w:pStyle w:val="BodyText"/>
        <w:spacing w:before="16"/>
        <w:rPr>
          <w:b/>
          <w:sz w:val="10"/>
        </w:rPr>
      </w:pPr>
    </w:p>
    <w:p>
      <w:pPr>
        <w:spacing w:after="0"/>
        <w:rPr>
          <w:sz w:val="10"/>
        </w:rPr>
        <w:sectPr>
          <w:pgSz w:w="12250" w:h="17190"/>
          <w:pgMar w:top="1640" w:bottom="280" w:left="1300" w:right="1240"/>
        </w:sectPr>
      </w:pPr>
    </w:p>
    <w:p>
      <w:pPr>
        <w:pStyle w:val="BodyText"/>
        <w:spacing w:before="16"/>
        <w:rPr>
          <w:b/>
          <w:sz w:val="10"/>
        </w:rPr>
      </w:pPr>
    </w:p>
    <w:p>
      <w:pPr>
        <w:spacing w:after="0"/>
        <w:rPr>
          <w:sz w:val="10"/>
        </w:rPr>
        <w:sectPr>
          <w:pgSz w:w="12250" w:h="17190"/>
          <w:pgMar w:top="1640" w:bottom="280" w:left="1300" w:right="1240"/>
        </w:sectPr>
      </w:pPr>
    </w:p>
    <w:p>
      <w:pPr>
        <w:pStyle w:val="BodyText"/>
        <w:spacing w:before="16"/>
        <w:rPr>
          <w:b/>
          <w:sz w:val="10"/>
        </w:rPr>
      </w:pPr>
    </w:p>
    <w:p>
      <w:pPr>
        <w:spacing w:after="0"/>
        <w:rPr>
          <w:sz w:val="10"/>
        </w:rPr>
        <w:sectPr>
          <w:pgSz w:w="12250" w:h="17190"/>
          <w:pgMar w:top="1640" w:bottom="280" w:left="1300" w:right="1240"/>
        </w:sectPr>
      </w:pPr>
    </w:p>
    <w:p>
      <w:pPr>
        <w:pStyle w:val="BodyText"/>
        <w:spacing w:before="7"/>
        <w:rPr>
          <w:b/>
          <w:sz w:val="19"/>
        </w:rPr>
      </w:pPr>
    </w:p>
    <w:p>
      <w:pPr>
        <w:spacing w:before="4"/>
        <w:ind w:left="0" w:right="56" w:firstLine="0"/>
        <w:jc w:val="center"/>
        <w:rPr>
          <w:b/>
          <w:sz w:val="38"/>
        </w:rPr>
      </w:pPr>
      <w:r>
        <w:rPr>
          <w:b/>
          <w:w w:val="100"/>
          <w:sz w:val="38"/>
        </w:rPr>
        <w:t>序</w:t>
      </w:r>
    </w:p>
    <w:p>
      <w:pPr>
        <w:spacing w:line="196" w:lineRule="auto" w:before="164"/>
        <w:ind w:left="117" w:right="173" w:firstLine="568"/>
        <w:jc w:val="both"/>
        <w:rPr>
          <w:b/>
          <w:sz w:val="28"/>
        </w:rPr>
      </w:pPr>
      <w:r>
        <w:rPr>
          <w:b/>
          <w:spacing w:val="7"/>
          <w:sz w:val="28"/>
        </w:rPr>
        <w:t>結核病至今仍是國際間重視的嚴重傳染病之一，呼應聯合國提出</w:t>
      </w:r>
      <w:r>
        <w:rPr>
          <w:b/>
          <w:sz w:val="28"/>
        </w:rPr>
        <w:t>2016- 2030</w:t>
      </w:r>
      <w:r>
        <w:rPr>
          <w:b/>
          <w:spacing w:val="-23"/>
          <w:sz w:val="28"/>
        </w:rPr>
        <w:t>年「持續發展目標」</w:t>
      </w:r>
      <w:r>
        <w:rPr>
          <w:b/>
          <w:sz w:val="28"/>
        </w:rPr>
        <w:t>(Sustainable Development </w:t>
      </w:r>
      <w:r>
        <w:rPr>
          <w:b/>
          <w:spacing w:val="-9"/>
          <w:sz w:val="28"/>
        </w:rPr>
        <w:t>Goals)，WHO</w:t>
      </w:r>
      <w:r>
        <w:rPr>
          <w:b/>
          <w:spacing w:val="4"/>
          <w:sz w:val="28"/>
        </w:rPr>
        <w:t>於</w:t>
      </w:r>
      <w:r>
        <w:rPr>
          <w:b/>
          <w:sz w:val="28"/>
        </w:rPr>
        <w:t>2016 </w:t>
      </w:r>
      <w:r>
        <w:rPr>
          <w:b/>
          <w:spacing w:val="-8"/>
          <w:sz w:val="28"/>
        </w:rPr>
        <w:t>年提出「終結結核病策略(</w:t>
      </w:r>
      <w:r>
        <w:rPr>
          <w:b/>
          <w:sz w:val="28"/>
        </w:rPr>
        <w:t>The End TB Strategy</w:t>
      </w:r>
      <w:r>
        <w:rPr>
          <w:b/>
          <w:spacing w:val="-24"/>
          <w:sz w:val="28"/>
        </w:rPr>
        <w:t>)」，與國際同步，我國在</w:t>
      </w:r>
      <w:r>
        <w:rPr>
          <w:b/>
          <w:sz w:val="28"/>
        </w:rPr>
        <w:t>2006 </w:t>
      </w:r>
      <w:r>
        <w:rPr>
          <w:b/>
          <w:spacing w:val="4"/>
          <w:sz w:val="28"/>
        </w:rPr>
        <w:t>年至</w:t>
      </w:r>
      <w:r>
        <w:rPr>
          <w:b/>
          <w:sz w:val="28"/>
        </w:rPr>
        <w:t>2020</w:t>
      </w:r>
      <w:r>
        <w:rPr>
          <w:b/>
          <w:spacing w:val="-22"/>
          <w:sz w:val="28"/>
        </w:rPr>
        <w:t>年間，分別推動「結核病十年減半全民動員計畫」及「我國加入</w:t>
      </w:r>
      <w:r>
        <w:rPr>
          <w:b/>
          <w:sz w:val="28"/>
        </w:rPr>
        <w:t>WHO 2035</w:t>
      </w:r>
      <w:r>
        <w:rPr>
          <w:b/>
          <w:spacing w:val="-4"/>
          <w:sz w:val="28"/>
        </w:rPr>
        <w:t>消除結核第一期計畫」，在政府投入資源及防疫夥伴努力之下，發生率已從</w:t>
      </w:r>
      <w:r>
        <w:rPr>
          <w:b/>
          <w:sz w:val="28"/>
        </w:rPr>
        <w:t>2005</w:t>
      </w:r>
      <w:r>
        <w:rPr>
          <w:b/>
          <w:spacing w:val="3"/>
          <w:sz w:val="28"/>
        </w:rPr>
        <w:t>年的每十萬人口</w:t>
      </w:r>
      <w:r>
        <w:rPr>
          <w:b/>
          <w:sz w:val="28"/>
        </w:rPr>
        <w:t>73</w:t>
      </w:r>
      <w:r>
        <w:rPr>
          <w:b/>
          <w:spacing w:val="3"/>
          <w:sz w:val="28"/>
        </w:rPr>
        <w:t>人，降低至</w:t>
      </w:r>
      <w:r>
        <w:rPr>
          <w:b/>
          <w:sz w:val="28"/>
        </w:rPr>
        <w:t>2020</w:t>
      </w:r>
      <w:r>
        <w:rPr>
          <w:b/>
          <w:spacing w:val="3"/>
          <w:sz w:val="28"/>
        </w:rPr>
        <w:t>年的每十萬人口</w:t>
      </w:r>
      <w:r>
        <w:rPr>
          <w:b/>
          <w:sz w:val="28"/>
        </w:rPr>
        <w:t>33</w:t>
      </w:r>
      <w:r>
        <w:rPr>
          <w:b/>
          <w:spacing w:val="3"/>
          <w:sz w:val="28"/>
        </w:rPr>
        <w:t>人，降幅達</w:t>
      </w:r>
      <w:r>
        <w:rPr>
          <w:b/>
          <w:sz w:val="28"/>
        </w:rPr>
        <w:t>55</w:t>
      </w:r>
      <w:r>
        <w:rPr>
          <w:b/>
          <w:spacing w:val="-2"/>
          <w:sz w:val="28"/>
        </w:rPr>
        <w:t>%。為持續降低結核病的發生，目前正積極推動「我國加入</w:t>
      </w:r>
      <w:r>
        <w:rPr>
          <w:b/>
          <w:sz w:val="28"/>
        </w:rPr>
        <w:t>WHO 2035消</w:t>
      </w:r>
      <w:r>
        <w:rPr>
          <w:b/>
          <w:spacing w:val="3"/>
          <w:sz w:val="28"/>
        </w:rPr>
        <w:t>除結核第二期計畫」，藉由更有效率的介入措施，配合新型藥物的引進與用藥指導，期許能達成終止結核菌傳播的最終目標。</w:t>
      </w:r>
    </w:p>
    <w:p>
      <w:pPr>
        <w:spacing w:line="196" w:lineRule="auto" w:before="100"/>
        <w:ind w:left="117" w:right="107" w:firstLine="567"/>
        <w:jc w:val="both"/>
        <w:rPr>
          <w:b/>
          <w:sz w:val="28"/>
        </w:rPr>
      </w:pPr>
      <w:r>
        <w:rPr>
          <w:b/>
          <w:spacing w:val="14"/>
          <w:sz w:val="28"/>
        </w:rPr>
        <w:t>為了提升結核病醫療品質，使臨床醫師正確使用抗結核藥物，本署於</w:t>
      </w:r>
      <w:r>
        <w:rPr>
          <w:b/>
          <w:sz w:val="28"/>
        </w:rPr>
        <w:t>2004</w:t>
      </w:r>
      <w:r>
        <w:rPr>
          <w:b/>
          <w:spacing w:val="-3"/>
          <w:sz w:val="28"/>
        </w:rPr>
        <w:t>年即邀請結核病診治專家，參考世界公認的標準規範，編纂我國第一版</w:t>
      </w:r>
      <w:r>
        <w:rPr>
          <w:b/>
          <w:spacing w:val="-14"/>
          <w:sz w:val="28"/>
        </w:rPr>
        <w:t>的「結核病診治指引」，並分別於</w:t>
      </w:r>
      <w:r>
        <w:rPr>
          <w:b/>
          <w:sz w:val="28"/>
        </w:rPr>
        <w:t>2006</w:t>
      </w:r>
      <w:r>
        <w:rPr>
          <w:b/>
          <w:spacing w:val="-32"/>
          <w:sz w:val="28"/>
        </w:rPr>
        <w:t>年、</w:t>
      </w:r>
      <w:r>
        <w:rPr>
          <w:b/>
          <w:sz w:val="28"/>
        </w:rPr>
        <w:t>2008</w:t>
      </w:r>
      <w:r>
        <w:rPr>
          <w:b/>
          <w:spacing w:val="-32"/>
          <w:sz w:val="28"/>
        </w:rPr>
        <w:t>年、</w:t>
      </w:r>
      <w:r>
        <w:rPr>
          <w:b/>
          <w:sz w:val="28"/>
        </w:rPr>
        <w:t>2011</w:t>
      </w:r>
      <w:r>
        <w:rPr>
          <w:b/>
          <w:spacing w:val="-32"/>
          <w:sz w:val="28"/>
        </w:rPr>
        <w:t>年、</w:t>
      </w:r>
      <w:r>
        <w:rPr>
          <w:b/>
          <w:sz w:val="28"/>
        </w:rPr>
        <w:t>2013</w:t>
      </w:r>
      <w:r>
        <w:rPr>
          <w:b/>
          <w:spacing w:val="-32"/>
          <w:sz w:val="28"/>
        </w:rPr>
        <w:t>年、</w:t>
      </w:r>
      <w:r>
        <w:rPr>
          <w:b/>
          <w:sz w:val="28"/>
        </w:rPr>
        <w:t>2014 </w:t>
      </w:r>
      <w:r>
        <w:rPr>
          <w:b/>
          <w:spacing w:val="4"/>
          <w:sz w:val="28"/>
        </w:rPr>
        <w:t>年與</w:t>
      </w:r>
      <w:r>
        <w:rPr>
          <w:b/>
          <w:sz w:val="28"/>
        </w:rPr>
        <w:t>2017</w:t>
      </w:r>
      <w:r>
        <w:rPr>
          <w:b/>
          <w:spacing w:val="-17"/>
          <w:sz w:val="28"/>
        </w:rPr>
        <w:t>年陸續增修第二版、第三版、第四版、第五版、網路</w:t>
      </w:r>
      <w:r>
        <w:rPr>
          <w:b/>
          <w:sz w:val="28"/>
        </w:rPr>
        <w:t>5.1</w:t>
      </w:r>
      <w:r>
        <w:rPr>
          <w:b/>
          <w:spacing w:val="-5"/>
          <w:sz w:val="28"/>
        </w:rPr>
        <w:t>版與第六版， </w:t>
      </w:r>
      <w:r>
        <w:rPr>
          <w:b/>
          <w:spacing w:val="3"/>
          <w:sz w:val="28"/>
        </w:rPr>
        <w:t>獲得醫界諸多迴響，可謂最實用的臨床診治指引之一。為使我國結核病臨床</w:t>
      </w:r>
      <w:r>
        <w:rPr>
          <w:b/>
          <w:spacing w:val="4"/>
          <w:sz w:val="28"/>
        </w:rPr>
        <w:t>治療能力與時俱進，且呼應臨床醫師們需要更清晰易讀的指引編排需求，本</w:t>
      </w:r>
      <w:r>
        <w:rPr>
          <w:b/>
          <w:spacing w:val="3"/>
          <w:sz w:val="28"/>
        </w:rPr>
        <w:t>署再度委請江振源醫師擔任主編，邀集王振源醫師、余明治醫師、李枝新醫</w:t>
      </w:r>
      <w:r>
        <w:rPr>
          <w:b/>
          <w:spacing w:val="-14"/>
          <w:sz w:val="28"/>
        </w:rPr>
        <w:t>師、李仁智醫師、李秉穎醫師、何愉懷醫師、洪健清醫師、索任醫師、陸坤泰</w:t>
      </w:r>
      <w:r>
        <w:rPr>
          <w:b/>
          <w:spacing w:val="3"/>
          <w:sz w:val="28"/>
        </w:rPr>
        <w:t>教授、黃伊文醫師、蘇維鈞醫師、本署防疫醫師李品慧醫師、詹珮君醫師及周如文研究員，與臺灣內科醫學會、臺灣胸腔暨重症加護醫學會、臺灣感染</w:t>
      </w:r>
      <w:r>
        <w:rPr>
          <w:b/>
          <w:spacing w:val="4"/>
          <w:sz w:val="28"/>
        </w:rPr>
        <w:t>症醫學會、臺灣兒科醫學會、臺灣家庭醫學醫學會、臺灣結核暨肺部疾病醫</w:t>
      </w:r>
      <w:r>
        <w:rPr>
          <w:b/>
          <w:spacing w:val="3"/>
          <w:sz w:val="28"/>
        </w:rPr>
        <w:t>學會及臺灣愛滋病學會等學會專家共同主筆，就原有內容補充更新，並新增第十三章「兒童抗藥性結核病之診療」，彙整出版第七版指引。</w:t>
      </w:r>
    </w:p>
    <w:p>
      <w:pPr>
        <w:spacing w:line="196" w:lineRule="auto" w:before="90"/>
        <w:ind w:left="117" w:right="178" w:firstLine="482"/>
        <w:jc w:val="both"/>
        <w:rPr>
          <w:b/>
          <w:sz w:val="28"/>
        </w:rPr>
      </w:pPr>
      <w:r>
        <w:rPr>
          <w:b/>
          <w:spacing w:val="7"/>
          <w:w w:val="95"/>
          <w:sz w:val="28"/>
        </w:rPr>
        <w:t>誠摯感謝主編以及所有參與編輯委員的辛勞，在百忙之中撥冗參與編輯   </w:t>
      </w:r>
      <w:r>
        <w:rPr>
          <w:b/>
          <w:spacing w:val="3"/>
          <w:sz w:val="28"/>
        </w:rPr>
        <w:t>會議，經過無數個夜晚的努力，完成了第七版指引之修訂。相信本次增修的內容，定能協助防疫夥伴們解決結核病診治上的難題。期待在各界的持續努力下，我國的結核病防治能夠達成</w:t>
      </w:r>
      <w:r>
        <w:rPr>
          <w:b/>
          <w:sz w:val="28"/>
        </w:rPr>
        <w:t>2035</w:t>
      </w:r>
      <w:r>
        <w:rPr>
          <w:b/>
          <w:spacing w:val="2"/>
          <w:sz w:val="28"/>
        </w:rPr>
        <w:t>消除結核的目標。</w:t>
      </w:r>
    </w:p>
    <w:p>
      <w:pPr>
        <w:spacing w:before="158"/>
        <w:ind w:left="5871" w:right="0" w:firstLine="0"/>
        <w:jc w:val="left"/>
        <w:rPr>
          <w:b/>
          <w:sz w:val="28"/>
        </w:rPr>
      </w:pPr>
      <w:r>
        <w:rPr>
          <w:b/>
          <w:sz w:val="28"/>
        </w:rPr>
        <w:t>衛生福利部疾病管制署</w:t>
      </w:r>
    </w:p>
    <w:p>
      <w:pPr>
        <w:tabs>
          <w:tab w:pos="7281" w:val="left" w:leader="none"/>
        </w:tabs>
        <w:spacing w:line="688" w:lineRule="exact" w:before="126"/>
        <w:ind w:left="6419" w:right="0" w:firstLine="0"/>
        <w:jc w:val="left"/>
        <w:rPr>
          <w:b/>
          <w:sz w:val="28"/>
        </w:rPr>
      </w:pPr>
      <w:r>
        <w:rPr>
          <w:b/>
          <w:w w:val="95"/>
          <w:sz w:val="28"/>
        </w:rPr>
        <w:t>署長</w:t>
        <w:tab/>
      </w:r>
      <w:r>
        <w:rPr>
          <w:b/>
          <w:position w:val="-14"/>
          <w:sz w:val="28"/>
        </w:rPr>
        <w:drawing>
          <wp:inline distT="0" distB="0" distL="0" distR="0">
            <wp:extent cx="1039256" cy="438784"/>
            <wp:effectExtent l="0" t="0" r="0" b="0"/>
            <wp:docPr id="1" name="image1.jpeg" descr="D:\明珠分享區\111.0211-衛生福利部疾病管制署-結核病診治指引第七版(寶慶)\原檔\周志浩-ok-1.jp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1039256" cy="438784"/>
                    </a:xfrm>
                    <a:prstGeom prst="rect">
                      <a:avLst/>
                    </a:prstGeom>
                  </pic:spPr>
                </pic:pic>
              </a:graphicData>
            </a:graphic>
          </wp:inline>
        </w:drawing>
      </w:r>
      <w:r>
        <w:rPr>
          <w:b/>
          <w:position w:val="-14"/>
          <w:sz w:val="28"/>
        </w:rPr>
      </w:r>
      <w:r>
        <w:rPr>
          <w:rFonts w:ascii="Times New Roman" w:eastAsia="Times New Roman"/>
          <w:spacing w:val="15"/>
          <w:sz w:val="28"/>
        </w:rPr>
        <w:t> </w:t>
      </w:r>
      <w:r>
        <w:rPr>
          <w:b/>
          <w:w w:val="95"/>
          <w:sz w:val="28"/>
        </w:rPr>
        <w:t>謹識</w:t>
      </w:r>
    </w:p>
    <w:p>
      <w:pPr>
        <w:pStyle w:val="Heading6"/>
        <w:spacing w:line="457" w:lineRule="exact"/>
        <w:ind w:left="0" w:right="150"/>
        <w:jc w:val="right"/>
      </w:pPr>
      <w:r>
        <w:rPr>
          <w:w w:val="95"/>
        </w:rPr>
        <w:t>2021年10月</w:t>
      </w:r>
    </w:p>
    <w:p>
      <w:pPr>
        <w:spacing w:after="0" w:line="457" w:lineRule="exact"/>
        <w:jc w:val="right"/>
        <w:sectPr>
          <w:footerReference w:type="default" r:id="rId5"/>
          <w:pgSz w:w="12250" w:h="17190"/>
          <w:pgMar w:footer="899" w:header="0" w:top="1640" w:bottom="1080" w:left="1300" w:right="1240"/>
          <w:pgNumType w:start="1"/>
        </w:sectPr>
      </w:pPr>
    </w:p>
    <w:p>
      <w:pPr>
        <w:spacing w:line="677" w:lineRule="exact" w:before="0"/>
        <w:ind w:left="275" w:right="331" w:firstLine="0"/>
        <w:jc w:val="center"/>
        <w:rPr>
          <w:b/>
          <w:sz w:val="38"/>
        </w:rPr>
      </w:pPr>
      <w:r>
        <w:rPr>
          <w:b/>
          <w:sz w:val="38"/>
        </w:rPr>
        <w:t>編後語</w:t>
      </w:r>
    </w:p>
    <w:p>
      <w:pPr>
        <w:pStyle w:val="Heading3"/>
        <w:spacing w:line="194" w:lineRule="auto" w:before="163"/>
        <w:ind w:left="118" w:right="175"/>
      </w:pPr>
      <w:r>
        <w:rPr>
          <w:spacing w:val="3"/>
        </w:rPr>
        <w:t>結核菌與人類經過長時期的共同演化，發展出繁複的機制應對人體的免</w:t>
      </w:r>
      <w:r>
        <w:rPr>
          <w:spacing w:val="-22"/>
        </w:rPr>
        <w:t>疫系統。它以人為宿主，潛伏人體或長或短伺機發病，在人群之中傳染播散，代</w:t>
      </w:r>
      <w:r>
        <w:rPr>
          <w:spacing w:val="3"/>
        </w:rPr>
        <w:t>代繁衍與人類共存。結核病防治以避免傳染為經，降低發病風險為緯。首重</w:t>
      </w:r>
      <w:r>
        <w:rPr>
          <w:spacing w:val="-12"/>
        </w:rPr>
        <w:t>早期診斷，有效治療，來減少傳染源。而針對高危險群，檢測治療潛伏結核感</w:t>
      </w:r>
      <w:r>
        <w:rPr>
          <w:spacing w:val="-11"/>
          <w:w w:val="95"/>
        </w:rPr>
        <w:t>染，可以降低感染者的發病風險，進一步降低結核菌傳染播散的機會。臺灣的   </w:t>
      </w:r>
      <w:r>
        <w:rPr>
          <w:spacing w:val="2"/>
        </w:rPr>
        <w:t>結核病防治，循著早期發現有效治療活動性結核病與潛伏結核感染兩大主軸</w:t>
      </w:r>
      <w:r>
        <w:rPr>
          <w:spacing w:val="3"/>
        </w:rPr>
        <w:t>前進，近年來已取得一些進果。結核病通報病人數從 </w:t>
      </w:r>
      <w:r>
        <w:rPr/>
        <w:t>2005</w:t>
      </w:r>
      <w:r>
        <w:rPr>
          <w:spacing w:val="18"/>
        </w:rPr>
        <w:t> 年 </w:t>
      </w:r>
      <w:r>
        <w:rPr/>
        <w:t>16,472</w:t>
      </w:r>
      <w:r>
        <w:rPr>
          <w:spacing w:val="3"/>
        </w:rPr>
        <w:t> 人( 每</w:t>
      </w:r>
    </w:p>
    <w:p>
      <w:pPr>
        <w:spacing w:line="194" w:lineRule="auto" w:before="0"/>
        <w:ind w:left="119" w:right="173" w:hanging="1"/>
        <w:jc w:val="both"/>
        <w:rPr>
          <w:b/>
          <w:sz w:val="28"/>
        </w:rPr>
      </w:pPr>
      <w:r>
        <w:rPr>
          <w:b/>
          <w:spacing w:val="6"/>
          <w:sz w:val="28"/>
        </w:rPr>
        <w:t>十萬人口 </w:t>
      </w:r>
      <w:r>
        <w:rPr>
          <w:b/>
          <w:sz w:val="28"/>
        </w:rPr>
        <w:t>73</w:t>
      </w:r>
      <w:r>
        <w:rPr>
          <w:b/>
          <w:spacing w:val="16"/>
          <w:sz w:val="28"/>
        </w:rPr>
        <w:t> 例)下降到 </w:t>
      </w:r>
      <w:r>
        <w:rPr>
          <w:b/>
          <w:sz w:val="28"/>
        </w:rPr>
        <w:t>2020</w:t>
      </w:r>
      <w:r>
        <w:rPr>
          <w:b/>
          <w:spacing w:val="14"/>
          <w:sz w:val="28"/>
        </w:rPr>
        <w:t> 年 </w:t>
      </w:r>
      <w:r>
        <w:rPr>
          <w:b/>
          <w:sz w:val="28"/>
        </w:rPr>
        <w:t>7,823</w:t>
      </w:r>
      <w:r>
        <w:rPr>
          <w:b/>
          <w:spacing w:val="10"/>
          <w:sz w:val="28"/>
        </w:rPr>
        <w:t> 人(每十萬人口 </w:t>
      </w:r>
      <w:r>
        <w:rPr>
          <w:b/>
          <w:sz w:val="28"/>
        </w:rPr>
        <w:t>33</w:t>
      </w:r>
      <w:r>
        <w:rPr>
          <w:b/>
          <w:spacing w:val="18"/>
          <w:sz w:val="28"/>
        </w:rPr>
        <w:t> 例)。</w:t>
      </w:r>
      <w:r>
        <w:rPr>
          <w:b/>
          <w:sz w:val="28"/>
        </w:rPr>
        <w:t>2016</w:t>
      </w:r>
      <w:r>
        <w:rPr>
          <w:b/>
          <w:spacing w:val="9"/>
          <w:sz w:val="28"/>
        </w:rPr>
        <w:t> 年世</w:t>
      </w:r>
      <w:r>
        <w:rPr>
          <w:b/>
          <w:spacing w:val="55"/>
          <w:sz w:val="28"/>
        </w:rPr>
        <w:t>界衛生組織啟動 </w:t>
      </w:r>
      <w:r>
        <w:rPr>
          <w:b/>
          <w:sz w:val="28"/>
        </w:rPr>
        <w:t>The End TB Strategy</w:t>
      </w:r>
      <w:r>
        <w:rPr>
          <w:b/>
          <w:spacing w:val="32"/>
          <w:sz w:val="28"/>
        </w:rPr>
        <w:t> ， 呼應聯合國 </w:t>
      </w:r>
      <w:r>
        <w:rPr>
          <w:b/>
          <w:sz w:val="28"/>
        </w:rPr>
        <w:t>Sustainable Development Goals</w:t>
      </w:r>
      <w:r>
        <w:rPr>
          <w:b/>
          <w:spacing w:val="2"/>
          <w:sz w:val="28"/>
        </w:rPr>
        <w:t>，希望在 </w:t>
      </w:r>
      <w:r>
        <w:rPr>
          <w:b/>
          <w:sz w:val="28"/>
        </w:rPr>
        <w:t>2035</w:t>
      </w:r>
      <w:r>
        <w:rPr>
          <w:b/>
          <w:spacing w:val="3"/>
          <w:sz w:val="28"/>
        </w:rPr>
        <w:t> 年時，與 </w:t>
      </w:r>
      <w:r>
        <w:rPr>
          <w:b/>
          <w:sz w:val="28"/>
        </w:rPr>
        <w:t>2015</w:t>
      </w:r>
      <w:r>
        <w:rPr>
          <w:b/>
          <w:spacing w:val="3"/>
          <w:sz w:val="28"/>
        </w:rPr>
        <w:t> 年相較，能將結核死亡</w:t>
      </w:r>
      <w:r>
        <w:rPr>
          <w:b/>
          <w:spacing w:val="12"/>
          <w:sz w:val="28"/>
        </w:rPr>
        <w:t>人數減少</w:t>
      </w:r>
      <w:r>
        <w:rPr>
          <w:b/>
          <w:spacing w:val="2"/>
          <w:sz w:val="28"/>
        </w:rPr>
        <w:t>95%</w:t>
      </w:r>
      <w:r>
        <w:rPr>
          <w:b/>
          <w:spacing w:val="6"/>
          <w:sz w:val="28"/>
        </w:rPr>
        <w:t>，結核發生率降低</w:t>
      </w:r>
      <w:r>
        <w:rPr>
          <w:b/>
          <w:spacing w:val="2"/>
          <w:sz w:val="28"/>
        </w:rPr>
        <w:t>90</w:t>
      </w:r>
      <w:r>
        <w:rPr>
          <w:b/>
          <w:spacing w:val="6"/>
          <w:sz w:val="28"/>
        </w:rPr>
        <w:t>%(結核發生率每</w:t>
      </w:r>
      <w:r>
        <w:rPr>
          <w:b/>
          <w:sz w:val="28"/>
        </w:rPr>
        <w:t>10</w:t>
      </w:r>
      <w:r>
        <w:rPr>
          <w:b/>
          <w:spacing w:val="7"/>
          <w:sz w:val="28"/>
        </w:rPr>
        <w:t> 萬人口</w:t>
      </w:r>
      <w:r>
        <w:rPr>
          <w:b/>
          <w:sz w:val="28"/>
        </w:rPr>
        <w:t>10</w:t>
      </w:r>
      <w:r>
        <w:rPr>
          <w:b/>
          <w:spacing w:val="-2"/>
          <w:sz w:val="28"/>
        </w:rPr>
        <w:t> 例以下)； </w:t>
      </w:r>
      <w:r>
        <w:rPr>
          <w:b/>
          <w:spacing w:val="3"/>
          <w:sz w:val="28"/>
        </w:rPr>
        <w:t>並且希望沒有任何結核病人及其家庭因為結核病有災難性的支出。要順利達成這些目標，唯有持續不懈地努力。</w:t>
      </w:r>
    </w:p>
    <w:p>
      <w:pPr>
        <w:spacing w:line="194" w:lineRule="auto" w:before="94"/>
        <w:ind w:left="119" w:right="173" w:firstLine="567"/>
        <w:jc w:val="both"/>
        <w:rPr>
          <w:b/>
          <w:sz w:val="28"/>
        </w:rPr>
      </w:pPr>
      <w:r>
        <w:rPr>
          <w:b/>
          <w:sz w:val="28"/>
        </w:rPr>
        <w:t>因為診斷與治療活動性結核與潛伏結核感染，是防治結核的礎石，結核病診治指引，必須及時更新與時俱進。第七版結核病診治指引，以 The End TB Strategy 為指導原則，引進診斷與治療的新知識，參考世界衛生組織近年來發佈的結核診治指引，考量臺灣結核疫情與醫療現況，以第六版結核病診治指引為藍本，維持其架構，但是修改其內容。</w:t>
      </w:r>
    </w:p>
    <w:p>
      <w:pPr>
        <w:spacing w:line="194" w:lineRule="auto" w:before="110"/>
        <w:ind w:left="119" w:right="176" w:firstLine="567"/>
        <w:jc w:val="left"/>
        <w:rPr>
          <w:b/>
          <w:sz w:val="28"/>
        </w:rPr>
      </w:pPr>
      <w:r>
        <w:rPr>
          <w:b/>
          <w:spacing w:val="-2"/>
          <w:sz w:val="28"/>
        </w:rPr>
        <w:t>第二章「結核病的分類與定義</w:t>
      </w:r>
      <w:r>
        <w:rPr>
          <w:b/>
          <w:spacing w:val="-11"/>
          <w:sz w:val="28"/>
        </w:rPr>
        <w:t>」，依照世界衛生組織之建議，更新前驅廣</w:t>
      </w:r>
      <w:r>
        <w:rPr>
          <w:b/>
          <w:spacing w:val="2"/>
          <w:sz w:val="28"/>
        </w:rPr>
        <w:t>泛抗藥結核(</w:t>
      </w:r>
      <w:r>
        <w:rPr>
          <w:b/>
          <w:sz w:val="28"/>
        </w:rPr>
        <w:t>Pre-XDR-TB)</w:t>
      </w:r>
      <w:r>
        <w:rPr>
          <w:b/>
          <w:spacing w:val="3"/>
          <w:sz w:val="28"/>
        </w:rPr>
        <w:t>、以及廣泛抗藥結核</w:t>
      </w:r>
      <w:r>
        <w:rPr>
          <w:b/>
          <w:sz w:val="28"/>
        </w:rPr>
        <w:t>(XDR-TB)</w:t>
      </w:r>
      <w:r>
        <w:rPr>
          <w:b/>
          <w:spacing w:val="3"/>
          <w:sz w:val="28"/>
        </w:rPr>
        <w:t>之定義。</w:t>
      </w:r>
    </w:p>
    <w:p>
      <w:pPr>
        <w:spacing w:line="465" w:lineRule="exact" w:before="45"/>
        <w:ind w:left="687" w:right="0" w:firstLine="0"/>
        <w:jc w:val="left"/>
        <w:rPr>
          <w:b/>
          <w:sz w:val="28"/>
        </w:rPr>
      </w:pPr>
      <w:r>
        <w:rPr>
          <w:b/>
          <w:sz w:val="28"/>
        </w:rPr>
        <w:t>第三章「結核病的診斷」，增修藥物感受性試驗，Xpert MTB/RIF Ultra</w:t>
      </w:r>
    </w:p>
    <w:p>
      <w:pPr>
        <w:spacing w:line="465" w:lineRule="exact" w:before="0"/>
        <w:ind w:left="119" w:right="0" w:firstLine="0"/>
        <w:jc w:val="left"/>
        <w:rPr>
          <w:b/>
          <w:sz w:val="28"/>
        </w:rPr>
      </w:pPr>
      <w:r>
        <w:rPr>
          <w:b/>
          <w:sz w:val="28"/>
        </w:rPr>
        <w:t>及快速分子檢測新進展，並說明 rifampin 之爭議性抗藥及 silent 突變。</w:t>
      </w:r>
    </w:p>
    <w:p>
      <w:pPr>
        <w:spacing w:line="194" w:lineRule="auto" w:before="91"/>
        <w:ind w:left="119" w:right="171" w:firstLine="567"/>
        <w:jc w:val="both"/>
        <w:rPr>
          <w:b/>
          <w:sz w:val="28"/>
        </w:rPr>
      </w:pPr>
      <w:r>
        <w:rPr>
          <w:b/>
          <w:spacing w:val="-5"/>
          <w:sz w:val="28"/>
        </w:rPr>
        <w:t>第四章「結核病的治療</w:t>
      </w:r>
      <w:r>
        <w:rPr>
          <w:b/>
          <w:spacing w:val="-14"/>
          <w:sz w:val="28"/>
        </w:rPr>
        <w:t>」，世界衛生組織之建議不再使用 </w:t>
      </w:r>
      <w:r>
        <w:rPr>
          <w:b/>
          <w:sz w:val="28"/>
        </w:rPr>
        <w:t>8</w:t>
      </w:r>
      <w:r>
        <w:rPr>
          <w:b/>
          <w:spacing w:val="2"/>
          <w:sz w:val="28"/>
        </w:rPr>
        <w:t> 個月的再治處</w:t>
      </w:r>
      <w:r>
        <w:rPr>
          <w:b/>
          <w:spacing w:val="3"/>
          <w:sz w:val="28"/>
        </w:rPr>
        <w:t>方，因此本章有較多的修編，尤其是針對曾經接受過治療的結核病人再次治療的評估、出現抗藥性比例及處方。</w:t>
      </w:r>
    </w:p>
    <w:p>
      <w:pPr>
        <w:spacing w:line="194" w:lineRule="auto" w:before="114"/>
        <w:ind w:left="119" w:right="171" w:firstLine="567"/>
        <w:jc w:val="both"/>
        <w:rPr>
          <w:b/>
          <w:sz w:val="28"/>
        </w:rPr>
      </w:pPr>
      <w:r>
        <w:rPr>
          <w:b/>
          <w:spacing w:val="-4"/>
          <w:sz w:val="28"/>
        </w:rPr>
        <w:t>第五章「治療期間之監測與不良反應之處理及處方調整</w:t>
      </w:r>
      <w:r>
        <w:rPr>
          <w:b/>
          <w:spacing w:val="-23"/>
          <w:sz w:val="28"/>
        </w:rPr>
        <w:t>」，修編不良反應</w:t>
      </w:r>
      <w:r>
        <w:rPr>
          <w:b/>
          <w:spacing w:val="-8"/>
          <w:sz w:val="28"/>
        </w:rPr>
        <w:t>處理方式及治療處方之改變，並建議 </w:t>
      </w:r>
      <w:r>
        <w:rPr>
          <w:b/>
          <w:sz w:val="28"/>
        </w:rPr>
        <w:t>rifampin</w:t>
      </w:r>
      <w:r>
        <w:rPr>
          <w:b/>
          <w:spacing w:val="5"/>
          <w:sz w:val="28"/>
        </w:rPr>
        <w:t> 和 </w:t>
      </w:r>
      <w:r>
        <w:rPr>
          <w:b/>
          <w:sz w:val="28"/>
        </w:rPr>
        <w:t>rifabutin</w:t>
      </w:r>
      <w:r>
        <w:rPr>
          <w:b/>
          <w:spacing w:val="3"/>
          <w:sz w:val="28"/>
        </w:rPr>
        <w:t> 為主要藥物的處</w:t>
      </w:r>
      <w:r>
        <w:rPr>
          <w:b/>
          <w:spacing w:val="2"/>
          <w:sz w:val="28"/>
        </w:rPr>
        <w:t>方，一般療程為 </w:t>
      </w:r>
      <w:r>
        <w:rPr>
          <w:b/>
          <w:sz w:val="28"/>
        </w:rPr>
        <w:t>6-9</w:t>
      </w:r>
      <w:r>
        <w:rPr>
          <w:b/>
          <w:spacing w:val="3"/>
          <w:sz w:val="28"/>
        </w:rPr>
        <w:t> 個月。</w:t>
      </w:r>
    </w:p>
    <w:p>
      <w:pPr>
        <w:spacing w:line="194" w:lineRule="auto" w:before="114"/>
        <w:ind w:left="119" w:right="168" w:firstLine="567"/>
        <w:jc w:val="both"/>
        <w:rPr>
          <w:b/>
          <w:sz w:val="28"/>
        </w:rPr>
      </w:pPr>
      <w:r>
        <w:rPr>
          <w:b/>
          <w:spacing w:val="-6"/>
          <w:sz w:val="28"/>
        </w:rPr>
        <w:t>第六章「結核病的藥物及藥物交互作用(含公費藥物申請)」，修訂藥物交</w:t>
      </w:r>
      <w:r>
        <w:rPr>
          <w:b/>
          <w:spacing w:val="8"/>
          <w:sz w:val="28"/>
        </w:rPr>
        <w:t>互作用，抗結核藥物 </w:t>
      </w:r>
      <w:r>
        <w:rPr>
          <w:b/>
          <w:sz w:val="28"/>
        </w:rPr>
        <w:t>Ethambutol</w:t>
      </w:r>
      <w:r>
        <w:rPr>
          <w:b/>
          <w:spacing w:val="8"/>
          <w:sz w:val="28"/>
        </w:rPr>
        <w:t> 之不良反應視神經病變之內容，並新增</w:t>
      </w:r>
      <w:r>
        <w:rPr>
          <w:b/>
          <w:sz w:val="28"/>
        </w:rPr>
        <w:t>Linezolid</w:t>
      </w:r>
      <w:r>
        <w:rPr>
          <w:b/>
          <w:spacing w:val="3"/>
          <w:sz w:val="28"/>
        </w:rPr>
        <w:t> 藥物說明。</w:t>
      </w:r>
    </w:p>
    <w:p>
      <w:pPr>
        <w:spacing w:after="0" w:line="194" w:lineRule="auto"/>
        <w:jc w:val="both"/>
        <w:rPr>
          <w:sz w:val="28"/>
        </w:rPr>
        <w:sectPr>
          <w:pgSz w:w="12250" w:h="17190"/>
          <w:pgMar w:header="0" w:footer="899" w:top="1400" w:bottom="1080" w:left="1300" w:right="1240"/>
        </w:sectPr>
      </w:pPr>
    </w:p>
    <w:p>
      <w:pPr>
        <w:spacing w:line="194" w:lineRule="auto" w:before="81"/>
        <w:ind w:left="118" w:right="125" w:firstLine="567"/>
        <w:jc w:val="left"/>
        <w:rPr>
          <w:b/>
          <w:sz w:val="28"/>
        </w:rPr>
      </w:pPr>
      <w:r>
        <w:rPr>
          <w:b/>
          <w:w w:val="95"/>
          <w:sz w:val="28"/>
        </w:rPr>
        <w:t>第七章「肺外結核」，增修核酸檢測(NAAT)在肺外結核的應用，以及早   </w:t>
      </w:r>
      <w:r>
        <w:rPr>
          <w:b/>
          <w:sz w:val="28"/>
        </w:rPr>
        <w:t>診斷肺外結核。</w:t>
      </w:r>
    </w:p>
    <w:p>
      <w:pPr>
        <w:spacing w:line="194" w:lineRule="auto" w:before="127"/>
        <w:ind w:left="117" w:right="178" w:firstLine="568"/>
        <w:jc w:val="both"/>
        <w:rPr>
          <w:b/>
          <w:sz w:val="28"/>
        </w:rPr>
      </w:pPr>
      <w:r>
        <w:rPr>
          <w:b/>
          <w:spacing w:val="-2"/>
          <w:sz w:val="28"/>
        </w:rPr>
        <w:t>第九章「愛滋病毒感染者結核病之診療</w:t>
      </w:r>
      <w:r>
        <w:rPr>
          <w:b/>
          <w:spacing w:val="-13"/>
          <w:sz w:val="28"/>
        </w:rPr>
        <w:t>」，增修愛滋病毒感染者，治療愛</w:t>
      </w:r>
      <w:r>
        <w:rPr>
          <w:b/>
          <w:spacing w:val="3"/>
          <w:sz w:val="28"/>
        </w:rPr>
        <w:t>滋病與結核病的藥物選擇，治療結核的免疫重建症候群，以及潛伏結核感染</w:t>
      </w:r>
      <w:r>
        <w:rPr>
          <w:b/>
          <w:spacing w:val="4"/>
          <w:sz w:val="28"/>
        </w:rPr>
        <w:t>的治療。</w:t>
      </w:r>
    </w:p>
    <w:p>
      <w:pPr>
        <w:spacing w:line="194" w:lineRule="auto" w:before="127"/>
        <w:ind w:left="117" w:right="155" w:firstLine="567"/>
        <w:jc w:val="both"/>
        <w:rPr>
          <w:b/>
          <w:sz w:val="28"/>
        </w:rPr>
      </w:pPr>
      <w:r>
        <w:rPr>
          <w:b/>
          <w:spacing w:val="2"/>
          <w:w w:val="95"/>
          <w:sz w:val="28"/>
        </w:rPr>
        <w:t>第十章「潛伏結核感染(</w:t>
      </w:r>
      <w:r>
        <w:rPr>
          <w:b/>
          <w:w w:val="95"/>
          <w:sz w:val="28"/>
        </w:rPr>
        <w:t>LTBI</w:t>
      </w:r>
      <w:r>
        <w:rPr>
          <w:b/>
          <w:spacing w:val="-10"/>
          <w:w w:val="95"/>
          <w:sz w:val="28"/>
        </w:rPr>
        <w:t>)診斷與治療」，參考世界衛生組織之建議，   </w:t>
      </w:r>
      <w:r>
        <w:rPr>
          <w:b/>
          <w:spacing w:val="-2"/>
          <w:sz w:val="28"/>
        </w:rPr>
        <w:t>調整 </w:t>
      </w:r>
      <w:r>
        <w:rPr>
          <w:b/>
          <w:spacing w:val="-3"/>
          <w:sz w:val="28"/>
        </w:rPr>
        <w:t>LTBI</w:t>
      </w:r>
      <w:r>
        <w:rPr>
          <w:b/>
          <w:spacing w:val="2"/>
          <w:sz w:val="28"/>
        </w:rPr>
        <w:t> 檢驗工具(</w:t>
      </w:r>
      <w:r>
        <w:rPr>
          <w:b/>
          <w:sz w:val="28"/>
        </w:rPr>
        <w:t>IGRA)</w:t>
      </w:r>
      <w:r>
        <w:rPr>
          <w:b/>
          <w:spacing w:val="2"/>
          <w:sz w:val="28"/>
        </w:rPr>
        <w:t>使用年齡，建議 </w:t>
      </w:r>
      <w:r>
        <w:rPr>
          <w:b/>
          <w:spacing w:val="-4"/>
          <w:sz w:val="28"/>
        </w:rPr>
        <w:t>LTBI</w:t>
      </w:r>
      <w:r>
        <w:rPr>
          <w:b/>
          <w:spacing w:val="2"/>
          <w:sz w:val="28"/>
        </w:rPr>
        <w:t> 檢驗陽性孕婦進行治療。並增修 </w:t>
      </w:r>
      <w:r>
        <w:rPr>
          <w:b/>
          <w:spacing w:val="-3"/>
          <w:sz w:val="28"/>
        </w:rPr>
        <w:t>LTBI</w:t>
      </w:r>
      <w:r>
        <w:rPr>
          <w:b/>
          <w:spacing w:val="3"/>
          <w:sz w:val="28"/>
        </w:rPr>
        <w:t> 治療處方及不良反應的處置與通報。</w:t>
      </w:r>
    </w:p>
    <w:p>
      <w:pPr>
        <w:spacing w:line="194" w:lineRule="auto" w:before="125"/>
        <w:ind w:left="117" w:right="173" w:firstLine="567"/>
        <w:jc w:val="left"/>
        <w:rPr>
          <w:b/>
          <w:sz w:val="28"/>
        </w:rPr>
      </w:pPr>
      <w:r>
        <w:rPr>
          <w:b/>
          <w:spacing w:val="-11"/>
          <w:sz w:val="28"/>
        </w:rPr>
        <w:t>第十一章「都治策略」，更新都治統計數據、直接觀察治療(</w:t>
      </w:r>
      <w:r>
        <w:rPr>
          <w:b/>
          <w:sz w:val="28"/>
        </w:rPr>
        <w:t>DOT</w:t>
      </w:r>
      <w:r>
        <w:rPr>
          <w:b/>
          <w:spacing w:val="2"/>
          <w:sz w:val="28"/>
        </w:rPr>
        <w:t>)現況及結核病防治成效。</w:t>
      </w:r>
    </w:p>
    <w:p>
      <w:pPr>
        <w:spacing w:line="194" w:lineRule="auto" w:before="128"/>
        <w:ind w:left="117" w:right="106" w:firstLine="567"/>
        <w:jc w:val="both"/>
        <w:rPr>
          <w:b/>
          <w:sz w:val="28"/>
        </w:rPr>
      </w:pPr>
      <w:r>
        <w:rPr>
          <w:b/>
          <w:spacing w:val="-3"/>
          <w:sz w:val="28"/>
        </w:rPr>
        <w:t>第十二章「抗藥性結核病的治療</w:t>
      </w:r>
      <w:r>
        <w:rPr>
          <w:b/>
          <w:spacing w:val="-33"/>
          <w:sz w:val="28"/>
        </w:rPr>
        <w:t>」，因應 </w:t>
      </w:r>
      <w:r>
        <w:rPr>
          <w:b/>
          <w:sz w:val="28"/>
        </w:rPr>
        <w:t>2020</w:t>
      </w:r>
      <w:r>
        <w:rPr>
          <w:b/>
          <w:spacing w:val="2"/>
          <w:sz w:val="28"/>
        </w:rPr>
        <w:t> 年世界衛生組織抗藥性結</w:t>
      </w:r>
      <w:r>
        <w:rPr>
          <w:b/>
          <w:sz w:val="28"/>
        </w:rPr>
        <w:t>核 病 診 治 指 引 改 版 ， 增 修 治 療 處 方 與 藥 物 分 類 ， 建 議 優 先 使 用fluoroquinolones，bedaquiline，linezoid</w:t>
      </w:r>
      <w:r>
        <w:rPr>
          <w:b/>
          <w:spacing w:val="3"/>
          <w:sz w:val="28"/>
        </w:rPr>
        <w:t> 等口服藥物。</w:t>
      </w:r>
    </w:p>
    <w:p>
      <w:pPr>
        <w:spacing w:line="194" w:lineRule="auto" w:before="127"/>
        <w:ind w:left="117" w:right="178" w:firstLine="567"/>
        <w:jc w:val="both"/>
        <w:rPr>
          <w:b/>
          <w:sz w:val="28"/>
        </w:rPr>
      </w:pPr>
      <w:r>
        <w:rPr>
          <w:b/>
          <w:spacing w:val="-2"/>
          <w:sz w:val="28"/>
        </w:rPr>
        <w:t>第十三章「兒童抗藥性結核病之診療</w:t>
      </w:r>
      <w:r>
        <w:rPr>
          <w:b/>
          <w:spacing w:val="-13"/>
          <w:sz w:val="28"/>
        </w:rPr>
        <w:t>」，係本次新增之章節。主要針對未</w:t>
      </w:r>
      <w:r>
        <w:rPr>
          <w:b/>
          <w:spacing w:val="14"/>
          <w:sz w:val="28"/>
        </w:rPr>
        <w:t>滿 </w:t>
      </w:r>
      <w:r>
        <w:rPr>
          <w:b/>
          <w:sz w:val="28"/>
        </w:rPr>
        <w:t>18</w:t>
      </w:r>
      <w:r>
        <w:rPr>
          <w:b/>
          <w:spacing w:val="4"/>
          <w:sz w:val="28"/>
        </w:rPr>
        <w:t> 歲兒童之廣泛抗藥結核病</w:t>
      </w:r>
      <w:r>
        <w:rPr>
          <w:b/>
          <w:sz w:val="28"/>
        </w:rPr>
        <w:t>(XDR-TB)</w:t>
      </w:r>
      <w:r>
        <w:rPr>
          <w:b/>
          <w:spacing w:val="3"/>
          <w:sz w:val="28"/>
        </w:rPr>
        <w:t>、多重抗藥性結核病</w:t>
      </w:r>
      <w:r>
        <w:rPr>
          <w:b/>
          <w:sz w:val="28"/>
        </w:rPr>
        <w:t>(MDR-TB)及rifampin</w:t>
      </w:r>
      <w:r>
        <w:rPr>
          <w:b/>
          <w:spacing w:val="3"/>
          <w:sz w:val="28"/>
        </w:rPr>
        <w:t> 抗藥結核病的治療進行介紹。</w:t>
      </w:r>
    </w:p>
    <w:p>
      <w:pPr>
        <w:spacing w:line="194" w:lineRule="auto" w:before="125"/>
        <w:ind w:left="117" w:right="110" w:firstLine="567"/>
        <w:jc w:val="both"/>
        <w:rPr>
          <w:b/>
          <w:sz w:val="28"/>
        </w:rPr>
      </w:pPr>
      <w:r>
        <w:rPr>
          <w:b/>
          <w:spacing w:val="3"/>
          <w:sz w:val="28"/>
        </w:rPr>
        <w:t>診治指引是以專家意見編寫，如有缺漏不合宜之處，還請各醫療先進指正。臨床診治病人，需要考量各種多變的狀況以及病人的個別差異，只要正</w:t>
      </w:r>
      <w:r>
        <w:rPr>
          <w:b/>
          <w:spacing w:val="-7"/>
          <w:sz w:val="28"/>
        </w:rPr>
        <w:t>確掌握了結核病診治的基本原則，還是應該保有因人而異的處置空間與彈性。</w:t>
      </w:r>
      <w:r>
        <w:rPr>
          <w:b/>
          <w:spacing w:val="3"/>
          <w:sz w:val="28"/>
        </w:rPr>
        <w:t>希望第七版結核病診治指引，對醫療人員在診斷，治療，處置，與預防結核等各方面的工作都有幫助。也希望醫界與公共衛生系統攜手合作，共同為結核防治貢獻心力，努力為下一代創造無結核的新世界。</w:t>
      </w:r>
    </w:p>
    <w:p>
      <w:pPr>
        <w:pStyle w:val="BodyText"/>
        <w:spacing w:before="11"/>
        <w:rPr>
          <w:b/>
          <w:sz w:val="28"/>
        </w:rPr>
      </w:pPr>
    </w:p>
    <w:p>
      <w:pPr>
        <w:spacing w:before="0"/>
        <w:ind w:left="5855" w:right="0" w:firstLine="0"/>
        <w:jc w:val="left"/>
        <w:rPr>
          <w:b/>
          <w:sz w:val="28"/>
        </w:rPr>
      </w:pPr>
      <w:r>
        <w:rPr>
          <w:position w:val="-12"/>
        </w:rPr>
        <w:drawing>
          <wp:inline distT="0" distB="0" distL="0" distR="0">
            <wp:extent cx="1861184" cy="640708"/>
            <wp:effectExtent l="0" t="0" r="0" b="0"/>
            <wp:docPr id="3" name="image2.jpeg" descr="D:\明珠分享區\111.0211-衛生福利部疾病管制署-結核病診治指引第七版(寶慶)\原檔\江振源-ok-1.jp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1861184" cy="640708"/>
                    </a:xfrm>
                    <a:prstGeom prst="rect">
                      <a:avLst/>
                    </a:prstGeom>
                  </pic:spPr>
                </pic:pic>
              </a:graphicData>
            </a:graphic>
          </wp:inline>
        </w:drawing>
      </w:r>
      <w:r>
        <w:rPr>
          <w:position w:val="-12"/>
        </w:rPr>
      </w:r>
      <w:r>
        <w:rPr>
          <w:rFonts w:ascii="Times New Roman" w:eastAsia="Times New Roman"/>
          <w:sz w:val="20"/>
        </w:rPr>
        <w:t>   </w:t>
      </w:r>
      <w:r>
        <w:rPr>
          <w:rFonts w:ascii="Times New Roman" w:eastAsia="Times New Roman"/>
          <w:spacing w:val="-23"/>
          <w:sz w:val="20"/>
        </w:rPr>
        <w:t> </w:t>
      </w:r>
      <w:r>
        <w:rPr>
          <w:b/>
          <w:spacing w:val="4"/>
          <w:w w:val="95"/>
          <w:sz w:val="28"/>
        </w:rPr>
        <w:t>謹識</w:t>
      </w:r>
    </w:p>
    <w:p>
      <w:pPr>
        <w:pStyle w:val="Heading6"/>
        <w:spacing w:before="90"/>
        <w:ind w:left="0" w:right="175"/>
        <w:jc w:val="right"/>
      </w:pPr>
      <w:r>
        <w:rPr/>
        <w:t>2021 年 9</w:t>
      </w:r>
      <w:r>
        <w:rPr>
          <w:spacing w:val="-1"/>
        </w:rPr>
        <w:t> 月</w:t>
      </w:r>
    </w:p>
    <w:p>
      <w:pPr>
        <w:spacing w:after="0"/>
        <w:jc w:val="right"/>
        <w:sectPr>
          <w:pgSz w:w="12250" w:h="17190"/>
          <w:pgMar w:header="0" w:footer="899" w:top="1480" w:bottom="1080" w:left="1300" w:right="1240"/>
        </w:sectPr>
      </w:pPr>
    </w:p>
    <w:p>
      <w:pPr>
        <w:pStyle w:val="BodyText"/>
        <w:spacing w:before="16"/>
        <w:rPr>
          <w:b/>
          <w:sz w:val="10"/>
        </w:rPr>
      </w:pPr>
    </w:p>
    <w:p>
      <w:pPr>
        <w:spacing w:after="0"/>
        <w:rPr>
          <w:sz w:val="10"/>
        </w:rPr>
        <w:sectPr>
          <w:footerReference w:type="default" r:id="rId8"/>
          <w:pgSz w:w="17190" w:h="12250" w:orient="landscape"/>
          <w:pgMar w:footer="0" w:header="0" w:top="1140" w:bottom="280" w:left="1640" w:right="1640"/>
        </w:sectPr>
      </w:pPr>
    </w:p>
    <w:p>
      <w:pPr>
        <w:pStyle w:val="BodyText"/>
        <w:spacing w:before="2"/>
        <w:rPr>
          <w:b/>
          <w:sz w:val="9"/>
        </w:rPr>
      </w:pPr>
    </w:p>
    <w:p>
      <w:pPr>
        <w:spacing w:before="4"/>
        <w:ind w:left="5091" w:right="4598" w:firstLine="0"/>
        <w:jc w:val="center"/>
        <w:rPr>
          <w:b/>
          <w:sz w:val="38"/>
        </w:rPr>
      </w:pPr>
      <w:r>
        <w:rPr>
          <w:b/>
          <w:sz w:val="38"/>
        </w:rPr>
        <w:t>英文簡寫與中英文對照表</w:t>
      </w:r>
    </w:p>
    <w:p>
      <w:pPr>
        <w:pStyle w:val="BodyText"/>
        <w:rPr>
          <w:b/>
          <w:sz w:val="4"/>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9"/>
        <w:gridCol w:w="6395"/>
        <w:gridCol w:w="4435"/>
      </w:tblGrid>
      <w:tr>
        <w:trPr>
          <w:trHeight w:val="512" w:hRule="atLeast"/>
        </w:trPr>
        <w:tc>
          <w:tcPr>
            <w:tcW w:w="2539" w:type="dxa"/>
            <w:shd w:val="clear" w:color="auto" w:fill="F1F1F1"/>
          </w:tcPr>
          <w:p>
            <w:pPr>
              <w:pStyle w:val="TableParagraph"/>
              <w:spacing w:line="487" w:lineRule="exact" w:before="5"/>
              <w:ind w:left="729"/>
              <w:rPr>
                <w:b/>
                <w:sz w:val="27"/>
              </w:rPr>
            </w:pPr>
            <w:r>
              <w:rPr>
                <w:b/>
                <w:sz w:val="27"/>
              </w:rPr>
              <w:t>英文簡寫</w:t>
            </w:r>
          </w:p>
        </w:tc>
        <w:tc>
          <w:tcPr>
            <w:tcW w:w="6395" w:type="dxa"/>
            <w:shd w:val="clear" w:color="auto" w:fill="F1F1F1"/>
          </w:tcPr>
          <w:p>
            <w:pPr>
              <w:pStyle w:val="TableParagraph"/>
              <w:spacing w:line="487" w:lineRule="exact" w:before="5"/>
              <w:ind w:left="2906" w:right="2898"/>
              <w:jc w:val="center"/>
              <w:rPr>
                <w:b/>
                <w:sz w:val="27"/>
              </w:rPr>
            </w:pPr>
            <w:r>
              <w:rPr>
                <w:b/>
                <w:sz w:val="27"/>
              </w:rPr>
              <w:t>英文</w:t>
            </w:r>
          </w:p>
        </w:tc>
        <w:tc>
          <w:tcPr>
            <w:tcW w:w="4435" w:type="dxa"/>
            <w:shd w:val="clear" w:color="auto" w:fill="F1F1F1"/>
          </w:tcPr>
          <w:p>
            <w:pPr>
              <w:pStyle w:val="TableParagraph"/>
              <w:spacing w:line="487" w:lineRule="exact" w:before="5"/>
              <w:ind w:left="1927" w:right="1918"/>
              <w:jc w:val="center"/>
              <w:rPr>
                <w:b/>
                <w:sz w:val="27"/>
              </w:rPr>
            </w:pPr>
            <w:r>
              <w:rPr>
                <w:b/>
                <w:sz w:val="27"/>
              </w:rPr>
              <w:t>中文</w:t>
            </w:r>
          </w:p>
        </w:tc>
      </w:tr>
      <w:tr>
        <w:trPr>
          <w:trHeight w:val="511" w:hRule="atLeast"/>
        </w:trPr>
        <w:tc>
          <w:tcPr>
            <w:tcW w:w="2539" w:type="dxa"/>
          </w:tcPr>
          <w:p>
            <w:pPr>
              <w:pStyle w:val="TableParagraph"/>
              <w:rPr>
                <w:rFonts w:ascii="Times New Roman"/>
                <w:sz w:val="26"/>
              </w:rPr>
            </w:pPr>
          </w:p>
        </w:tc>
        <w:tc>
          <w:tcPr>
            <w:tcW w:w="6395" w:type="dxa"/>
          </w:tcPr>
          <w:p>
            <w:pPr>
              <w:pStyle w:val="TableParagraph"/>
              <w:spacing w:line="481" w:lineRule="exact" w:before="11"/>
              <w:ind w:left="97"/>
              <w:rPr>
                <w:sz w:val="27"/>
              </w:rPr>
            </w:pPr>
            <w:r>
              <w:rPr>
                <w:sz w:val="27"/>
              </w:rPr>
              <w:t>adherence</w:t>
            </w:r>
          </w:p>
        </w:tc>
        <w:tc>
          <w:tcPr>
            <w:tcW w:w="4435" w:type="dxa"/>
          </w:tcPr>
          <w:p>
            <w:pPr>
              <w:pStyle w:val="TableParagraph"/>
              <w:spacing w:line="481" w:lineRule="exact" w:before="11"/>
              <w:ind w:left="214"/>
              <w:rPr>
                <w:sz w:val="27"/>
              </w:rPr>
            </w:pPr>
            <w:r>
              <w:rPr>
                <w:sz w:val="27"/>
              </w:rPr>
              <w:t>服藥順從性</w:t>
            </w:r>
          </w:p>
        </w:tc>
      </w:tr>
      <w:tr>
        <w:trPr>
          <w:trHeight w:val="512" w:hRule="atLeast"/>
        </w:trPr>
        <w:tc>
          <w:tcPr>
            <w:tcW w:w="2539" w:type="dxa"/>
          </w:tcPr>
          <w:p>
            <w:pPr>
              <w:pStyle w:val="TableParagraph"/>
              <w:spacing w:line="481" w:lineRule="exact" w:before="11"/>
              <w:ind w:left="214"/>
              <w:rPr>
                <w:sz w:val="27"/>
              </w:rPr>
            </w:pPr>
            <w:r>
              <w:rPr>
                <w:sz w:val="27"/>
              </w:rPr>
              <w:t>ADR</w:t>
            </w:r>
          </w:p>
        </w:tc>
        <w:tc>
          <w:tcPr>
            <w:tcW w:w="6395" w:type="dxa"/>
          </w:tcPr>
          <w:p>
            <w:pPr>
              <w:pStyle w:val="TableParagraph"/>
              <w:spacing w:line="481" w:lineRule="exact" w:before="11"/>
              <w:ind w:left="97"/>
              <w:rPr>
                <w:sz w:val="27"/>
              </w:rPr>
            </w:pPr>
            <w:r>
              <w:rPr>
                <w:sz w:val="27"/>
              </w:rPr>
              <w:t>adverse drug reaction</w:t>
            </w:r>
          </w:p>
        </w:tc>
        <w:tc>
          <w:tcPr>
            <w:tcW w:w="4435" w:type="dxa"/>
          </w:tcPr>
          <w:p>
            <w:pPr>
              <w:pStyle w:val="TableParagraph"/>
              <w:spacing w:line="481" w:lineRule="exact" w:before="11"/>
              <w:ind w:left="214"/>
              <w:rPr>
                <w:sz w:val="27"/>
              </w:rPr>
            </w:pPr>
            <w:r>
              <w:rPr>
                <w:sz w:val="27"/>
              </w:rPr>
              <w:t>藥物不良反應</w:t>
            </w:r>
          </w:p>
        </w:tc>
      </w:tr>
      <w:tr>
        <w:trPr>
          <w:trHeight w:val="512" w:hRule="atLeast"/>
        </w:trPr>
        <w:tc>
          <w:tcPr>
            <w:tcW w:w="2539" w:type="dxa"/>
          </w:tcPr>
          <w:p>
            <w:pPr>
              <w:pStyle w:val="TableParagraph"/>
              <w:spacing w:line="481" w:lineRule="exact" w:before="11"/>
              <w:ind w:left="214"/>
              <w:rPr>
                <w:sz w:val="27"/>
              </w:rPr>
            </w:pPr>
            <w:r>
              <w:rPr>
                <w:sz w:val="27"/>
              </w:rPr>
              <w:t>AFB</w:t>
            </w:r>
          </w:p>
        </w:tc>
        <w:tc>
          <w:tcPr>
            <w:tcW w:w="6395" w:type="dxa"/>
          </w:tcPr>
          <w:p>
            <w:pPr>
              <w:pStyle w:val="TableParagraph"/>
              <w:spacing w:line="481" w:lineRule="exact" w:before="11"/>
              <w:ind w:left="97"/>
              <w:rPr>
                <w:sz w:val="27"/>
              </w:rPr>
            </w:pPr>
            <w:r>
              <w:rPr>
                <w:sz w:val="27"/>
              </w:rPr>
              <w:t>acid-fast bacilli</w:t>
            </w:r>
          </w:p>
        </w:tc>
        <w:tc>
          <w:tcPr>
            <w:tcW w:w="4435" w:type="dxa"/>
          </w:tcPr>
          <w:p>
            <w:pPr>
              <w:pStyle w:val="TableParagraph"/>
              <w:spacing w:line="481" w:lineRule="exact" w:before="11"/>
              <w:ind w:left="214"/>
              <w:rPr>
                <w:sz w:val="27"/>
              </w:rPr>
            </w:pPr>
            <w:r>
              <w:rPr>
                <w:sz w:val="27"/>
              </w:rPr>
              <w:t>耐酸性桿菌</w:t>
            </w:r>
          </w:p>
        </w:tc>
      </w:tr>
      <w:tr>
        <w:trPr>
          <w:trHeight w:val="511" w:hRule="atLeast"/>
        </w:trPr>
        <w:tc>
          <w:tcPr>
            <w:tcW w:w="2539" w:type="dxa"/>
          </w:tcPr>
          <w:p>
            <w:pPr>
              <w:pStyle w:val="TableParagraph"/>
              <w:spacing w:line="481" w:lineRule="exact" w:before="11"/>
              <w:ind w:left="214"/>
              <w:rPr>
                <w:sz w:val="27"/>
              </w:rPr>
            </w:pPr>
            <w:r>
              <w:rPr>
                <w:sz w:val="27"/>
              </w:rPr>
              <w:t>ALT</w:t>
            </w:r>
          </w:p>
        </w:tc>
        <w:tc>
          <w:tcPr>
            <w:tcW w:w="6395" w:type="dxa"/>
          </w:tcPr>
          <w:p>
            <w:pPr>
              <w:pStyle w:val="TableParagraph"/>
              <w:spacing w:line="481" w:lineRule="exact" w:before="11"/>
              <w:ind w:left="97"/>
              <w:rPr>
                <w:sz w:val="27"/>
              </w:rPr>
            </w:pPr>
            <w:r>
              <w:rPr>
                <w:sz w:val="27"/>
              </w:rPr>
              <w:t>alanine aminotransferase</w:t>
            </w:r>
          </w:p>
        </w:tc>
        <w:tc>
          <w:tcPr>
            <w:tcW w:w="4435" w:type="dxa"/>
          </w:tcPr>
          <w:p>
            <w:pPr>
              <w:pStyle w:val="TableParagraph"/>
              <w:spacing w:line="481" w:lineRule="exact" w:before="11"/>
              <w:ind w:left="214"/>
              <w:rPr>
                <w:sz w:val="27"/>
              </w:rPr>
            </w:pPr>
            <w:r>
              <w:rPr>
                <w:sz w:val="27"/>
              </w:rPr>
              <w:t>麩丙酮酸轉胺酶</w:t>
            </w:r>
          </w:p>
        </w:tc>
      </w:tr>
      <w:tr>
        <w:trPr>
          <w:trHeight w:val="512" w:hRule="atLeast"/>
        </w:trPr>
        <w:tc>
          <w:tcPr>
            <w:tcW w:w="2539" w:type="dxa"/>
          </w:tcPr>
          <w:p>
            <w:pPr>
              <w:pStyle w:val="TableParagraph"/>
              <w:spacing w:line="481" w:lineRule="exact" w:before="11"/>
              <w:ind w:left="214"/>
              <w:rPr>
                <w:sz w:val="27"/>
              </w:rPr>
            </w:pPr>
            <w:r>
              <w:rPr>
                <w:sz w:val="27"/>
              </w:rPr>
              <w:t>AST</w:t>
            </w:r>
          </w:p>
        </w:tc>
        <w:tc>
          <w:tcPr>
            <w:tcW w:w="6395" w:type="dxa"/>
          </w:tcPr>
          <w:p>
            <w:pPr>
              <w:pStyle w:val="TableParagraph"/>
              <w:spacing w:line="481" w:lineRule="exact" w:before="11"/>
              <w:ind w:left="97"/>
              <w:rPr>
                <w:sz w:val="27"/>
              </w:rPr>
            </w:pPr>
            <w:r>
              <w:rPr>
                <w:sz w:val="27"/>
              </w:rPr>
              <w:t>aspartate aminotransferase</w:t>
            </w:r>
          </w:p>
        </w:tc>
        <w:tc>
          <w:tcPr>
            <w:tcW w:w="4435" w:type="dxa"/>
          </w:tcPr>
          <w:p>
            <w:pPr>
              <w:pStyle w:val="TableParagraph"/>
              <w:spacing w:line="481" w:lineRule="exact" w:before="11"/>
              <w:ind w:left="214"/>
              <w:rPr>
                <w:sz w:val="27"/>
              </w:rPr>
            </w:pPr>
            <w:r>
              <w:rPr>
                <w:sz w:val="27"/>
              </w:rPr>
              <w:t>麩草醋酸轉胺酶</w:t>
            </w:r>
          </w:p>
        </w:tc>
      </w:tr>
      <w:tr>
        <w:trPr>
          <w:trHeight w:val="511" w:hRule="atLeast"/>
        </w:trPr>
        <w:tc>
          <w:tcPr>
            <w:tcW w:w="2539" w:type="dxa"/>
          </w:tcPr>
          <w:p>
            <w:pPr>
              <w:pStyle w:val="TableParagraph"/>
              <w:spacing w:line="481" w:lineRule="exact" w:before="11"/>
              <w:ind w:left="214"/>
              <w:rPr>
                <w:sz w:val="27"/>
              </w:rPr>
            </w:pPr>
            <w:r>
              <w:rPr>
                <w:sz w:val="27"/>
              </w:rPr>
              <w:t>BCG</w:t>
            </w:r>
          </w:p>
        </w:tc>
        <w:tc>
          <w:tcPr>
            <w:tcW w:w="6395" w:type="dxa"/>
          </w:tcPr>
          <w:p>
            <w:pPr>
              <w:pStyle w:val="TableParagraph"/>
              <w:spacing w:line="481" w:lineRule="exact" w:before="11"/>
              <w:ind w:left="97"/>
              <w:rPr>
                <w:sz w:val="27"/>
              </w:rPr>
            </w:pPr>
            <w:r>
              <w:rPr>
                <w:sz w:val="27"/>
              </w:rPr>
              <w:t>Bacille Calmette–Guérin</w:t>
            </w:r>
          </w:p>
        </w:tc>
        <w:tc>
          <w:tcPr>
            <w:tcW w:w="4435" w:type="dxa"/>
          </w:tcPr>
          <w:p>
            <w:pPr>
              <w:pStyle w:val="TableParagraph"/>
              <w:spacing w:line="481" w:lineRule="exact" w:before="11"/>
              <w:ind w:left="214"/>
              <w:rPr>
                <w:sz w:val="27"/>
              </w:rPr>
            </w:pPr>
            <w:r>
              <w:rPr>
                <w:sz w:val="27"/>
              </w:rPr>
              <w:t>卡介苗</w:t>
            </w:r>
          </w:p>
        </w:tc>
      </w:tr>
      <w:tr>
        <w:trPr>
          <w:trHeight w:val="512" w:hRule="atLeast"/>
        </w:trPr>
        <w:tc>
          <w:tcPr>
            <w:tcW w:w="2539" w:type="dxa"/>
          </w:tcPr>
          <w:p>
            <w:pPr>
              <w:pStyle w:val="TableParagraph"/>
              <w:rPr>
                <w:rFonts w:ascii="Times New Roman"/>
                <w:sz w:val="26"/>
              </w:rPr>
            </w:pPr>
          </w:p>
        </w:tc>
        <w:tc>
          <w:tcPr>
            <w:tcW w:w="6395" w:type="dxa"/>
          </w:tcPr>
          <w:p>
            <w:pPr>
              <w:pStyle w:val="TableParagraph"/>
              <w:spacing w:line="481" w:lineRule="exact" w:before="11"/>
              <w:ind w:left="97"/>
              <w:rPr>
                <w:sz w:val="27"/>
              </w:rPr>
            </w:pPr>
            <w:r>
              <w:rPr>
                <w:sz w:val="27"/>
              </w:rPr>
              <w:t>case</w:t>
            </w:r>
          </w:p>
        </w:tc>
        <w:tc>
          <w:tcPr>
            <w:tcW w:w="4435" w:type="dxa"/>
          </w:tcPr>
          <w:p>
            <w:pPr>
              <w:pStyle w:val="TableParagraph"/>
              <w:spacing w:line="481" w:lineRule="exact" w:before="11"/>
              <w:ind w:left="214"/>
              <w:rPr>
                <w:sz w:val="27"/>
              </w:rPr>
            </w:pPr>
            <w:r>
              <w:rPr>
                <w:sz w:val="27"/>
              </w:rPr>
              <w:t>個案</w:t>
            </w:r>
          </w:p>
        </w:tc>
      </w:tr>
      <w:tr>
        <w:trPr>
          <w:trHeight w:val="533" w:hRule="atLeast"/>
        </w:trPr>
        <w:tc>
          <w:tcPr>
            <w:tcW w:w="2539" w:type="dxa"/>
          </w:tcPr>
          <w:p>
            <w:pPr>
              <w:pStyle w:val="TableParagraph"/>
              <w:spacing w:line="491" w:lineRule="exact" w:before="22"/>
              <w:ind w:left="214"/>
              <w:rPr>
                <w:sz w:val="27"/>
              </w:rPr>
            </w:pPr>
            <w:r>
              <w:rPr>
                <w:sz w:val="27"/>
              </w:rPr>
              <w:t>CBC/DC</w:t>
            </w:r>
          </w:p>
        </w:tc>
        <w:tc>
          <w:tcPr>
            <w:tcW w:w="6395" w:type="dxa"/>
          </w:tcPr>
          <w:p>
            <w:pPr>
              <w:pStyle w:val="TableParagraph"/>
              <w:spacing w:line="491" w:lineRule="exact" w:before="22"/>
              <w:ind w:left="97"/>
              <w:rPr>
                <w:sz w:val="27"/>
              </w:rPr>
            </w:pPr>
            <w:r>
              <w:rPr>
                <w:sz w:val="27"/>
              </w:rPr>
              <w:t>complete blood count/differential count</w:t>
            </w:r>
          </w:p>
        </w:tc>
        <w:tc>
          <w:tcPr>
            <w:tcW w:w="4435" w:type="dxa"/>
          </w:tcPr>
          <w:p>
            <w:pPr>
              <w:pStyle w:val="TableParagraph"/>
              <w:spacing w:line="464" w:lineRule="exact" w:before="50"/>
              <w:ind w:left="214"/>
              <w:rPr>
                <w:sz w:val="27"/>
              </w:rPr>
            </w:pPr>
            <w:r>
              <w:rPr>
                <w:sz w:val="27"/>
              </w:rPr>
              <w:t>全套血球計數/白血球分類</w:t>
            </w:r>
          </w:p>
        </w:tc>
      </w:tr>
      <w:tr>
        <w:trPr>
          <w:trHeight w:val="532" w:hRule="atLeast"/>
        </w:trPr>
        <w:tc>
          <w:tcPr>
            <w:tcW w:w="2539" w:type="dxa"/>
          </w:tcPr>
          <w:p>
            <w:pPr>
              <w:pStyle w:val="TableParagraph"/>
              <w:spacing w:line="491" w:lineRule="exact" w:before="21"/>
              <w:ind w:left="214"/>
              <w:rPr>
                <w:sz w:val="27"/>
              </w:rPr>
            </w:pPr>
            <w:r>
              <w:rPr>
                <w:sz w:val="27"/>
              </w:rPr>
              <w:t>Ccr</w:t>
            </w:r>
          </w:p>
        </w:tc>
        <w:tc>
          <w:tcPr>
            <w:tcW w:w="6395" w:type="dxa"/>
          </w:tcPr>
          <w:p>
            <w:pPr>
              <w:pStyle w:val="TableParagraph"/>
              <w:spacing w:line="491" w:lineRule="exact" w:before="21"/>
              <w:ind w:left="97"/>
              <w:rPr>
                <w:sz w:val="27"/>
              </w:rPr>
            </w:pPr>
            <w:r>
              <w:rPr>
                <w:sz w:val="27"/>
              </w:rPr>
              <w:t>creatinine clearance rate</w:t>
            </w:r>
          </w:p>
        </w:tc>
        <w:tc>
          <w:tcPr>
            <w:tcW w:w="4435" w:type="dxa"/>
          </w:tcPr>
          <w:p>
            <w:pPr>
              <w:pStyle w:val="TableParagraph"/>
              <w:spacing w:line="491" w:lineRule="exact" w:before="21"/>
              <w:ind w:left="214"/>
              <w:rPr>
                <w:sz w:val="27"/>
              </w:rPr>
            </w:pPr>
            <w:r>
              <w:rPr>
                <w:sz w:val="27"/>
              </w:rPr>
              <w:t>肌酸酐廓清率</w:t>
            </w:r>
          </w:p>
        </w:tc>
      </w:tr>
      <w:tr>
        <w:trPr>
          <w:trHeight w:val="533" w:hRule="atLeast"/>
        </w:trPr>
        <w:tc>
          <w:tcPr>
            <w:tcW w:w="2539" w:type="dxa"/>
          </w:tcPr>
          <w:p>
            <w:pPr>
              <w:pStyle w:val="TableParagraph"/>
              <w:rPr>
                <w:rFonts w:ascii="Times New Roman"/>
                <w:sz w:val="26"/>
              </w:rPr>
            </w:pPr>
          </w:p>
        </w:tc>
        <w:tc>
          <w:tcPr>
            <w:tcW w:w="6395" w:type="dxa"/>
          </w:tcPr>
          <w:p>
            <w:pPr>
              <w:pStyle w:val="TableParagraph"/>
              <w:spacing w:line="491" w:lineRule="exact" w:before="22"/>
              <w:ind w:left="97"/>
              <w:rPr>
                <w:sz w:val="27"/>
              </w:rPr>
            </w:pPr>
            <w:r>
              <w:rPr>
                <w:sz w:val="27"/>
              </w:rPr>
              <w:t>continuation phase</w:t>
            </w:r>
          </w:p>
        </w:tc>
        <w:tc>
          <w:tcPr>
            <w:tcW w:w="4435" w:type="dxa"/>
          </w:tcPr>
          <w:p>
            <w:pPr>
              <w:pStyle w:val="TableParagraph"/>
              <w:spacing w:line="491" w:lineRule="exact" w:before="22"/>
              <w:ind w:left="214"/>
              <w:rPr>
                <w:sz w:val="27"/>
              </w:rPr>
            </w:pPr>
            <w:r>
              <w:rPr>
                <w:sz w:val="27"/>
              </w:rPr>
              <w:t>持續期</w:t>
            </w:r>
          </w:p>
        </w:tc>
      </w:tr>
      <w:tr>
        <w:trPr>
          <w:trHeight w:val="532" w:hRule="atLeast"/>
        </w:trPr>
        <w:tc>
          <w:tcPr>
            <w:tcW w:w="2539" w:type="dxa"/>
          </w:tcPr>
          <w:p>
            <w:pPr>
              <w:pStyle w:val="TableParagraph"/>
              <w:spacing w:line="491" w:lineRule="exact" w:before="21"/>
              <w:ind w:left="214"/>
              <w:rPr>
                <w:sz w:val="27"/>
              </w:rPr>
            </w:pPr>
            <w:r>
              <w:rPr>
                <w:sz w:val="27"/>
              </w:rPr>
              <w:t>CD4</w:t>
            </w:r>
          </w:p>
        </w:tc>
        <w:tc>
          <w:tcPr>
            <w:tcW w:w="6395" w:type="dxa"/>
          </w:tcPr>
          <w:p>
            <w:pPr>
              <w:pStyle w:val="TableParagraph"/>
              <w:spacing w:line="491" w:lineRule="exact" w:before="21"/>
              <w:ind w:left="96"/>
              <w:rPr>
                <w:sz w:val="27"/>
              </w:rPr>
            </w:pPr>
            <w:r>
              <w:rPr>
                <w:sz w:val="27"/>
              </w:rPr>
              <w:t>Cluster of Differentiation 4</w:t>
            </w:r>
          </w:p>
        </w:tc>
        <w:tc>
          <w:tcPr>
            <w:tcW w:w="4435" w:type="dxa"/>
          </w:tcPr>
          <w:p>
            <w:pPr>
              <w:pStyle w:val="TableParagraph"/>
              <w:rPr>
                <w:rFonts w:ascii="Times New Roman"/>
                <w:sz w:val="26"/>
              </w:rPr>
            </w:pPr>
          </w:p>
        </w:tc>
      </w:tr>
      <w:tr>
        <w:trPr>
          <w:trHeight w:val="533" w:hRule="atLeast"/>
        </w:trPr>
        <w:tc>
          <w:tcPr>
            <w:tcW w:w="2539" w:type="dxa"/>
          </w:tcPr>
          <w:p>
            <w:pPr>
              <w:pStyle w:val="TableParagraph"/>
              <w:spacing w:line="491" w:lineRule="exact" w:before="22"/>
              <w:ind w:left="214"/>
              <w:rPr>
                <w:sz w:val="27"/>
              </w:rPr>
            </w:pPr>
            <w:r>
              <w:rPr>
                <w:sz w:val="27"/>
              </w:rPr>
              <w:t>CDC</w:t>
            </w:r>
          </w:p>
        </w:tc>
        <w:tc>
          <w:tcPr>
            <w:tcW w:w="6395" w:type="dxa"/>
          </w:tcPr>
          <w:p>
            <w:pPr>
              <w:pStyle w:val="TableParagraph"/>
              <w:spacing w:line="491" w:lineRule="exact" w:before="22"/>
              <w:ind w:left="97"/>
              <w:rPr>
                <w:sz w:val="27"/>
              </w:rPr>
            </w:pPr>
            <w:r>
              <w:rPr>
                <w:sz w:val="27"/>
              </w:rPr>
              <w:t>Centers for Disease Control and Prevention</w:t>
            </w:r>
          </w:p>
        </w:tc>
        <w:tc>
          <w:tcPr>
            <w:tcW w:w="4435" w:type="dxa"/>
          </w:tcPr>
          <w:p>
            <w:pPr>
              <w:pStyle w:val="TableParagraph"/>
              <w:spacing w:line="491" w:lineRule="exact" w:before="22"/>
              <w:ind w:left="214"/>
              <w:rPr>
                <w:sz w:val="27"/>
              </w:rPr>
            </w:pPr>
            <w:r>
              <w:rPr>
                <w:sz w:val="27"/>
              </w:rPr>
              <w:t>美國疾病管制與預防中心</w:t>
            </w:r>
          </w:p>
        </w:tc>
      </w:tr>
      <w:tr>
        <w:trPr>
          <w:trHeight w:val="532" w:hRule="atLeast"/>
        </w:trPr>
        <w:tc>
          <w:tcPr>
            <w:tcW w:w="2539" w:type="dxa"/>
          </w:tcPr>
          <w:p>
            <w:pPr>
              <w:pStyle w:val="TableParagraph"/>
              <w:spacing w:line="491" w:lineRule="exact" w:before="21"/>
              <w:ind w:left="214"/>
              <w:rPr>
                <w:sz w:val="27"/>
              </w:rPr>
            </w:pPr>
            <w:r>
              <w:rPr>
                <w:sz w:val="27"/>
              </w:rPr>
              <w:t>CNS</w:t>
            </w:r>
          </w:p>
        </w:tc>
        <w:tc>
          <w:tcPr>
            <w:tcW w:w="6395" w:type="dxa"/>
          </w:tcPr>
          <w:p>
            <w:pPr>
              <w:pStyle w:val="TableParagraph"/>
              <w:spacing w:line="491" w:lineRule="exact" w:before="21"/>
              <w:ind w:left="96"/>
              <w:rPr>
                <w:sz w:val="27"/>
              </w:rPr>
            </w:pPr>
            <w:r>
              <w:rPr>
                <w:sz w:val="27"/>
              </w:rPr>
              <w:t>central nervous system</w:t>
            </w:r>
          </w:p>
        </w:tc>
        <w:tc>
          <w:tcPr>
            <w:tcW w:w="4435" w:type="dxa"/>
          </w:tcPr>
          <w:p>
            <w:pPr>
              <w:pStyle w:val="TableParagraph"/>
              <w:spacing w:line="491" w:lineRule="exact" w:before="21"/>
              <w:ind w:left="214"/>
              <w:rPr>
                <w:sz w:val="27"/>
              </w:rPr>
            </w:pPr>
            <w:r>
              <w:rPr>
                <w:sz w:val="27"/>
              </w:rPr>
              <w:t>中央神經系統</w:t>
            </w:r>
          </w:p>
        </w:tc>
      </w:tr>
      <w:tr>
        <w:trPr>
          <w:trHeight w:val="533" w:hRule="atLeast"/>
        </w:trPr>
        <w:tc>
          <w:tcPr>
            <w:tcW w:w="2539" w:type="dxa"/>
          </w:tcPr>
          <w:p>
            <w:pPr>
              <w:pStyle w:val="TableParagraph"/>
              <w:spacing w:line="491" w:lineRule="exact" w:before="22"/>
              <w:ind w:left="214"/>
              <w:rPr>
                <w:sz w:val="27"/>
              </w:rPr>
            </w:pPr>
            <w:r>
              <w:rPr>
                <w:sz w:val="27"/>
              </w:rPr>
              <w:t>CXR</w:t>
            </w:r>
          </w:p>
        </w:tc>
        <w:tc>
          <w:tcPr>
            <w:tcW w:w="6395" w:type="dxa"/>
          </w:tcPr>
          <w:p>
            <w:pPr>
              <w:pStyle w:val="TableParagraph"/>
              <w:spacing w:line="491" w:lineRule="exact" w:before="22"/>
              <w:ind w:left="97"/>
              <w:rPr>
                <w:sz w:val="27"/>
              </w:rPr>
            </w:pPr>
            <w:r>
              <w:rPr>
                <w:sz w:val="27"/>
              </w:rPr>
              <w:t>chest X-ray (radiography)</w:t>
            </w:r>
          </w:p>
        </w:tc>
        <w:tc>
          <w:tcPr>
            <w:tcW w:w="4435" w:type="dxa"/>
          </w:tcPr>
          <w:p>
            <w:pPr>
              <w:pStyle w:val="TableParagraph"/>
              <w:spacing w:line="491" w:lineRule="exact" w:before="22"/>
              <w:ind w:left="214"/>
              <w:rPr>
                <w:sz w:val="27"/>
              </w:rPr>
            </w:pPr>
            <w:r>
              <w:rPr>
                <w:sz w:val="27"/>
              </w:rPr>
              <w:t>胸部X 光</w:t>
            </w:r>
          </w:p>
        </w:tc>
      </w:tr>
      <w:tr>
        <w:trPr>
          <w:trHeight w:val="532" w:hRule="atLeast"/>
        </w:trPr>
        <w:tc>
          <w:tcPr>
            <w:tcW w:w="2539" w:type="dxa"/>
          </w:tcPr>
          <w:p>
            <w:pPr>
              <w:pStyle w:val="TableParagraph"/>
              <w:spacing w:line="491" w:lineRule="exact" w:before="21"/>
              <w:ind w:left="214"/>
              <w:rPr>
                <w:sz w:val="27"/>
              </w:rPr>
            </w:pPr>
            <w:r>
              <w:rPr>
                <w:sz w:val="27"/>
              </w:rPr>
              <w:t>DC</w:t>
            </w:r>
          </w:p>
        </w:tc>
        <w:tc>
          <w:tcPr>
            <w:tcW w:w="6395" w:type="dxa"/>
          </w:tcPr>
          <w:p>
            <w:pPr>
              <w:pStyle w:val="TableParagraph"/>
              <w:spacing w:line="491" w:lineRule="exact" w:before="21"/>
              <w:ind w:left="97"/>
              <w:rPr>
                <w:sz w:val="27"/>
              </w:rPr>
            </w:pPr>
            <w:r>
              <w:rPr>
                <w:sz w:val="27"/>
              </w:rPr>
              <w:t>differential count</w:t>
            </w:r>
          </w:p>
        </w:tc>
        <w:tc>
          <w:tcPr>
            <w:tcW w:w="4435" w:type="dxa"/>
          </w:tcPr>
          <w:p>
            <w:pPr>
              <w:pStyle w:val="TableParagraph"/>
              <w:spacing w:line="490" w:lineRule="exact" w:before="22"/>
              <w:ind w:left="214"/>
              <w:rPr>
                <w:sz w:val="27"/>
              </w:rPr>
            </w:pPr>
            <w:r>
              <w:rPr>
                <w:sz w:val="27"/>
              </w:rPr>
              <w:t>白血球分類</w:t>
            </w:r>
          </w:p>
        </w:tc>
      </w:tr>
    </w:tbl>
    <w:p>
      <w:pPr>
        <w:spacing w:after="0" w:line="490" w:lineRule="exact"/>
        <w:rPr>
          <w:sz w:val="27"/>
        </w:rPr>
        <w:sectPr>
          <w:footerReference w:type="default" r:id="rId9"/>
          <w:pgSz w:w="17190" w:h="12250" w:orient="landscape"/>
          <w:pgMar w:footer="819" w:header="0" w:top="1140" w:bottom="1000" w:left="1640" w:right="1640"/>
          <w:pgNumType w:start="1"/>
        </w:sectPr>
      </w:pPr>
    </w:p>
    <w:p>
      <w:pPr>
        <w:pStyle w:val="BodyText"/>
        <w:rPr>
          <w:b/>
          <w:sz w:val="20"/>
        </w:rPr>
      </w:pPr>
    </w:p>
    <w:p>
      <w:pPr>
        <w:pStyle w:val="BodyText"/>
        <w:spacing w:before="7"/>
        <w:rPr>
          <w:b/>
          <w:sz w:val="19"/>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2"/>
        <w:gridCol w:w="6461"/>
        <w:gridCol w:w="4481"/>
      </w:tblGrid>
      <w:tr>
        <w:trPr>
          <w:trHeight w:val="528" w:hRule="atLeast"/>
        </w:trPr>
        <w:tc>
          <w:tcPr>
            <w:tcW w:w="2712" w:type="dxa"/>
            <w:shd w:val="clear" w:color="auto" w:fill="F1F1F1"/>
          </w:tcPr>
          <w:p>
            <w:pPr>
              <w:pStyle w:val="TableParagraph"/>
              <w:spacing w:line="483" w:lineRule="exact" w:before="26"/>
              <w:ind w:left="816"/>
              <w:rPr>
                <w:b/>
                <w:sz w:val="27"/>
              </w:rPr>
            </w:pPr>
            <w:r>
              <w:rPr>
                <w:b/>
                <w:sz w:val="27"/>
              </w:rPr>
              <w:t>英文簡寫</w:t>
            </w:r>
          </w:p>
        </w:tc>
        <w:tc>
          <w:tcPr>
            <w:tcW w:w="6461" w:type="dxa"/>
            <w:shd w:val="clear" w:color="auto" w:fill="F1F1F1"/>
          </w:tcPr>
          <w:p>
            <w:pPr>
              <w:pStyle w:val="TableParagraph"/>
              <w:spacing w:line="483" w:lineRule="exact" w:before="26"/>
              <w:ind w:left="2941" w:right="2930"/>
              <w:jc w:val="center"/>
              <w:rPr>
                <w:b/>
                <w:sz w:val="27"/>
              </w:rPr>
            </w:pPr>
            <w:r>
              <w:rPr>
                <w:b/>
                <w:sz w:val="27"/>
              </w:rPr>
              <w:t>英文</w:t>
            </w:r>
          </w:p>
        </w:tc>
        <w:tc>
          <w:tcPr>
            <w:tcW w:w="4481" w:type="dxa"/>
            <w:shd w:val="clear" w:color="auto" w:fill="F1F1F1"/>
          </w:tcPr>
          <w:p>
            <w:pPr>
              <w:pStyle w:val="TableParagraph"/>
              <w:spacing w:line="483" w:lineRule="exact" w:before="26"/>
              <w:ind w:left="1906" w:right="1897"/>
              <w:jc w:val="center"/>
              <w:rPr>
                <w:b/>
                <w:sz w:val="27"/>
              </w:rPr>
            </w:pPr>
            <w:r>
              <w:rPr>
                <w:b/>
                <w:sz w:val="27"/>
              </w:rPr>
              <w:t>中文</w:t>
            </w:r>
          </w:p>
        </w:tc>
      </w:tr>
      <w:tr>
        <w:trPr>
          <w:trHeight w:val="528" w:hRule="atLeast"/>
        </w:trPr>
        <w:tc>
          <w:tcPr>
            <w:tcW w:w="2712" w:type="dxa"/>
          </w:tcPr>
          <w:p>
            <w:pPr>
              <w:pStyle w:val="TableParagraph"/>
              <w:spacing w:line="483" w:lineRule="exact" w:before="26"/>
              <w:ind w:left="215"/>
              <w:rPr>
                <w:sz w:val="27"/>
              </w:rPr>
            </w:pPr>
            <w:r>
              <w:rPr>
                <w:sz w:val="27"/>
              </w:rPr>
              <w:t>DOPT</w:t>
            </w:r>
          </w:p>
        </w:tc>
        <w:tc>
          <w:tcPr>
            <w:tcW w:w="6461" w:type="dxa"/>
          </w:tcPr>
          <w:p>
            <w:pPr>
              <w:pStyle w:val="TableParagraph"/>
              <w:spacing w:line="483" w:lineRule="exact" w:before="26"/>
              <w:ind w:left="98"/>
              <w:rPr>
                <w:sz w:val="27"/>
              </w:rPr>
            </w:pPr>
            <w:r>
              <w:rPr>
                <w:sz w:val="27"/>
              </w:rPr>
              <w:t>directly observed preventive therapy</w:t>
            </w:r>
          </w:p>
        </w:tc>
        <w:tc>
          <w:tcPr>
            <w:tcW w:w="4481" w:type="dxa"/>
          </w:tcPr>
          <w:p>
            <w:pPr>
              <w:pStyle w:val="TableParagraph"/>
              <w:spacing w:line="483" w:lineRule="exact" w:before="26"/>
              <w:ind w:left="215"/>
              <w:rPr>
                <w:sz w:val="27"/>
              </w:rPr>
            </w:pPr>
            <w:r>
              <w:rPr>
                <w:sz w:val="27"/>
              </w:rPr>
              <w:t>直接觀察預防治療</w:t>
            </w:r>
          </w:p>
        </w:tc>
      </w:tr>
      <w:tr>
        <w:trPr>
          <w:trHeight w:val="860" w:hRule="atLeast"/>
        </w:trPr>
        <w:tc>
          <w:tcPr>
            <w:tcW w:w="2712" w:type="dxa"/>
          </w:tcPr>
          <w:p>
            <w:pPr>
              <w:pStyle w:val="TableParagraph"/>
              <w:spacing w:before="191"/>
              <w:ind w:left="215"/>
              <w:rPr>
                <w:sz w:val="27"/>
              </w:rPr>
            </w:pPr>
            <w:r>
              <w:rPr>
                <w:sz w:val="27"/>
              </w:rPr>
              <w:t>DOTS/DOT</w:t>
            </w:r>
          </w:p>
        </w:tc>
        <w:tc>
          <w:tcPr>
            <w:tcW w:w="6461" w:type="dxa"/>
          </w:tcPr>
          <w:p>
            <w:pPr>
              <w:pStyle w:val="TableParagraph"/>
              <w:spacing w:line="400" w:lineRule="exact" w:before="24"/>
              <w:ind w:left="98" w:right="1982"/>
              <w:rPr>
                <w:sz w:val="27"/>
              </w:rPr>
            </w:pPr>
            <w:r>
              <w:rPr>
                <w:sz w:val="27"/>
              </w:rPr>
              <w:t>directly observed treatment short- course/directly observed therapy</w:t>
            </w:r>
          </w:p>
        </w:tc>
        <w:tc>
          <w:tcPr>
            <w:tcW w:w="4481" w:type="dxa"/>
          </w:tcPr>
          <w:p>
            <w:pPr>
              <w:pStyle w:val="TableParagraph"/>
              <w:spacing w:before="200"/>
              <w:ind w:left="215"/>
              <w:rPr>
                <w:sz w:val="27"/>
              </w:rPr>
            </w:pPr>
            <w:r>
              <w:rPr>
                <w:sz w:val="27"/>
              </w:rPr>
              <w:t>都治</w:t>
            </w:r>
          </w:p>
        </w:tc>
      </w:tr>
      <w:tr>
        <w:trPr>
          <w:trHeight w:val="526" w:hRule="atLeast"/>
        </w:trPr>
        <w:tc>
          <w:tcPr>
            <w:tcW w:w="2712" w:type="dxa"/>
          </w:tcPr>
          <w:p>
            <w:pPr>
              <w:pStyle w:val="TableParagraph"/>
              <w:spacing w:line="482" w:lineRule="exact" w:before="24"/>
              <w:ind w:left="215"/>
              <w:rPr>
                <w:sz w:val="27"/>
              </w:rPr>
            </w:pPr>
            <w:r>
              <w:rPr>
                <w:sz w:val="27"/>
              </w:rPr>
              <w:t>DOTS-Plus</w:t>
            </w:r>
          </w:p>
        </w:tc>
        <w:tc>
          <w:tcPr>
            <w:tcW w:w="6461" w:type="dxa"/>
          </w:tcPr>
          <w:p>
            <w:pPr>
              <w:pStyle w:val="TableParagraph"/>
              <w:spacing w:line="493" w:lineRule="exact" w:before="14"/>
              <w:ind w:left="97"/>
              <w:rPr>
                <w:sz w:val="27"/>
              </w:rPr>
            </w:pPr>
            <w:r>
              <w:rPr>
                <w:sz w:val="27"/>
              </w:rPr>
              <w:t>directly observed treatment short-course-plus</w:t>
            </w:r>
          </w:p>
        </w:tc>
        <w:tc>
          <w:tcPr>
            <w:tcW w:w="4481" w:type="dxa"/>
          </w:tcPr>
          <w:p>
            <w:pPr>
              <w:pStyle w:val="TableParagraph"/>
              <w:spacing w:line="472" w:lineRule="exact" w:before="34"/>
              <w:ind w:left="215"/>
              <w:rPr>
                <w:sz w:val="27"/>
              </w:rPr>
            </w:pPr>
            <w:r>
              <w:rPr>
                <w:sz w:val="27"/>
              </w:rPr>
              <w:t>進階都治</w:t>
            </w:r>
          </w:p>
        </w:tc>
      </w:tr>
      <w:tr>
        <w:trPr>
          <w:trHeight w:val="527" w:hRule="atLeast"/>
        </w:trPr>
        <w:tc>
          <w:tcPr>
            <w:tcW w:w="2712" w:type="dxa"/>
          </w:tcPr>
          <w:p>
            <w:pPr>
              <w:pStyle w:val="TableParagraph"/>
              <w:spacing w:line="482" w:lineRule="exact" w:before="26"/>
              <w:ind w:left="215"/>
              <w:rPr>
                <w:sz w:val="27"/>
              </w:rPr>
            </w:pPr>
            <w:r>
              <w:rPr>
                <w:sz w:val="27"/>
              </w:rPr>
              <w:t>DR-TB</w:t>
            </w:r>
          </w:p>
        </w:tc>
        <w:tc>
          <w:tcPr>
            <w:tcW w:w="6461" w:type="dxa"/>
          </w:tcPr>
          <w:p>
            <w:pPr>
              <w:pStyle w:val="TableParagraph"/>
              <w:spacing w:line="482" w:lineRule="exact" w:before="26"/>
              <w:ind w:left="98"/>
              <w:rPr>
                <w:sz w:val="27"/>
              </w:rPr>
            </w:pPr>
            <w:r>
              <w:rPr>
                <w:sz w:val="27"/>
              </w:rPr>
              <w:t>drug-resistant tuberculosis</w:t>
            </w:r>
          </w:p>
        </w:tc>
        <w:tc>
          <w:tcPr>
            <w:tcW w:w="4481" w:type="dxa"/>
          </w:tcPr>
          <w:p>
            <w:pPr>
              <w:pStyle w:val="TableParagraph"/>
              <w:spacing w:line="473" w:lineRule="exact" w:before="34"/>
              <w:ind w:left="215"/>
              <w:rPr>
                <w:sz w:val="27"/>
              </w:rPr>
            </w:pPr>
            <w:r>
              <w:rPr>
                <w:sz w:val="27"/>
              </w:rPr>
              <w:t>抗藥結核</w:t>
            </w:r>
          </w:p>
        </w:tc>
      </w:tr>
      <w:tr>
        <w:trPr>
          <w:trHeight w:val="527" w:hRule="atLeast"/>
        </w:trPr>
        <w:tc>
          <w:tcPr>
            <w:tcW w:w="2712" w:type="dxa"/>
          </w:tcPr>
          <w:p>
            <w:pPr>
              <w:pStyle w:val="TableParagraph"/>
              <w:spacing w:line="483" w:lineRule="exact" w:before="24"/>
              <w:ind w:left="215"/>
              <w:rPr>
                <w:sz w:val="27"/>
              </w:rPr>
            </w:pPr>
            <w:r>
              <w:rPr>
                <w:sz w:val="27"/>
              </w:rPr>
              <w:t>DST</w:t>
            </w:r>
          </w:p>
        </w:tc>
        <w:tc>
          <w:tcPr>
            <w:tcW w:w="6461" w:type="dxa"/>
          </w:tcPr>
          <w:p>
            <w:pPr>
              <w:pStyle w:val="TableParagraph"/>
              <w:spacing w:line="483" w:lineRule="exact" w:before="24"/>
              <w:ind w:left="98"/>
              <w:rPr>
                <w:sz w:val="27"/>
              </w:rPr>
            </w:pPr>
            <w:r>
              <w:rPr>
                <w:sz w:val="27"/>
              </w:rPr>
              <w:t>drug susceptibility test</w:t>
            </w:r>
          </w:p>
        </w:tc>
        <w:tc>
          <w:tcPr>
            <w:tcW w:w="4481" w:type="dxa"/>
          </w:tcPr>
          <w:p>
            <w:pPr>
              <w:pStyle w:val="TableParagraph"/>
              <w:spacing w:line="473" w:lineRule="exact" w:before="34"/>
              <w:ind w:left="215"/>
              <w:rPr>
                <w:sz w:val="27"/>
              </w:rPr>
            </w:pPr>
            <w:r>
              <w:rPr>
                <w:sz w:val="27"/>
              </w:rPr>
              <w:t>藥物感受性試驗</w:t>
            </w:r>
          </w:p>
        </w:tc>
      </w:tr>
      <w:tr>
        <w:trPr>
          <w:trHeight w:val="526" w:hRule="atLeast"/>
        </w:trPr>
        <w:tc>
          <w:tcPr>
            <w:tcW w:w="2712" w:type="dxa"/>
          </w:tcPr>
          <w:p>
            <w:pPr>
              <w:pStyle w:val="TableParagraph"/>
              <w:spacing w:line="482" w:lineRule="exact" w:before="24"/>
              <w:ind w:left="215"/>
              <w:rPr>
                <w:sz w:val="27"/>
              </w:rPr>
            </w:pPr>
            <w:r>
              <w:rPr>
                <w:sz w:val="27"/>
              </w:rPr>
              <w:t>EBA</w:t>
            </w:r>
          </w:p>
        </w:tc>
        <w:tc>
          <w:tcPr>
            <w:tcW w:w="6461" w:type="dxa"/>
          </w:tcPr>
          <w:p>
            <w:pPr>
              <w:pStyle w:val="TableParagraph"/>
              <w:spacing w:line="482" w:lineRule="exact" w:before="24"/>
              <w:ind w:left="98"/>
              <w:rPr>
                <w:sz w:val="27"/>
              </w:rPr>
            </w:pPr>
            <w:r>
              <w:rPr>
                <w:sz w:val="27"/>
              </w:rPr>
              <w:t>early bactericidal activity</w:t>
            </w:r>
          </w:p>
        </w:tc>
        <w:tc>
          <w:tcPr>
            <w:tcW w:w="4481" w:type="dxa"/>
          </w:tcPr>
          <w:p>
            <w:pPr>
              <w:pStyle w:val="TableParagraph"/>
              <w:spacing w:line="473" w:lineRule="exact" w:before="33"/>
              <w:ind w:left="215"/>
              <w:rPr>
                <w:sz w:val="27"/>
              </w:rPr>
            </w:pPr>
            <w:r>
              <w:rPr>
                <w:sz w:val="27"/>
              </w:rPr>
              <w:t>早期殺菌力</w:t>
            </w:r>
          </w:p>
        </w:tc>
      </w:tr>
      <w:tr>
        <w:trPr>
          <w:trHeight w:val="527" w:hRule="atLeast"/>
        </w:trPr>
        <w:tc>
          <w:tcPr>
            <w:tcW w:w="2712" w:type="dxa"/>
          </w:tcPr>
          <w:p>
            <w:pPr>
              <w:pStyle w:val="TableParagraph"/>
              <w:spacing w:line="483" w:lineRule="exact" w:before="24"/>
              <w:ind w:left="215"/>
              <w:rPr>
                <w:sz w:val="27"/>
              </w:rPr>
            </w:pPr>
            <w:r>
              <w:rPr>
                <w:sz w:val="27"/>
              </w:rPr>
              <w:t>EKG/ECG</w:t>
            </w:r>
          </w:p>
        </w:tc>
        <w:tc>
          <w:tcPr>
            <w:tcW w:w="6461" w:type="dxa"/>
          </w:tcPr>
          <w:p>
            <w:pPr>
              <w:pStyle w:val="TableParagraph"/>
              <w:spacing w:line="483" w:lineRule="exact" w:before="24"/>
              <w:ind w:left="98"/>
              <w:rPr>
                <w:sz w:val="27"/>
              </w:rPr>
            </w:pPr>
            <w:r>
              <w:rPr>
                <w:sz w:val="27"/>
              </w:rPr>
              <w:t>Electrocardiogram</w:t>
            </w:r>
          </w:p>
        </w:tc>
        <w:tc>
          <w:tcPr>
            <w:tcW w:w="4481" w:type="dxa"/>
          </w:tcPr>
          <w:p>
            <w:pPr>
              <w:pStyle w:val="TableParagraph"/>
              <w:spacing w:line="476" w:lineRule="exact" w:before="32"/>
              <w:ind w:left="215"/>
              <w:rPr>
                <w:sz w:val="27"/>
              </w:rPr>
            </w:pPr>
            <w:r>
              <w:rPr>
                <w:sz w:val="27"/>
              </w:rPr>
              <w:t>心電圖</w:t>
            </w:r>
          </w:p>
        </w:tc>
      </w:tr>
      <w:tr>
        <w:trPr>
          <w:trHeight w:val="526" w:hRule="atLeast"/>
        </w:trPr>
        <w:tc>
          <w:tcPr>
            <w:tcW w:w="2712" w:type="dxa"/>
          </w:tcPr>
          <w:p>
            <w:pPr>
              <w:pStyle w:val="TableParagraph"/>
              <w:spacing w:line="482" w:lineRule="exact" w:before="24"/>
              <w:ind w:left="215"/>
              <w:rPr>
                <w:sz w:val="27"/>
              </w:rPr>
            </w:pPr>
            <w:r>
              <w:rPr>
                <w:sz w:val="27"/>
              </w:rPr>
              <w:t>GDF</w:t>
            </w:r>
          </w:p>
        </w:tc>
        <w:tc>
          <w:tcPr>
            <w:tcW w:w="6461" w:type="dxa"/>
          </w:tcPr>
          <w:p>
            <w:pPr>
              <w:pStyle w:val="TableParagraph"/>
              <w:spacing w:line="482" w:lineRule="exact" w:before="24"/>
              <w:ind w:left="98"/>
              <w:rPr>
                <w:sz w:val="27"/>
              </w:rPr>
            </w:pPr>
            <w:r>
              <w:rPr>
                <w:sz w:val="27"/>
              </w:rPr>
              <w:t>Global Drug Facility</w:t>
            </w:r>
          </w:p>
        </w:tc>
        <w:tc>
          <w:tcPr>
            <w:tcW w:w="4481" w:type="dxa"/>
          </w:tcPr>
          <w:p>
            <w:pPr>
              <w:pStyle w:val="TableParagraph"/>
              <w:spacing w:line="474" w:lineRule="exact" w:before="32"/>
              <w:ind w:left="215"/>
              <w:rPr>
                <w:sz w:val="27"/>
              </w:rPr>
            </w:pPr>
            <w:r>
              <w:rPr>
                <w:sz w:val="27"/>
              </w:rPr>
              <w:t>全球藥物購置機構</w:t>
            </w:r>
          </w:p>
        </w:tc>
      </w:tr>
      <w:tr>
        <w:trPr>
          <w:trHeight w:val="527" w:hRule="atLeast"/>
        </w:trPr>
        <w:tc>
          <w:tcPr>
            <w:tcW w:w="2712" w:type="dxa"/>
          </w:tcPr>
          <w:p>
            <w:pPr>
              <w:pStyle w:val="TableParagraph"/>
              <w:spacing w:line="483" w:lineRule="exact" w:before="24"/>
              <w:ind w:left="215"/>
              <w:rPr>
                <w:sz w:val="27"/>
              </w:rPr>
            </w:pPr>
            <w:r>
              <w:rPr>
                <w:sz w:val="27"/>
              </w:rPr>
              <w:t>HIV</w:t>
            </w:r>
          </w:p>
        </w:tc>
        <w:tc>
          <w:tcPr>
            <w:tcW w:w="6461" w:type="dxa"/>
          </w:tcPr>
          <w:p>
            <w:pPr>
              <w:pStyle w:val="TableParagraph"/>
              <w:spacing w:line="483" w:lineRule="exact" w:before="24"/>
              <w:ind w:left="98"/>
              <w:rPr>
                <w:sz w:val="27"/>
              </w:rPr>
            </w:pPr>
            <w:r>
              <w:rPr>
                <w:sz w:val="27"/>
              </w:rPr>
              <w:t>human immunodeficiency virus</w:t>
            </w:r>
          </w:p>
        </w:tc>
        <w:tc>
          <w:tcPr>
            <w:tcW w:w="4481" w:type="dxa"/>
          </w:tcPr>
          <w:p>
            <w:pPr>
              <w:pStyle w:val="TableParagraph"/>
              <w:spacing w:line="476" w:lineRule="exact" w:before="32"/>
              <w:ind w:left="215"/>
              <w:rPr>
                <w:sz w:val="27"/>
              </w:rPr>
            </w:pPr>
            <w:r>
              <w:rPr>
                <w:sz w:val="27"/>
              </w:rPr>
              <w:t>人類免疫缺乏病毒</w:t>
            </w:r>
          </w:p>
        </w:tc>
      </w:tr>
      <w:tr>
        <w:trPr>
          <w:trHeight w:val="526" w:hRule="atLeast"/>
        </w:trPr>
        <w:tc>
          <w:tcPr>
            <w:tcW w:w="2712" w:type="dxa"/>
          </w:tcPr>
          <w:p>
            <w:pPr>
              <w:pStyle w:val="TableParagraph"/>
              <w:spacing w:line="482" w:lineRule="exact" w:before="24"/>
              <w:ind w:left="215"/>
              <w:rPr>
                <w:sz w:val="27"/>
              </w:rPr>
            </w:pPr>
            <w:r>
              <w:rPr>
                <w:sz w:val="27"/>
              </w:rPr>
              <w:t>IGRA</w:t>
            </w:r>
          </w:p>
        </w:tc>
        <w:tc>
          <w:tcPr>
            <w:tcW w:w="6461" w:type="dxa"/>
          </w:tcPr>
          <w:p>
            <w:pPr>
              <w:pStyle w:val="TableParagraph"/>
              <w:spacing w:line="482" w:lineRule="exact" w:before="24"/>
              <w:ind w:left="98"/>
              <w:rPr>
                <w:sz w:val="27"/>
              </w:rPr>
            </w:pPr>
            <w:r>
              <w:rPr>
                <w:sz w:val="27"/>
              </w:rPr>
              <w:t>interferon-gamma release assay</w:t>
            </w:r>
          </w:p>
        </w:tc>
        <w:tc>
          <w:tcPr>
            <w:tcW w:w="4481" w:type="dxa"/>
          </w:tcPr>
          <w:p>
            <w:pPr>
              <w:pStyle w:val="TableParagraph"/>
              <w:spacing w:line="474" w:lineRule="exact" w:before="32"/>
              <w:ind w:left="215"/>
              <w:rPr>
                <w:sz w:val="27"/>
              </w:rPr>
            </w:pPr>
            <w:r>
              <w:rPr>
                <w:sz w:val="27"/>
              </w:rPr>
              <w:t>丙型干擾素釋放試驗</w:t>
            </w:r>
          </w:p>
        </w:tc>
      </w:tr>
      <w:tr>
        <w:trPr>
          <w:trHeight w:val="527" w:hRule="atLeast"/>
        </w:trPr>
        <w:tc>
          <w:tcPr>
            <w:tcW w:w="2712" w:type="dxa"/>
          </w:tcPr>
          <w:p>
            <w:pPr>
              <w:pStyle w:val="TableParagraph"/>
              <w:rPr>
                <w:rFonts w:ascii="Times New Roman"/>
                <w:sz w:val="26"/>
              </w:rPr>
            </w:pPr>
          </w:p>
        </w:tc>
        <w:tc>
          <w:tcPr>
            <w:tcW w:w="6461" w:type="dxa"/>
          </w:tcPr>
          <w:p>
            <w:pPr>
              <w:pStyle w:val="TableParagraph"/>
              <w:spacing w:line="483" w:lineRule="exact" w:before="24"/>
              <w:ind w:left="98"/>
              <w:rPr>
                <w:sz w:val="27"/>
              </w:rPr>
            </w:pPr>
            <w:r>
              <w:rPr>
                <w:sz w:val="27"/>
              </w:rPr>
              <w:t>Intensive phase</w:t>
            </w:r>
          </w:p>
        </w:tc>
        <w:tc>
          <w:tcPr>
            <w:tcW w:w="4481" w:type="dxa"/>
          </w:tcPr>
          <w:p>
            <w:pPr>
              <w:pStyle w:val="TableParagraph"/>
              <w:spacing w:line="473" w:lineRule="exact" w:before="34"/>
              <w:ind w:left="215"/>
              <w:rPr>
                <w:sz w:val="27"/>
              </w:rPr>
            </w:pPr>
            <w:r>
              <w:rPr>
                <w:sz w:val="27"/>
              </w:rPr>
              <w:t>加強期</w:t>
            </w:r>
          </w:p>
        </w:tc>
      </w:tr>
      <w:tr>
        <w:trPr>
          <w:trHeight w:val="526" w:hRule="atLeast"/>
        </w:trPr>
        <w:tc>
          <w:tcPr>
            <w:tcW w:w="2712" w:type="dxa"/>
          </w:tcPr>
          <w:p>
            <w:pPr>
              <w:pStyle w:val="TableParagraph"/>
              <w:spacing w:line="482" w:lineRule="exact" w:before="24"/>
              <w:ind w:left="215"/>
              <w:rPr>
                <w:sz w:val="27"/>
              </w:rPr>
            </w:pPr>
            <w:r>
              <w:rPr>
                <w:sz w:val="27"/>
              </w:rPr>
              <w:t>LTBI</w:t>
            </w:r>
          </w:p>
        </w:tc>
        <w:tc>
          <w:tcPr>
            <w:tcW w:w="6461" w:type="dxa"/>
          </w:tcPr>
          <w:p>
            <w:pPr>
              <w:pStyle w:val="TableParagraph"/>
              <w:spacing w:line="482" w:lineRule="exact" w:before="24"/>
              <w:ind w:left="97"/>
              <w:rPr>
                <w:sz w:val="27"/>
              </w:rPr>
            </w:pPr>
            <w:r>
              <w:rPr>
                <w:sz w:val="27"/>
              </w:rPr>
              <w:t>latent tuberculosis infection</w:t>
            </w:r>
          </w:p>
        </w:tc>
        <w:tc>
          <w:tcPr>
            <w:tcW w:w="4481" w:type="dxa"/>
          </w:tcPr>
          <w:p>
            <w:pPr>
              <w:pStyle w:val="TableParagraph"/>
              <w:spacing w:line="473" w:lineRule="exact" w:before="33"/>
              <w:ind w:left="215"/>
              <w:rPr>
                <w:sz w:val="27"/>
              </w:rPr>
            </w:pPr>
            <w:r>
              <w:rPr>
                <w:sz w:val="27"/>
              </w:rPr>
              <w:t>潛伏結核感染</w:t>
            </w:r>
          </w:p>
        </w:tc>
      </w:tr>
      <w:tr>
        <w:trPr>
          <w:trHeight w:val="527" w:hRule="atLeast"/>
        </w:trPr>
        <w:tc>
          <w:tcPr>
            <w:tcW w:w="2712" w:type="dxa"/>
          </w:tcPr>
          <w:p>
            <w:pPr>
              <w:pStyle w:val="TableParagraph"/>
              <w:spacing w:line="483" w:lineRule="exact" w:before="24"/>
              <w:ind w:left="215"/>
              <w:rPr>
                <w:sz w:val="27"/>
              </w:rPr>
            </w:pPr>
            <w:r>
              <w:rPr>
                <w:sz w:val="27"/>
              </w:rPr>
              <w:t>LPA</w:t>
            </w:r>
          </w:p>
        </w:tc>
        <w:tc>
          <w:tcPr>
            <w:tcW w:w="6461" w:type="dxa"/>
          </w:tcPr>
          <w:p>
            <w:pPr>
              <w:pStyle w:val="TableParagraph"/>
              <w:spacing w:line="483" w:lineRule="exact" w:before="24"/>
              <w:ind w:left="98"/>
              <w:rPr>
                <w:sz w:val="27"/>
              </w:rPr>
            </w:pPr>
            <w:r>
              <w:rPr>
                <w:sz w:val="27"/>
              </w:rPr>
              <w:t>line probe assay</w:t>
            </w:r>
          </w:p>
        </w:tc>
        <w:tc>
          <w:tcPr>
            <w:tcW w:w="4481" w:type="dxa"/>
          </w:tcPr>
          <w:p>
            <w:pPr>
              <w:pStyle w:val="TableParagraph"/>
              <w:spacing w:line="476" w:lineRule="exact" w:before="32"/>
              <w:ind w:left="215"/>
              <w:rPr>
                <w:sz w:val="27"/>
              </w:rPr>
            </w:pPr>
            <w:r>
              <w:rPr>
                <w:sz w:val="27"/>
              </w:rPr>
              <w:t>線性探針檢測法</w:t>
            </w:r>
          </w:p>
        </w:tc>
      </w:tr>
      <w:tr>
        <w:trPr>
          <w:trHeight w:val="526" w:hRule="atLeast"/>
        </w:trPr>
        <w:tc>
          <w:tcPr>
            <w:tcW w:w="2712" w:type="dxa"/>
          </w:tcPr>
          <w:p>
            <w:pPr>
              <w:pStyle w:val="TableParagraph"/>
              <w:spacing w:line="482" w:lineRule="exact" w:before="24"/>
              <w:ind w:left="215"/>
              <w:rPr>
                <w:sz w:val="27"/>
              </w:rPr>
            </w:pPr>
            <w:r>
              <w:rPr>
                <w:sz w:val="27"/>
              </w:rPr>
              <w:t>MDR-TB</w:t>
            </w:r>
          </w:p>
        </w:tc>
        <w:tc>
          <w:tcPr>
            <w:tcW w:w="6461" w:type="dxa"/>
          </w:tcPr>
          <w:p>
            <w:pPr>
              <w:pStyle w:val="TableParagraph"/>
              <w:spacing w:line="482" w:lineRule="exact" w:before="24"/>
              <w:ind w:left="98"/>
              <w:rPr>
                <w:sz w:val="27"/>
              </w:rPr>
            </w:pPr>
            <w:r>
              <w:rPr>
                <w:sz w:val="27"/>
              </w:rPr>
              <w:t>multidrug-resistant tuberculosis</w:t>
            </w:r>
          </w:p>
        </w:tc>
        <w:tc>
          <w:tcPr>
            <w:tcW w:w="4481" w:type="dxa"/>
          </w:tcPr>
          <w:p>
            <w:pPr>
              <w:pStyle w:val="TableParagraph"/>
              <w:spacing w:line="474" w:lineRule="exact" w:before="32"/>
              <w:ind w:left="215"/>
              <w:rPr>
                <w:sz w:val="27"/>
              </w:rPr>
            </w:pPr>
            <w:r>
              <w:rPr>
                <w:sz w:val="27"/>
              </w:rPr>
              <w:t>多重抗藥性結核病</w:t>
            </w:r>
          </w:p>
        </w:tc>
      </w:tr>
      <w:tr>
        <w:trPr>
          <w:trHeight w:val="527" w:hRule="atLeast"/>
        </w:trPr>
        <w:tc>
          <w:tcPr>
            <w:tcW w:w="2712" w:type="dxa"/>
          </w:tcPr>
          <w:p>
            <w:pPr>
              <w:pStyle w:val="TableParagraph"/>
              <w:spacing w:line="489" w:lineRule="exact" w:before="18"/>
              <w:ind w:left="215"/>
              <w:rPr>
                <w:sz w:val="27"/>
              </w:rPr>
            </w:pPr>
            <w:r>
              <w:rPr>
                <w:sz w:val="27"/>
              </w:rPr>
              <w:t>MIC</w:t>
            </w:r>
          </w:p>
        </w:tc>
        <w:tc>
          <w:tcPr>
            <w:tcW w:w="6461" w:type="dxa"/>
          </w:tcPr>
          <w:p>
            <w:pPr>
              <w:pStyle w:val="TableParagraph"/>
              <w:spacing w:line="489" w:lineRule="exact" w:before="18"/>
              <w:ind w:left="98"/>
              <w:rPr>
                <w:sz w:val="27"/>
              </w:rPr>
            </w:pPr>
            <w:r>
              <w:rPr>
                <w:sz w:val="27"/>
              </w:rPr>
              <w:t>minimum inhibitory concentration</w:t>
            </w:r>
          </w:p>
        </w:tc>
        <w:tc>
          <w:tcPr>
            <w:tcW w:w="4481" w:type="dxa"/>
          </w:tcPr>
          <w:p>
            <w:pPr>
              <w:pStyle w:val="TableParagraph"/>
              <w:spacing w:line="481" w:lineRule="exact" w:before="27"/>
              <w:ind w:left="215"/>
              <w:rPr>
                <w:sz w:val="27"/>
              </w:rPr>
            </w:pPr>
            <w:r>
              <w:rPr>
                <w:sz w:val="27"/>
              </w:rPr>
              <w:t>最低抑菌濃度</w:t>
            </w:r>
          </w:p>
        </w:tc>
      </w:tr>
    </w:tbl>
    <w:p>
      <w:pPr>
        <w:spacing w:after="0" w:line="481" w:lineRule="exact"/>
        <w:rPr>
          <w:sz w:val="27"/>
        </w:rPr>
        <w:sectPr>
          <w:pgSz w:w="17190" w:h="12250" w:orient="landscape"/>
          <w:pgMar w:header="0" w:footer="819" w:top="1140" w:bottom="1000" w:left="1640" w:right="1640"/>
        </w:sectPr>
      </w:pPr>
    </w:p>
    <w:p>
      <w:pPr>
        <w:pStyle w:val="BodyText"/>
        <w:spacing w:before="11"/>
        <w:rPr>
          <w:b/>
          <w:sz w:val="17"/>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2"/>
        <w:gridCol w:w="6461"/>
        <w:gridCol w:w="4481"/>
      </w:tblGrid>
      <w:tr>
        <w:trPr>
          <w:trHeight w:val="539" w:hRule="atLeast"/>
        </w:trPr>
        <w:tc>
          <w:tcPr>
            <w:tcW w:w="2712" w:type="dxa"/>
            <w:shd w:val="clear" w:color="auto" w:fill="F1F1F1"/>
          </w:tcPr>
          <w:p>
            <w:pPr>
              <w:pStyle w:val="TableParagraph"/>
              <w:spacing w:line="488" w:lineRule="exact" w:before="32"/>
              <w:ind w:left="816"/>
              <w:rPr>
                <w:b/>
                <w:sz w:val="27"/>
              </w:rPr>
            </w:pPr>
            <w:r>
              <w:rPr>
                <w:b/>
                <w:sz w:val="27"/>
              </w:rPr>
              <w:t>英文簡寫</w:t>
            </w:r>
          </w:p>
        </w:tc>
        <w:tc>
          <w:tcPr>
            <w:tcW w:w="6461" w:type="dxa"/>
            <w:shd w:val="clear" w:color="auto" w:fill="F1F1F1"/>
          </w:tcPr>
          <w:p>
            <w:pPr>
              <w:pStyle w:val="TableParagraph"/>
              <w:spacing w:line="488" w:lineRule="exact" w:before="32"/>
              <w:ind w:left="2941" w:right="2930"/>
              <w:jc w:val="center"/>
              <w:rPr>
                <w:b/>
                <w:sz w:val="27"/>
              </w:rPr>
            </w:pPr>
            <w:r>
              <w:rPr>
                <w:b/>
                <w:sz w:val="27"/>
              </w:rPr>
              <w:t>英文</w:t>
            </w:r>
          </w:p>
        </w:tc>
        <w:tc>
          <w:tcPr>
            <w:tcW w:w="4481" w:type="dxa"/>
            <w:shd w:val="clear" w:color="auto" w:fill="F1F1F1"/>
          </w:tcPr>
          <w:p>
            <w:pPr>
              <w:pStyle w:val="TableParagraph"/>
              <w:spacing w:line="479" w:lineRule="exact" w:before="40"/>
              <w:ind w:left="1906" w:right="1897"/>
              <w:jc w:val="center"/>
              <w:rPr>
                <w:b/>
                <w:sz w:val="27"/>
              </w:rPr>
            </w:pPr>
            <w:r>
              <w:rPr>
                <w:b/>
                <w:sz w:val="27"/>
              </w:rPr>
              <w:t>中文</w:t>
            </w:r>
          </w:p>
        </w:tc>
      </w:tr>
      <w:tr>
        <w:trPr>
          <w:trHeight w:val="526" w:hRule="atLeast"/>
        </w:trPr>
        <w:tc>
          <w:tcPr>
            <w:tcW w:w="2712" w:type="dxa"/>
          </w:tcPr>
          <w:p>
            <w:pPr>
              <w:pStyle w:val="TableParagraph"/>
              <w:spacing w:line="482" w:lineRule="exact" w:before="24"/>
              <w:ind w:left="215"/>
              <w:rPr>
                <w:sz w:val="27"/>
              </w:rPr>
            </w:pPr>
            <w:r>
              <w:rPr>
                <w:sz w:val="27"/>
              </w:rPr>
              <w:t>MTB</w:t>
            </w:r>
          </w:p>
        </w:tc>
        <w:tc>
          <w:tcPr>
            <w:tcW w:w="6461" w:type="dxa"/>
          </w:tcPr>
          <w:p>
            <w:pPr>
              <w:pStyle w:val="TableParagraph"/>
              <w:spacing w:line="482" w:lineRule="exact" w:before="24"/>
              <w:ind w:left="141"/>
              <w:rPr>
                <w:sz w:val="27"/>
              </w:rPr>
            </w:pPr>
            <w:r>
              <w:rPr>
                <w:sz w:val="27"/>
              </w:rPr>
              <w:t>mycobacterium tuberculosis</w:t>
            </w:r>
          </w:p>
        </w:tc>
        <w:tc>
          <w:tcPr>
            <w:tcW w:w="4481" w:type="dxa"/>
          </w:tcPr>
          <w:p>
            <w:pPr>
              <w:pStyle w:val="TableParagraph"/>
              <w:spacing w:line="472" w:lineRule="exact" w:before="34"/>
              <w:ind w:left="215"/>
              <w:rPr>
                <w:sz w:val="27"/>
              </w:rPr>
            </w:pPr>
            <w:r>
              <w:rPr>
                <w:sz w:val="27"/>
              </w:rPr>
              <w:t>結核菌</w:t>
            </w:r>
          </w:p>
        </w:tc>
      </w:tr>
      <w:tr>
        <w:trPr>
          <w:trHeight w:val="527" w:hRule="atLeast"/>
        </w:trPr>
        <w:tc>
          <w:tcPr>
            <w:tcW w:w="2712" w:type="dxa"/>
          </w:tcPr>
          <w:p>
            <w:pPr>
              <w:pStyle w:val="TableParagraph"/>
              <w:spacing w:line="482" w:lineRule="exact" w:before="26"/>
              <w:ind w:left="215"/>
              <w:rPr>
                <w:sz w:val="27"/>
              </w:rPr>
            </w:pPr>
            <w:r>
              <w:rPr>
                <w:sz w:val="27"/>
              </w:rPr>
              <w:t>NAA</w:t>
            </w:r>
          </w:p>
        </w:tc>
        <w:tc>
          <w:tcPr>
            <w:tcW w:w="6461" w:type="dxa"/>
          </w:tcPr>
          <w:p>
            <w:pPr>
              <w:pStyle w:val="TableParagraph"/>
              <w:spacing w:line="482" w:lineRule="exact" w:before="26"/>
              <w:ind w:left="141"/>
              <w:rPr>
                <w:sz w:val="27"/>
              </w:rPr>
            </w:pPr>
            <w:r>
              <w:rPr>
                <w:sz w:val="27"/>
              </w:rPr>
              <w:t>nucleic acid amplification</w:t>
            </w:r>
          </w:p>
        </w:tc>
        <w:tc>
          <w:tcPr>
            <w:tcW w:w="4481" w:type="dxa"/>
          </w:tcPr>
          <w:p>
            <w:pPr>
              <w:pStyle w:val="TableParagraph"/>
              <w:spacing w:line="473" w:lineRule="exact" w:before="34"/>
              <w:ind w:left="215"/>
              <w:rPr>
                <w:sz w:val="27"/>
              </w:rPr>
            </w:pPr>
            <w:r>
              <w:rPr>
                <w:sz w:val="27"/>
              </w:rPr>
              <w:t>核酸增幅</w:t>
            </w:r>
          </w:p>
        </w:tc>
      </w:tr>
      <w:tr>
        <w:trPr>
          <w:trHeight w:val="526" w:hRule="atLeast"/>
        </w:trPr>
        <w:tc>
          <w:tcPr>
            <w:tcW w:w="2712" w:type="dxa"/>
          </w:tcPr>
          <w:p>
            <w:pPr>
              <w:pStyle w:val="TableParagraph"/>
              <w:spacing w:line="482" w:lineRule="exact" w:before="24"/>
              <w:ind w:left="215"/>
              <w:rPr>
                <w:sz w:val="27"/>
              </w:rPr>
            </w:pPr>
            <w:r>
              <w:rPr>
                <w:sz w:val="27"/>
              </w:rPr>
              <w:t>NAT</w:t>
            </w:r>
          </w:p>
        </w:tc>
        <w:tc>
          <w:tcPr>
            <w:tcW w:w="6461" w:type="dxa"/>
          </w:tcPr>
          <w:p>
            <w:pPr>
              <w:pStyle w:val="TableParagraph"/>
              <w:spacing w:line="482" w:lineRule="exact" w:before="24"/>
              <w:ind w:left="141"/>
              <w:rPr>
                <w:sz w:val="27"/>
              </w:rPr>
            </w:pPr>
            <w:r>
              <w:rPr>
                <w:sz w:val="27"/>
              </w:rPr>
              <w:t>N-acetyltransferase</w:t>
            </w:r>
          </w:p>
        </w:tc>
        <w:tc>
          <w:tcPr>
            <w:tcW w:w="4481" w:type="dxa"/>
          </w:tcPr>
          <w:p>
            <w:pPr>
              <w:pStyle w:val="TableParagraph"/>
              <w:spacing w:line="473" w:lineRule="exact" w:before="33"/>
              <w:ind w:left="215"/>
              <w:rPr>
                <w:sz w:val="27"/>
              </w:rPr>
            </w:pPr>
            <w:r>
              <w:rPr>
                <w:sz w:val="27"/>
              </w:rPr>
              <w:t>乙醯轉移酶</w:t>
            </w:r>
          </w:p>
        </w:tc>
      </w:tr>
      <w:tr>
        <w:trPr>
          <w:trHeight w:val="527" w:hRule="atLeast"/>
        </w:trPr>
        <w:tc>
          <w:tcPr>
            <w:tcW w:w="2712" w:type="dxa"/>
          </w:tcPr>
          <w:p>
            <w:pPr>
              <w:pStyle w:val="TableParagraph"/>
              <w:spacing w:line="482" w:lineRule="exact" w:before="26"/>
              <w:ind w:left="215"/>
              <w:rPr>
                <w:sz w:val="27"/>
              </w:rPr>
            </w:pPr>
            <w:r>
              <w:rPr>
                <w:sz w:val="27"/>
              </w:rPr>
              <w:t>NTM</w:t>
            </w:r>
          </w:p>
        </w:tc>
        <w:tc>
          <w:tcPr>
            <w:tcW w:w="6461" w:type="dxa"/>
          </w:tcPr>
          <w:p>
            <w:pPr>
              <w:pStyle w:val="TableParagraph"/>
              <w:spacing w:line="482" w:lineRule="exact" w:before="26"/>
              <w:ind w:left="141"/>
              <w:rPr>
                <w:sz w:val="27"/>
              </w:rPr>
            </w:pPr>
            <w:r>
              <w:rPr>
                <w:sz w:val="27"/>
              </w:rPr>
              <w:t>nontuberculous mycobacteria</w:t>
            </w:r>
          </w:p>
        </w:tc>
        <w:tc>
          <w:tcPr>
            <w:tcW w:w="4481" w:type="dxa"/>
          </w:tcPr>
          <w:p>
            <w:pPr>
              <w:pStyle w:val="TableParagraph"/>
              <w:spacing w:line="474" w:lineRule="exact" w:before="33"/>
              <w:ind w:left="215"/>
              <w:rPr>
                <w:sz w:val="27"/>
              </w:rPr>
            </w:pPr>
            <w:r>
              <w:rPr>
                <w:sz w:val="27"/>
              </w:rPr>
              <w:t>非結核分枝桿菌</w:t>
            </w:r>
          </w:p>
        </w:tc>
      </w:tr>
      <w:tr>
        <w:trPr>
          <w:trHeight w:val="526" w:hRule="atLeast"/>
        </w:trPr>
        <w:tc>
          <w:tcPr>
            <w:tcW w:w="2712" w:type="dxa"/>
          </w:tcPr>
          <w:p>
            <w:pPr>
              <w:pStyle w:val="TableParagraph"/>
              <w:spacing w:line="482" w:lineRule="exact" w:before="24"/>
              <w:ind w:left="215"/>
              <w:rPr>
                <w:sz w:val="27"/>
              </w:rPr>
            </w:pPr>
            <w:r>
              <w:rPr>
                <w:sz w:val="27"/>
              </w:rPr>
              <w:t>PCR</w:t>
            </w:r>
          </w:p>
        </w:tc>
        <w:tc>
          <w:tcPr>
            <w:tcW w:w="6461" w:type="dxa"/>
          </w:tcPr>
          <w:p>
            <w:pPr>
              <w:pStyle w:val="TableParagraph"/>
              <w:spacing w:line="482" w:lineRule="exact" w:before="24"/>
              <w:ind w:left="141"/>
              <w:rPr>
                <w:sz w:val="27"/>
              </w:rPr>
            </w:pPr>
            <w:r>
              <w:rPr>
                <w:sz w:val="27"/>
              </w:rPr>
              <w:t>polymerase chain reaction</w:t>
            </w:r>
          </w:p>
        </w:tc>
        <w:tc>
          <w:tcPr>
            <w:tcW w:w="4481" w:type="dxa"/>
          </w:tcPr>
          <w:p>
            <w:pPr>
              <w:pStyle w:val="TableParagraph"/>
              <w:spacing w:line="472" w:lineRule="exact" w:before="34"/>
              <w:ind w:left="215"/>
              <w:rPr>
                <w:sz w:val="27"/>
              </w:rPr>
            </w:pPr>
            <w:r>
              <w:rPr>
                <w:sz w:val="27"/>
              </w:rPr>
              <w:t>聚合酶鏈鎖反應</w:t>
            </w:r>
          </w:p>
        </w:tc>
      </w:tr>
      <w:tr>
        <w:trPr>
          <w:trHeight w:val="527" w:hRule="atLeast"/>
        </w:trPr>
        <w:tc>
          <w:tcPr>
            <w:tcW w:w="2712" w:type="dxa"/>
          </w:tcPr>
          <w:p>
            <w:pPr>
              <w:pStyle w:val="TableParagraph"/>
              <w:spacing w:line="482" w:lineRule="exact" w:before="26"/>
              <w:ind w:left="215"/>
              <w:rPr>
                <w:sz w:val="27"/>
              </w:rPr>
            </w:pPr>
            <w:r>
              <w:rPr>
                <w:sz w:val="27"/>
              </w:rPr>
              <w:t>PT</w:t>
            </w:r>
          </w:p>
        </w:tc>
        <w:tc>
          <w:tcPr>
            <w:tcW w:w="6461" w:type="dxa"/>
          </w:tcPr>
          <w:p>
            <w:pPr>
              <w:pStyle w:val="TableParagraph"/>
              <w:spacing w:line="482" w:lineRule="exact" w:before="26"/>
              <w:ind w:left="141"/>
              <w:rPr>
                <w:sz w:val="27"/>
              </w:rPr>
            </w:pPr>
            <w:r>
              <w:rPr>
                <w:sz w:val="27"/>
              </w:rPr>
              <w:t>prothrombin time</w:t>
            </w:r>
          </w:p>
        </w:tc>
        <w:tc>
          <w:tcPr>
            <w:tcW w:w="4481" w:type="dxa"/>
          </w:tcPr>
          <w:p>
            <w:pPr>
              <w:pStyle w:val="TableParagraph"/>
              <w:spacing w:line="473" w:lineRule="exact" w:before="34"/>
              <w:ind w:left="215"/>
              <w:rPr>
                <w:sz w:val="27"/>
              </w:rPr>
            </w:pPr>
            <w:r>
              <w:rPr>
                <w:sz w:val="27"/>
              </w:rPr>
              <w:t>凝血酵素原時間</w:t>
            </w:r>
          </w:p>
        </w:tc>
      </w:tr>
      <w:tr>
        <w:trPr>
          <w:trHeight w:val="526" w:hRule="atLeast"/>
        </w:trPr>
        <w:tc>
          <w:tcPr>
            <w:tcW w:w="2712" w:type="dxa"/>
          </w:tcPr>
          <w:p>
            <w:pPr>
              <w:pStyle w:val="TableParagraph"/>
              <w:spacing w:line="482" w:lineRule="exact" w:before="24"/>
              <w:ind w:left="215"/>
              <w:rPr>
                <w:sz w:val="27"/>
              </w:rPr>
            </w:pPr>
            <w:r>
              <w:rPr>
                <w:sz w:val="27"/>
              </w:rPr>
              <w:t>pre-XDR-TB</w:t>
            </w:r>
          </w:p>
        </w:tc>
        <w:tc>
          <w:tcPr>
            <w:tcW w:w="6461" w:type="dxa"/>
          </w:tcPr>
          <w:p>
            <w:pPr>
              <w:pStyle w:val="TableParagraph"/>
              <w:spacing w:line="482" w:lineRule="exact" w:before="24"/>
              <w:ind w:left="141"/>
              <w:rPr>
                <w:sz w:val="27"/>
              </w:rPr>
            </w:pPr>
            <w:r>
              <w:rPr>
                <w:sz w:val="27"/>
              </w:rPr>
              <w:t>pre-extensively drug-resistant TB</w:t>
            </w:r>
          </w:p>
        </w:tc>
        <w:tc>
          <w:tcPr>
            <w:tcW w:w="4481" w:type="dxa"/>
          </w:tcPr>
          <w:p>
            <w:pPr>
              <w:pStyle w:val="TableParagraph"/>
              <w:spacing w:line="472" w:lineRule="exact" w:before="34"/>
              <w:ind w:left="215"/>
              <w:rPr>
                <w:sz w:val="27"/>
              </w:rPr>
            </w:pPr>
            <w:r>
              <w:rPr>
                <w:sz w:val="27"/>
              </w:rPr>
              <w:t>前驅廣泛抗藥結核病</w:t>
            </w:r>
          </w:p>
        </w:tc>
      </w:tr>
      <w:tr>
        <w:trPr>
          <w:trHeight w:val="527" w:hRule="atLeast"/>
        </w:trPr>
        <w:tc>
          <w:tcPr>
            <w:tcW w:w="2712" w:type="dxa"/>
          </w:tcPr>
          <w:p>
            <w:pPr>
              <w:pStyle w:val="TableParagraph"/>
              <w:spacing w:line="482" w:lineRule="exact" w:before="26"/>
              <w:ind w:left="215"/>
              <w:rPr>
                <w:sz w:val="27"/>
              </w:rPr>
            </w:pPr>
            <w:r>
              <w:rPr>
                <w:sz w:val="27"/>
              </w:rPr>
              <w:t>QTc</w:t>
            </w:r>
          </w:p>
        </w:tc>
        <w:tc>
          <w:tcPr>
            <w:tcW w:w="6461" w:type="dxa"/>
          </w:tcPr>
          <w:p>
            <w:pPr>
              <w:pStyle w:val="TableParagraph"/>
              <w:spacing w:line="482" w:lineRule="exact" w:before="26"/>
              <w:ind w:left="141"/>
              <w:rPr>
                <w:sz w:val="27"/>
              </w:rPr>
            </w:pPr>
            <w:r>
              <w:rPr>
                <w:sz w:val="27"/>
              </w:rPr>
              <w:t>corrected QT interval</w:t>
            </w:r>
          </w:p>
        </w:tc>
        <w:tc>
          <w:tcPr>
            <w:tcW w:w="4481" w:type="dxa"/>
          </w:tcPr>
          <w:p>
            <w:pPr>
              <w:pStyle w:val="TableParagraph"/>
              <w:spacing w:line="473" w:lineRule="exact" w:before="34"/>
              <w:ind w:left="215"/>
              <w:rPr>
                <w:sz w:val="27"/>
              </w:rPr>
            </w:pPr>
            <w:r>
              <w:rPr>
                <w:sz w:val="27"/>
              </w:rPr>
              <w:t>校正 QT 間期</w:t>
            </w:r>
          </w:p>
        </w:tc>
      </w:tr>
      <w:tr>
        <w:trPr>
          <w:trHeight w:val="526" w:hRule="atLeast"/>
        </w:trPr>
        <w:tc>
          <w:tcPr>
            <w:tcW w:w="2712" w:type="dxa"/>
          </w:tcPr>
          <w:p>
            <w:pPr>
              <w:pStyle w:val="TableParagraph"/>
              <w:rPr>
                <w:rFonts w:ascii="Times New Roman"/>
                <w:sz w:val="26"/>
              </w:rPr>
            </w:pPr>
          </w:p>
        </w:tc>
        <w:tc>
          <w:tcPr>
            <w:tcW w:w="6461" w:type="dxa"/>
          </w:tcPr>
          <w:p>
            <w:pPr>
              <w:pStyle w:val="TableParagraph"/>
              <w:spacing w:line="482" w:lineRule="exact" w:before="24"/>
              <w:ind w:left="141"/>
              <w:rPr>
                <w:sz w:val="27"/>
              </w:rPr>
            </w:pPr>
            <w:r>
              <w:rPr>
                <w:sz w:val="27"/>
              </w:rPr>
              <w:t>re-challenge</w:t>
            </w:r>
          </w:p>
        </w:tc>
        <w:tc>
          <w:tcPr>
            <w:tcW w:w="4481" w:type="dxa"/>
          </w:tcPr>
          <w:p>
            <w:pPr>
              <w:pStyle w:val="TableParagraph"/>
              <w:spacing w:line="472" w:lineRule="exact" w:before="34"/>
              <w:ind w:left="215"/>
              <w:rPr>
                <w:sz w:val="27"/>
              </w:rPr>
            </w:pPr>
            <w:r>
              <w:rPr>
                <w:sz w:val="27"/>
              </w:rPr>
              <w:t>重新試藥</w:t>
            </w:r>
          </w:p>
        </w:tc>
      </w:tr>
      <w:tr>
        <w:trPr>
          <w:trHeight w:val="527" w:hRule="atLeast"/>
        </w:trPr>
        <w:tc>
          <w:tcPr>
            <w:tcW w:w="2712" w:type="dxa"/>
          </w:tcPr>
          <w:p>
            <w:pPr>
              <w:pStyle w:val="TableParagraph"/>
              <w:rPr>
                <w:rFonts w:ascii="Times New Roman"/>
                <w:sz w:val="26"/>
              </w:rPr>
            </w:pPr>
          </w:p>
        </w:tc>
        <w:tc>
          <w:tcPr>
            <w:tcW w:w="6461" w:type="dxa"/>
          </w:tcPr>
          <w:p>
            <w:pPr>
              <w:pStyle w:val="TableParagraph"/>
              <w:spacing w:line="482" w:lineRule="exact" w:before="26"/>
              <w:ind w:left="141"/>
              <w:rPr>
                <w:sz w:val="27"/>
              </w:rPr>
            </w:pPr>
            <w:r>
              <w:rPr>
                <w:sz w:val="27"/>
              </w:rPr>
              <w:t>smear</w:t>
            </w:r>
          </w:p>
        </w:tc>
        <w:tc>
          <w:tcPr>
            <w:tcW w:w="4481" w:type="dxa"/>
          </w:tcPr>
          <w:p>
            <w:pPr>
              <w:pStyle w:val="TableParagraph"/>
              <w:spacing w:line="473" w:lineRule="exact" w:before="34"/>
              <w:ind w:left="215"/>
              <w:rPr>
                <w:sz w:val="27"/>
              </w:rPr>
            </w:pPr>
            <w:r>
              <w:rPr>
                <w:sz w:val="27"/>
              </w:rPr>
              <w:t>塗片</w:t>
            </w:r>
          </w:p>
        </w:tc>
      </w:tr>
      <w:tr>
        <w:trPr>
          <w:trHeight w:val="526" w:hRule="atLeast"/>
        </w:trPr>
        <w:tc>
          <w:tcPr>
            <w:tcW w:w="2712" w:type="dxa"/>
          </w:tcPr>
          <w:p>
            <w:pPr>
              <w:pStyle w:val="TableParagraph"/>
              <w:rPr>
                <w:rFonts w:ascii="Times New Roman"/>
                <w:sz w:val="26"/>
              </w:rPr>
            </w:pPr>
          </w:p>
        </w:tc>
        <w:tc>
          <w:tcPr>
            <w:tcW w:w="6461" w:type="dxa"/>
          </w:tcPr>
          <w:p>
            <w:pPr>
              <w:pStyle w:val="TableParagraph"/>
              <w:spacing w:line="482" w:lineRule="exact" w:before="24"/>
              <w:ind w:left="141"/>
              <w:rPr>
                <w:sz w:val="27"/>
              </w:rPr>
            </w:pPr>
            <w:r>
              <w:rPr>
                <w:sz w:val="27"/>
              </w:rPr>
              <w:t>sensitivity</w:t>
            </w:r>
          </w:p>
        </w:tc>
        <w:tc>
          <w:tcPr>
            <w:tcW w:w="4481" w:type="dxa"/>
          </w:tcPr>
          <w:p>
            <w:pPr>
              <w:pStyle w:val="TableParagraph"/>
              <w:spacing w:line="474" w:lineRule="exact" w:before="32"/>
              <w:ind w:left="215"/>
              <w:rPr>
                <w:sz w:val="27"/>
              </w:rPr>
            </w:pPr>
            <w:r>
              <w:rPr>
                <w:sz w:val="27"/>
              </w:rPr>
              <w:t>敏感度</w:t>
            </w:r>
          </w:p>
        </w:tc>
      </w:tr>
      <w:tr>
        <w:trPr>
          <w:trHeight w:val="527" w:hRule="atLeast"/>
        </w:trPr>
        <w:tc>
          <w:tcPr>
            <w:tcW w:w="2712" w:type="dxa"/>
          </w:tcPr>
          <w:p>
            <w:pPr>
              <w:pStyle w:val="TableParagraph"/>
              <w:rPr>
                <w:rFonts w:ascii="Times New Roman"/>
                <w:sz w:val="26"/>
              </w:rPr>
            </w:pPr>
          </w:p>
        </w:tc>
        <w:tc>
          <w:tcPr>
            <w:tcW w:w="6461" w:type="dxa"/>
          </w:tcPr>
          <w:p>
            <w:pPr>
              <w:pStyle w:val="TableParagraph"/>
              <w:spacing w:line="482" w:lineRule="exact" w:before="26"/>
              <w:ind w:left="141"/>
              <w:rPr>
                <w:sz w:val="27"/>
              </w:rPr>
            </w:pPr>
            <w:r>
              <w:rPr>
                <w:sz w:val="27"/>
              </w:rPr>
              <w:t>specificity</w:t>
            </w:r>
          </w:p>
        </w:tc>
        <w:tc>
          <w:tcPr>
            <w:tcW w:w="4481" w:type="dxa"/>
          </w:tcPr>
          <w:p>
            <w:pPr>
              <w:pStyle w:val="TableParagraph"/>
              <w:spacing w:line="474" w:lineRule="exact" w:before="33"/>
              <w:ind w:left="215"/>
              <w:rPr>
                <w:sz w:val="27"/>
              </w:rPr>
            </w:pPr>
            <w:r>
              <w:rPr>
                <w:sz w:val="27"/>
              </w:rPr>
              <w:t>特異度</w:t>
            </w:r>
          </w:p>
        </w:tc>
      </w:tr>
      <w:tr>
        <w:trPr>
          <w:trHeight w:val="526" w:hRule="atLeast"/>
        </w:trPr>
        <w:tc>
          <w:tcPr>
            <w:tcW w:w="2712" w:type="dxa"/>
          </w:tcPr>
          <w:p>
            <w:pPr>
              <w:pStyle w:val="TableParagraph"/>
              <w:spacing w:line="482" w:lineRule="exact" w:before="24"/>
              <w:ind w:left="215"/>
              <w:rPr>
                <w:sz w:val="27"/>
              </w:rPr>
            </w:pPr>
            <w:r>
              <w:rPr>
                <w:sz w:val="27"/>
              </w:rPr>
              <w:t>TB</w:t>
            </w:r>
          </w:p>
        </w:tc>
        <w:tc>
          <w:tcPr>
            <w:tcW w:w="6461" w:type="dxa"/>
          </w:tcPr>
          <w:p>
            <w:pPr>
              <w:pStyle w:val="TableParagraph"/>
              <w:spacing w:line="482" w:lineRule="exact" w:before="24"/>
              <w:ind w:left="141"/>
              <w:rPr>
                <w:sz w:val="27"/>
              </w:rPr>
            </w:pPr>
            <w:r>
              <w:rPr>
                <w:sz w:val="27"/>
              </w:rPr>
              <w:t>tuberculosis</w:t>
            </w:r>
          </w:p>
        </w:tc>
        <w:tc>
          <w:tcPr>
            <w:tcW w:w="4481" w:type="dxa"/>
          </w:tcPr>
          <w:p>
            <w:pPr>
              <w:pStyle w:val="TableParagraph"/>
              <w:spacing w:line="472" w:lineRule="exact" w:before="34"/>
              <w:ind w:left="215"/>
              <w:rPr>
                <w:sz w:val="27"/>
              </w:rPr>
            </w:pPr>
            <w:r>
              <w:rPr>
                <w:sz w:val="27"/>
              </w:rPr>
              <w:t>結核病</w:t>
            </w:r>
          </w:p>
        </w:tc>
      </w:tr>
      <w:tr>
        <w:trPr>
          <w:trHeight w:val="527" w:hRule="atLeast"/>
        </w:trPr>
        <w:tc>
          <w:tcPr>
            <w:tcW w:w="2712" w:type="dxa"/>
          </w:tcPr>
          <w:p>
            <w:pPr>
              <w:pStyle w:val="TableParagraph"/>
              <w:spacing w:line="482" w:lineRule="exact" w:before="26"/>
              <w:ind w:left="215"/>
              <w:rPr>
                <w:sz w:val="27"/>
              </w:rPr>
            </w:pPr>
            <w:r>
              <w:rPr>
                <w:sz w:val="27"/>
              </w:rPr>
              <w:t>TDM</w:t>
            </w:r>
          </w:p>
        </w:tc>
        <w:tc>
          <w:tcPr>
            <w:tcW w:w="6461" w:type="dxa"/>
          </w:tcPr>
          <w:p>
            <w:pPr>
              <w:pStyle w:val="TableParagraph"/>
              <w:spacing w:line="482" w:lineRule="exact" w:before="26"/>
              <w:ind w:left="141"/>
              <w:rPr>
                <w:sz w:val="27"/>
              </w:rPr>
            </w:pPr>
            <w:r>
              <w:rPr>
                <w:sz w:val="27"/>
              </w:rPr>
              <w:t>therapeutic drug monitoring</w:t>
            </w:r>
          </w:p>
        </w:tc>
        <w:tc>
          <w:tcPr>
            <w:tcW w:w="4481" w:type="dxa"/>
          </w:tcPr>
          <w:p>
            <w:pPr>
              <w:pStyle w:val="TableParagraph"/>
              <w:spacing w:line="473" w:lineRule="exact" w:before="34"/>
              <w:ind w:left="215"/>
              <w:rPr>
                <w:sz w:val="27"/>
              </w:rPr>
            </w:pPr>
            <w:r>
              <w:rPr>
                <w:sz w:val="27"/>
              </w:rPr>
              <w:t>治療藥物監測</w:t>
            </w:r>
          </w:p>
        </w:tc>
      </w:tr>
      <w:tr>
        <w:trPr>
          <w:trHeight w:val="526" w:hRule="atLeast"/>
        </w:trPr>
        <w:tc>
          <w:tcPr>
            <w:tcW w:w="2712" w:type="dxa"/>
          </w:tcPr>
          <w:p>
            <w:pPr>
              <w:pStyle w:val="TableParagraph"/>
              <w:spacing w:line="482" w:lineRule="exact" w:before="24"/>
              <w:ind w:left="215"/>
              <w:rPr>
                <w:sz w:val="27"/>
              </w:rPr>
            </w:pPr>
            <w:r>
              <w:rPr>
                <w:sz w:val="27"/>
              </w:rPr>
              <w:t>TMTC</w:t>
            </w:r>
          </w:p>
        </w:tc>
        <w:tc>
          <w:tcPr>
            <w:tcW w:w="6461" w:type="dxa"/>
          </w:tcPr>
          <w:p>
            <w:pPr>
              <w:pStyle w:val="TableParagraph"/>
              <w:spacing w:line="482" w:lineRule="exact" w:before="24"/>
              <w:ind w:left="141"/>
              <w:rPr>
                <w:sz w:val="27"/>
              </w:rPr>
            </w:pPr>
            <w:r>
              <w:rPr>
                <w:sz w:val="27"/>
              </w:rPr>
              <w:t>The Taiwan MDR-TB Consortium</w:t>
            </w:r>
          </w:p>
        </w:tc>
        <w:tc>
          <w:tcPr>
            <w:tcW w:w="4481" w:type="dxa"/>
          </w:tcPr>
          <w:p>
            <w:pPr>
              <w:pStyle w:val="TableParagraph"/>
              <w:spacing w:line="472" w:lineRule="exact" w:before="34"/>
              <w:ind w:left="215"/>
              <w:rPr>
                <w:sz w:val="27"/>
              </w:rPr>
            </w:pPr>
            <w:r>
              <w:rPr>
                <w:sz w:val="27"/>
              </w:rPr>
              <w:t>抗藥性結核病醫療照護體系</w:t>
            </w:r>
          </w:p>
        </w:tc>
      </w:tr>
      <w:tr>
        <w:trPr>
          <w:trHeight w:val="527" w:hRule="atLeast"/>
        </w:trPr>
        <w:tc>
          <w:tcPr>
            <w:tcW w:w="2712" w:type="dxa"/>
          </w:tcPr>
          <w:p>
            <w:pPr>
              <w:pStyle w:val="TableParagraph"/>
              <w:spacing w:line="482" w:lineRule="exact" w:before="26"/>
              <w:ind w:left="215"/>
              <w:rPr>
                <w:sz w:val="27"/>
              </w:rPr>
            </w:pPr>
            <w:r>
              <w:rPr>
                <w:sz w:val="27"/>
              </w:rPr>
              <w:t>TST</w:t>
            </w:r>
          </w:p>
        </w:tc>
        <w:tc>
          <w:tcPr>
            <w:tcW w:w="6461" w:type="dxa"/>
          </w:tcPr>
          <w:p>
            <w:pPr>
              <w:pStyle w:val="TableParagraph"/>
              <w:spacing w:line="482" w:lineRule="exact" w:before="26"/>
              <w:ind w:left="141"/>
              <w:rPr>
                <w:sz w:val="27"/>
              </w:rPr>
            </w:pPr>
            <w:r>
              <w:rPr>
                <w:sz w:val="27"/>
              </w:rPr>
              <w:t>tuberculin skin test</w:t>
            </w:r>
          </w:p>
        </w:tc>
        <w:tc>
          <w:tcPr>
            <w:tcW w:w="4481" w:type="dxa"/>
          </w:tcPr>
          <w:p>
            <w:pPr>
              <w:pStyle w:val="TableParagraph"/>
              <w:spacing w:line="473" w:lineRule="exact" w:before="34"/>
              <w:ind w:left="215"/>
              <w:rPr>
                <w:sz w:val="27"/>
              </w:rPr>
            </w:pPr>
            <w:r>
              <w:rPr>
                <w:sz w:val="27"/>
              </w:rPr>
              <w:t>結核菌素皮膚試驗</w:t>
            </w:r>
          </w:p>
        </w:tc>
      </w:tr>
    </w:tbl>
    <w:p>
      <w:pPr>
        <w:spacing w:after="0" w:line="473" w:lineRule="exact"/>
        <w:rPr>
          <w:sz w:val="27"/>
        </w:rPr>
        <w:sectPr>
          <w:pgSz w:w="17190" w:h="12250" w:orient="landscape"/>
          <w:pgMar w:header="0" w:footer="819" w:top="1140" w:bottom="1000" w:left="1640" w:right="1640"/>
        </w:sectPr>
      </w:pPr>
    </w:p>
    <w:p>
      <w:pPr>
        <w:pStyle w:val="BodyText"/>
        <w:spacing w:before="11"/>
        <w:rPr>
          <w:b/>
          <w:sz w:val="17"/>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2"/>
        <w:gridCol w:w="6461"/>
        <w:gridCol w:w="4481"/>
      </w:tblGrid>
      <w:tr>
        <w:trPr>
          <w:trHeight w:val="557" w:hRule="atLeast"/>
        </w:trPr>
        <w:tc>
          <w:tcPr>
            <w:tcW w:w="2712" w:type="dxa"/>
            <w:shd w:val="clear" w:color="auto" w:fill="F1F1F1"/>
          </w:tcPr>
          <w:p>
            <w:pPr>
              <w:pStyle w:val="TableParagraph"/>
              <w:spacing w:before="53"/>
              <w:ind w:left="890"/>
              <w:rPr>
                <w:b/>
                <w:sz w:val="26"/>
              </w:rPr>
            </w:pPr>
            <w:r>
              <w:rPr>
                <w:b/>
                <w:sz w:val="26"/>
              </w:rPr>
              <w:t>英文簡寫</w:t>
            </w:r>
          </w:p>
        </w:tc>
        <w:tc>
          <w:tcPr>
            <w:tcW w:w="6461" w:type="dxa"/>
            <w:shd w:val="clear" w:color="auto" w:fill="F1F1F1"/>
          </w:tcPr>
          <w:p>
            <w:pPr>
              <w:pStyle w:val="TableParagraph"/>
              <w:spacing w:before="53"/>
              <w:ind w:left="2932" w:right="2930"/>
              <w:jc w:val="center"/>
              <w:rPr>
                <w:b/>
                <w:sz w:val="26"/>
              </w:rPr>
            </w:pPr>
            <w:r>
              <w:rPr>
                <w:b/>
                <w:sz w:val="26"/>
              </w:rPr>
              <w:t>英文</w:t>
            </w:r>
          </w:p>
        </w:tc>
        <w:tc>
          <w:tcPr>
            <w:tcW w:w="4481" w:type="dxa"/>
            <w:shd w:val="clear" w:color="auto" w:fill="F1F1F1"/>
          </w:tcPr>
          <w:p>
            <w:pPr>
              <w:pStyle w:val="TableParagraph"/>
              <w:spacing w:line="474" w:lineRule="exact" w:before="63"/>
              <w:ind w:left="1950" w:right="1833"/>
              <w:jc w:val="center"/>
              <w:rPr>
                <w:b/>
                <w:sz w:val="26"/>
              </w:rPr>
            </w:pPr>
            <w:r>
              <w:rPr>
                <w:b/>
                <w:sz w:val="26"/>
              </w:rPr>
              <w:t>中文</w:t>
            </w:r>
          </w:p>
        </w:tc>
      </w:tr>
      <w:tr>
        <w:trPr>
          <w:trHeight w:val="556" w:hRule="atLeast"/>
        </w:trPr>
        <w:tc>
          <w:tcPr>
            <w:tcW w:w="2712" w:type="dxa"/>
          </w:tcPr>
          <w:p>
            <w:pPr>
              <w:pStyle w:val="TableParagraph"/>
              <w:spacing w:before="53"/>
              <w:ind w:left="215"/>
              <w:rPr>
                <w:sz w:val="26"/>
              </w:rPr>
            </w:pPr>
            <w:r>
              <w:rPr>
                <w:sz w:val="26"/>
              </w:rPr>
              <w:t>WHO</w:t>
            </w:r>
          </w:p>
        </w:tc>
        <w:tc>
          <w:tcPr>
            <w:tcW w:w="6461" w:type="dxa"/>
          </w:tcPr>
          <w:p>
            <w:pPr>
              <w:pStyle w:val="TableParagraph"/>
              <w:spacing w:before="53"/>
              <w:ind w:left="141"/>
              <w:rPr>
                <w:sz w:val="26"/>
              </w:rPr>
            </w:pPr>
            <w:r>
              <w:rPr>
                <w:sz w:val="26"/>
              </w:rPr>
              <w:t>World Health Organization</w:t>
            </w:r>
          </w:p>
        </w:tc>
        <w:tc>
          <w:tcPr>
            <w:tcW w:w="4481" w:type="dxa"/>
          </w:tcPr>
          <w:p>
            <w:pPr>
              <w:pStyle w:val="TableParagraph"/>
              <w:spacing w:line="474" w:lineRule="exact" w:before="62"/>
              <w:ind w:left="215"/>
              <w:rPr>
                <w:sz w:val="26"/>
              </w:rPr>
            </w:pPr>
            <w:r>
              <w:rPr>
                <w:sz w:val="26"/>
              </w:rPr>
              <w:t>世界衛生組織</w:t>
            </w:r>
          </w:p>
        </w:tc>
      </w:tr>
      <w:tr>
        <w:trPr>
          <w:trHeight w:val="557" w:hRule="atLeast"/>
        </w:trPr>
        <w:tc>
          <w:tcPr>
            <w:tcW w:w="2712" w:type="dxa"/>
          </w:tcPr>
          <w:p>
            <w:pPr>
              <w:pStyle w:val="TableParagraph"/>
              <w:spacing w:before="53"/>
              <w:ind w:left="215"/>
              <w:rPr>
                <w:sz w:val="26"/>
              </w:rPr>
            </w:pPr>
            <w:r>
              <w:rPr>
                <w:sz w:val="26"/>
              </w:rPr>
              <w:t>XDR-TB</w:t>
            </w:r>
          </w:p>
        </w:tc>
        <w:tc>
          <w:tcPr>
            <w:tcW w:w="6461" w:type="dxa"/>
          </w:tcPr>
          <w:p>
            <w:pPr>
              <w:pStyle w:val="TableParagraph"/>
              <w:spacing w:before="53"/>
              <w:ind w:left="141"/>
              <w:rPr>
                <w:sz w:val="26"/>
              </w:rPr>
            </w:pPr>
            <w:r>
              <w:rPr>
                <w:sz w:val="26"/>
              </w:rPr>
              <w:t>extensively drug-resistant tuberculosis</w:t>
            </w:r>
          </w:p>
        </w:tc>
        <w:tc>
          <w:tcPr>
            <w:tcW w:w="4481" w:type="dxa"/>
          </w:tcPr>
          <w:p>
            <w:pPr>
              <w:pStyle w:val="TableParagraph"/>
              <w:spacing w:line="474" w:lineRule="exact" w:before="63"/>
              <w:ind w:left="215"/>
              <w:rPr>
                <w:sz w:val="26"/>
              </w:rPr>
            </w:pPr>
            <w:r>
              <w:rPr>
                <w:sz w:val="26"/>
              </w:rPr>
              <w:t>廣泛性抗藥結核病</w:t>
            </w:r>
          </w:p>
        </w:tc>
      </w:tr>
      <w:tr>
        <w:trPr>
          <w:trHeight w:val="556" w:hRule="atLeast"/>
        </w:trPr>
        <w:tc>
          <w:tcPr>
            <w:tcW w:w="2712" w:type="dxa"/>
          </w:tcPr>
          <w:p>
            <w:pPr>
              <w:pStyle w:val="TableParagraph"/>
              <w:spacing w:before="53"/>
              <w:ind w:left="215"/>
              <w:rPr>
                <w:sz w:val="26"/>
              </w:rPr>
            </w:pPr>
            <w:r>
              <w:rPr>
                <w:sz w:val="26"/>
              </w:rPr>
              <w:t>Xpert</w:t>
            </w:r>
          </w:p>
        </w:tc>
        <w:tc>
          <w:tcPr>
            <w:tcW w:w="6461" w:type="dxa"/>
          </w:tcPr>
          <w:p>
            <w:pPr>
              <w:pStyle w:val="TableParagraph"/>
              <w:spacing w:before="53"/>
              <w:ind w:left="141"/>
              <w:rPr>
                <w:sz w:val="26"/>
              </w:rPr>
            </w:pPr>
            <w:r>
              <w:rPr>
                <w:sz w:val="26"/>
              </w:rPr>
              <w:t>GeneXpert</w:t>
            </w:r>
          </w:p>
        </w:tc>
        <w:tc>
          <w:tcPr>
            <w:tcW w:w="4481" w:type="dxa"/>
          </w:tcPr>
          <w:p>
            <w:pPr>
              <w:pStyle w:val="TableParagraph"/>
              <w:spacing w:line="474" w:lineRule="exact" w:before="62"/>
              <w:ind w:left="215"/>
              <w:rPr>
                <w:sz w:val="26"/>
              </w:rPr>
            </w:pPr>
            <w:r>
              <w:rPr>
                <w:sz w:val="26"/>
              </w:rPr>
              <w:t>“賽沛”結核基因檢測</w:t>
            </w:r>
          </w:p>
        </w:tc>
      </w:tr>
      <w:tr>
        <w:trPr>
          <w:trHeight w:val="964" w:hRule="atLeast"/>
        </w:trPr>
        <w:tc>
          <w:tcPr>
            <w:tcW w:w="2712" w:type="dxa"/>
          </w:tcPr>
          <w:p>
            <w:pPr>
              <w:pStyle w:val="TableParagraph"/>
              <w:spacing w:before="257"/>
              <w:ind w:left="215"/>
              <w:rPr>
                <w:sz w:val="26"/>
              </w:rPr>
            </w:pPr>
            <w:r>
              <w:rPr>
                <w:sz w:val="26"/>
              </w:rPr>
              <w:t>1HP</w:t>
            </w:r>
          </w:p>
        </w:tc>
        <w:tc>
          <w:tcPr>
            <w:tcW w:w="6461" w:type="dxa"/>
          </w:tcPr>
          <w:p>
            <w:pPr>
              <w:pStyle w:val="TableParagraph"/>
              <w:spacing w:before="257"/>
              <w:ind w:left="141"/>
              <w:rPr>
                <w:sz w:val="26"/>
              </w:rPr>
            </w:pPr>
            <w:r>
              <w:rPr>
                <w:sz w:val="26"/>
              </w:rPr>
              <w:t>1 month Isoniazid + Rifapentine (daily)</w:t>
            </w:r>
          </w:p>
        </w:tc>
        <w:tc>
          <w:tcPr>
            <w:tcW w:w="4481" w:type="dxa"/>
          </w:tcPr>
          <w:p>
            <w:pPr>
              <w:pStyle w:val="TableParagraph"/>
              <w:spacing w:line="424" w:lineRule="exact" w:before="63"/>
              <w:ind w:left="216" w:right="382"/>
              <w:rPr>
                <w:sz w:val="26"/>
              </w:rPr>
            </w:pPr>
            <w:r>
              <w:rPr>
                <w:sz w:val="26"/>
              </w:rPr>
              <w:t>1 個 月 Isoniazid + Rifapentine (LTBI 處方)</w:t>
            </w:r>
          </w:p>
        </w:tc>
      </w:tr>
      <w:tr>
        <w:trPr>
          <w:trHeight w:val="964" w:hRule="atLeast"/>
        </w:trPr>
        <w:tc>
          <w:tcPr>
            <w:tcW w:w="2712" w:type="dxa"/>
          </w:tcPr>
          <w:p>
            <w:pPr>
              <w:pStyle w:val="TableParagraph"/>
              <w:spacing w:before="256"/>
              <w:ind w:left="216"/>
              <w:rPr>
                <w:sz w:val="26"/>
              </w:rPr>
            </w:pPr>
            <w:r>
              <w:rPr>
                <w:sz w:val="26"/>
              </w:rPr>
              <w:t>3HP</w:t>
            </w:r>
          </w:p>
        </w:tc>
        <w:tc>
          <w:tcPr>
            <w:tcW w:w="6461" w:type="dxa"/>
          </w:tcPr>
          <w:p>
            <w:pPr>
              <w:pStyle w:val="TableParagraph"/>
              <w:spacing w:before="256"/>
              <w:ind w:left="141"/>
              <w:rPr>
                <w:sz w:val="26"/>
              </w:rPr>
            </w:pPr>
            <w:r>
              <w:rPr>
                <w:sz w:val="26"/>
              </w:rPr>
              <w:t>3 months Isoniazid + Rifapentine (once weekly)</w:t>
            </w:r>
          </w:p>
        </w:tc>
        <w:tc>
          <w:tcPr>
            <w:tcW w:w="4481" w:type="dxa"/>
          </w:tcPr>
          <w:p>
            <w:pPr>
              <w:pStyle w:val="TableParagraph"/>
              <w:spacing w:line="451" w:lineRule="exact" w:before="57"/>
              <w:ind w:left="216"/>
              <w:rPr>
                <w:sz w:val="26"/>
              </w:rPr>
            </w:pPr>
            <w:r>
              <w:rPr>
                <w:sz w:val="26"/>
              </w:rPr>
              <w:t>3 個月速克伏</w:t>
            </w:r>
          </w:p>
          <w:p>
            <w:pPr>
              <w:pStyle w:val="TableParagraph"/>
              <w:spacing w:line="436" w:lineRule="exact"/>
              <w:ind w:left="216"/>
              <w:rPr>
                <w:sz w:val="26"/>
              </w:rPr>
            </w:pPr>
            <w:r>
              <w:rPr>
                <w:sz w:val="26"/>
              </w:rPr>
              <w:t>(LTBI 處方)</w:t>
            </w:r>
          </w:p>
        </w:tc>
      </w:tr>
      <w:tr>
        <w:trPr>
          <w:trHeight w:val="963" w:hRule="atLeast"/>
        </w:trPr>
        <w:tc>
          <w:tcPr>
            <w:tcW w:w="2712" w:type="dxa"/>
          </w:tcPr>
          <w:p>
            <w:pPr>
              <w:pStyle w:val="TableParagraph"/>
              <w:spacing w:before="256"/>
              <w:ind w:left="216"/>
              <w:rPr>
                <w:sz w:val="26"/>
              </w:rPr>
            </w:pPr>
            <w:r>
              <w:rPr>
                <w:sz w:val="26"/>
              </w:rPr>
              <w:t>3HR</w:t>
            </w:r>
          </w:p>
        </w:tc>
        <w:tc>
          <w:tcPr>
            <w:tcW w:w="6461" w:type="dxa"/>
          </w:tcPr>
          <w:p>
            <w:pPr>
              <w:pStyle w:val="TableParagraph"/>
              <w:spacing w:before="256"/>
              <w:ind w:left="141"/>
              <w:rPr>
                <w:sz w:val="26"/>
              </w:rPr>
            </w:pPr>
            <w:r>
              <w:rPr>
                <w:sz w:val="26"/>
              </w:rPr>
              <w:t>3 months Isoniazid + Rifampin (daily)</w:t>
            </w:r>
          </w:p>
        </w:tc>
        <w:tc>
          <w:tcPr>
            <w:tcW w:w="4481" w:type="dxa"/>
          </w:tcPr>
          <w:p>
            <w:pPr>
              <w:pStyle w:val="TableParagraph"/>
              <w:spacing w:line="424" w:lineRule="exact" w:before="62"/>
              <w:ind w:left="215" w:right="382"/>
              <w:rPr>
                <w:sz w:val="26"/>
              </w:rPr>
            </w:pPr>
            <w:r>
              <w:rPr>
                <w:sz w:val="26"/>
              </w:rPr>
              <w:t>3 個 月 Isoniazid +Rifampin (LTBI 處方)</w:t>
            </w:r>
          </w:p>
        </w:tc>
      </w:tr>
      <w:tr>
        <w:trPr>
          <w:trHeight w:val="557" w:hRule="atLeast"/>
        </w:trPr>
        <w:tc>
          <w:tcPr>
            <w:tcW w:w="2712" w:type="dxa"/>
          </w:tcPr>
          <w:p>
            <w:pPr>
              <w:pStyle w:val="TableParagraph"/>
              <w:spacing w:before="53"/>
              <w:ind w:left="215"/>
              <w:rPr>
                <w:sz w:val="26"/>
              </w:rPr>
            </w:pPr>
            <w:r>
              <w:rPr>
                <w:sz w:val="26"/>
              </w:rPr>
              <w:t>4R</w:t>
            </w:r>
          </w:p>
        </w:tc>
        <w:tc>
          <w:tcPr>
            <w:tcW w:w="6461" w:type="dxa"/>
          </w:tcPr>
          <w:p>
            <w:pPr>
              <w:pStyle w:val="TableParagraph"/>
              <w:spacing w:before="53"/>
              <w:ind w:left="141"/>
              <w:rPr>
                <w:sz w:val="26"/>
              </w:rPr>
            </w:pPr>
            <w:r>
              <w:rPr>
                <w:sz w:val="26"/>
              </w:rPr>
              <w:t>4 months Rifampin (daily)</w:t>
            </w:r>
          </w:p>
        </w:tc>
        <w:tc>
          <w:tcPr>
            <w:tcW w:w="4481" w:type="dxa"/>
          </w:tcPr>
          <w:p>
            <w:pPr>
              <w:pStyle w:val="TableParagraph"/>
              <w:spacing w:line="474" w:lineRule="exact" w:before="63"/>
              <w:ind w:left="215"/>
              <w:rPr>
                <w:sz w:val="26"/>
              </w:rPr>
            </w:pPr>
            <w:r>
              <w:rPr>
                <w:sz w:val="26"/>
              </w:rPr>
              <w:t>4 個 月 Rifampin</w:t>
            </w:r>
          </w:p>
        </w:tc>
      </w:tr>
      <w:tr>
        <w:trPr>
          <w:trHeight w:val="557" w:hRule="atLeast"/>
        </w:trPr>
        <w:tc>
          <w:tcPr>
            <w:tcW w:w="2712" w:type="dxa"/>
          </w:tcPr>
          <w:p>
            <w:pPr>
              <w:pStyle w:val="TableParagraph"/>
              <w:spacing w:before="53"/>
              <w:ind w:left="215"/>
              <w:rPr>
                <w:sz w:val="26"/>
              </w:rPr>
            </w:pPr>
            <w:r>
              <w:rPr>
                <w:sz w:val="26"/>
              </w:rPr>
              <w:t>9H</w:t>
            </w:r>
          </w:p>
        </w:tc>
        <w:tc>
          <w:tcPr>
            <w:tcW w:w="6461" w:type="dxa"/>
          </w:tcPr>
          <w:p>
            <w:pPr>
              <w:pStyle w:val="TableParagraph"/>
              <w:spacing w:before="53"/>
              <w:ind w:left="141"/>
              <w:rPr>
                <w:sz w:val="26"/>
              </w:rPr>
            </w:pPr>
            <w:r>
              <w:rPr>
                <w:sz w:val="26"/>
              </w:rPr>
              <w:t>9 months Isoniazid (daily)</w:t>
            </w:r>
          </w:p>
        </w:tc>
        <w:tc>
          <w:tcPr>
            <w:tcW w:w="4481" w:type="dxa"/>
          </w:tcPr>
          <w:p>
            <w:pPr>
              <w:pStyle w:val="TableParagraph"/>
              <w:spacing w:line="476" w:lineRule="exact" w:before="62"/>
              <w:ind w:left="215"/>
              <w:rPr>
                <w:sz w:val="26"/>
              </w:rPr>
            </w:pPr>
            <w:r>
              <w:rPr>
                <w:sz w:val="26"/>
              </w:rPr>
              <w:t>9 個 月 isoniazid</w:t>
            </w:r>
          </w:p>
        </w:tc>
      </w:tr>
    </w:tbl>
    <w:p>
      <w:pPr>
        <w:spacing w:after="0" w:line="476" w:lineRule="exact"/>
        <w:rPr>
          <w:sz w:val="26"/>
        </w:rPr>
        <w:sectPr>
          <w:pgSz w:w="17190" w:h="12250" w:orient="landscape"/>
          <w:pgMar w:header="0" w:footer="819" w:top="1140" w:bottom="1000" w:left="1640" w:right="1640"/>
        </w:sectPr>
      </w:pPr>
    </w:p>
    <w:p>
      <w:pPr>
        <w:spacing w:line="677" w:lineRule="exact" w:before="0" w:after="14"/>
        <w:ind w:left="599" w:right="1301" w:firstLine="0"/>
        <w:jc w:val="center"/>
        <w:rPr>
          <w:b/>
          <w:sz w:val="38"/>
        </w:rPr>
      </w:pPr>
      <w:r>
        <w:rPr>
          <w:b/>
          <w:sz w:val="38"/>
        </w:rPr>
        <w:t>抗結核藥品名稱縮寫對照表</w:t>
      </w: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2"/>
        <w:gridCol w:w="6808"/>
      </w:tblGrid>
      <w:tr>
        <w:trPr>
          <w:trHeight w:val="552" w:hRule="atLeast"/>
        </w:trPr>
        <w:tc>
          <w:tcPr>
            <w:tcW w:w="2662" w:type="dxa"/>
            <w:shd w:val="clear" w:color="auto" w:fill="EFEFEF"/>
          </w:tcPr>
          <w:p>
            <w:pPr>
              <w:pStyle w:val="TableParagraph"/>
              <w:spacing w:before="24"/>
              <w:ind w:left="1040" w:right="1031"/>
              <w:jc w:val="center"/>
              <w:rPr>
                <w:b/>
                <w:sz w:val="27"/>
              </w:rPr>
            </w:pPr>
            <w:r>
              <w:rPr>
                <w:b/>
                <w:sz w:val="27"/>
              </w:rPr>
              <w:t>縮寫</w:t>
            </w:r>
          </w:p>
        </w:tc>
        <w:tc>
          <w:tcPr>
            <w:tcW w:w="6808" w:type="dxa"/>
            <w:shd w:val="clear" w:color="auto" w:fill="EFEFEF"/>
          </w:tcPr>
          <w:p>
            <w:pPr>
              <w:pStyle w:val="TableParagraph"/>
              <w:spacing w:before="24"/>
              <w:ind w:left="3111" w:right="3107"/>
              <w:jc w:val="center"/>
              <w:rPr>
                <w:b/>
                <w:sz w:val="27"/>
              </w:rPr>
            </w:pPr>
            <w:r>
              <w:rPr>
                <w:b/>
                <w:sz w:val="27"/>
              </w:rPr>
              <w:t>全名</w:t>
            </w:r>
          </w:p>
        </w:tc>
      </w:tr>
      <w:tr>
        <w:trPr>
          <w:trHeight w:val="1142" w:hRule="atLeast"/>
        </w:trPr>
        <w:tc>
          <w:tcPr>
            <w:tcW w:w="2662" w:type="dxa"/>
          </w:tcPr>
          <w:p>
            <w:pPr>
              <w:pStyle w:val="TableParagraph"/>
              <w:spacing w:before="320"/>
              <w:ind w:left="107"/>
              <w:rPr>
                <w:sz w:val="27"/>
              </w:rPr>
            </w:pPr>
            <w:r>
              <w:rPr>
                <w:sz w:val="27"/>
              </w:rPr>
              <w:t>AKT-3/Trac 3</w:t>
            </w:r>
          </w:p>
        </w:tc>
        <w:tc>
          <w:tcPr>
            <w:tcW w:w="6808" w:type="dxa"/>
          </w:tcPr>
          <w:p>
            <w:pPr>
              <w:pStyle w:val="TableParagraph"/>
              <w:spacing w:line="448" w:lineRule="exact" w:before="132"/>
              <w:ind w:left="127"/>
              <w:rPr>
                <w:sz w:val="27"/>
              </w:rPr>
            </w:pPr>
            <w:r>
              <w:rPr>
                <w:sz w:val="27"/>
              </w:rPr>
              <w:t>AKuriT-3/Trac 3</w:t>
            </w:r>
          </w:p>
          <w:p>
            <w:pPr>
              <w:pStyle w:val="TableParagraph"/>
              <w:spacing w:line="448" w:lineRule="exact"/>
              <w:ind w:left="127"/>
              <w:rPr>
                <w:sz w:val="27"/>
              </w:rPr>
            </w:pPr>
            <w:r>
              <w:rPr>
                <w:sz w:val="27"/>
              </w:rPr>
              <w:t>每一錠中含 INH 75 mg、RMP 150 mg、EMB 275 mg</w:t>
            </w:r>
          </w:p>
        </w:tc>
      </w:tr>
      <w:tr>
        <w:trPr>
          <w:trHeight w:val="1399" w:hRule="atLeast"/>
        </w:trPr>
        <w:tc>
          <w:tcPr>
            <w:tcW w:w="2662" w:type="dxa"/>
          </w:tcPr>
          <w:p>
            <w:pPr>
              <w:pStyle w:val="TableParagraph"/>
              <w:spacing w:before="8"/>
              <w:rPr>
                <w:b/>
                <w:sz w:val="24"/>
              </w:rPr>
            </w:pPr>
          </w:p>
          <w:p>
            <w:pPr>
              <w:pStyle w:val="TableParagraph"/>
              <w:ind w:left="107"/>
              <w:rPr>
                <w:sz w:val="27"/>
              </w:rPr>
            </w:pPr>
            <w:r>
              <w:rPr>
                <w:sz w:val="27"/>
              </w:rPr>
              <w:t>AKT-4/Trac 4</w:t>
            </w:r>
          </w:p>
        </w:tc>
        <w:tc>
          <w:tcPr>
            <w:tcW w:w="6808" w:type="dxa"/>
          </w:tcPr>
          <w:p>
            <w:pPr>
              <w:pStyle w:val="TableParagraph"/>
              <w:spacing w:line="448" w:lineRule="exact" w:before="61"/>
              <w:ind w:left="127"/>
              <w:rPr>
                <w:sz w:val="27"/>
              </w:rPr>
            </w:pPr>
            <w:r>
              <w:rPr>
                <w:sz w:val="27"/>
              </w:rPr>
              <w:t>AKuriT-4/Trac 4</w:t>
            </w:r>
          </w:p>
          <w:p>
            <w:pPr>
              <w:pStyle w:val="TableParagraph"/>
              <w:spacing w:line="400" w:lineRule="exact"/>
              <w:ind w:left="127"/>
              <w:rPr>
                <w:sz w:val="27"/>
              </w:rPr>
            </w:pPr>
            <w:r>
              <w:rPr>
                <w:sz w:val="27"/>
              </w:rPr>
              <w:t>每一錠中含 INH 75 mg、RMP 150 mg、PZA 400</w:t>
            </w:r>
          </w:p>
          <w:p>
            <w:pPr>
              <w:pStyle w:val="TableParagraph"/>
              <w:spacing w:line="449" w:lineRule="exact"/>
              <w:ind w:left="127"/>
              <w:rPr>
                <w:sz w:val="27"/>
              </w:rPr>
            </w:pPr>
            <w:r>
              <w:rPr>
                <w:spacing w:val="-16"/>
                <w:sz w:val="27"/>
              </w:rPr>
              <w:t>mg</w:t>
            </w:r>
            <w:r>
              <w:rPr>
                <w:spacing w:val="-60"/>
                <w:sz w:val="27"/>
              </w:rPr>
              <w:t>、</w:t>
            </w:r>
            <w:r>
              <w:rPr>
                <w:sz w:val="27"/>
              </w:rPr>
              <w:t>EMB 275 mg</w:t>
            </w:r>
          </w:p>
        </w:tc>
      </w:tr>
      <w:tr>
        <w:trPr>
          <w:trHeight w:val="596" w:hRule="atLeast"/>
        </w:trPr>
        <w:tc>
          <w:tcPr>
            <w:tcW w:w="2662" w:type="dxa"/>
          </w:tcPr>
          <w:p>
            <w:pPr>
              <w:pStyle w:val="TableParagraph"/>
              <w:spacing w:before="47"/>
              <w:ind w:left="107"/>
              <w:rPr>
                <w:sz w:val="27"/>
              </w:rPr>
            </w:pPr>
            <w:r>
              <w:rPr>
                <w:sz w:val="27"/>
              </w:rPr>
              <w:t>AMK (AM)</w:t>
            </w:r>
          </w:p>
        </w:tc>
        <w:tc>
          <w:tcPr>
            <w:tcW w:w="6808" w:type="dxa"/>
          </w:tcPr>
          <w:p>
            <w:pPr>
              <w:pStyle w:val="TableParagraph"/>
              <w:spacing w:before="47"/>
              <w:ind w:left="127"/>
              <w:rPr>
                <w:sz w:val="27"/>
              </w:rPr>
            </w:pPr>
            <w:r>
              <w:rPr>
                <w:sz w:val="27"/>
              </w:rPr>
              <w:t>Amikacin</w:t>
            </w:r>
          </w:p>
        </w:tc>
      </w:tr>
      <w:tr>
        <w:trPr>
          <w:trHeight w:val="594" w:hRule="atLeast"/>
        </w:trPr>
        <w:tc>
          <w:tcPr>
            <w:tcW w:w="2662" w:type="dxa"/>
          </w:tcPr>
          <w:p>
            <w:pPr>
              <w:pStyle w:val="TableParagraph"/>
              <w:spacing w:before="46"/>
              <w:ind w:left="107"/>
              <w:rPr>
                <w:sz w:val="27"/>
              </w:rPr>
            </w:pPr>
            <w:r>
              <w:rPr>
                <w:sz w:val="27"/>
              </w:rPr>
              <w:t>BDQ (B)</w:t>
            </w:r>
          </w:p>
        </w:tc>
        <w:tc>
          <w:tcPr>
            <w:tcW w:w="6808" w:type="dxa"/>
          </w:tcPr>
          <w:p>
            <w:pPr>
              <w:pStyle w:val="TableParagraph"/>
              <w:spacing w:before="46"/>
              <w:ind w:left="127"/>
              <w:rPr>
                <w:sz w:val="27"/>
              </w:rPr>
            </w:pPr>
            <w:r>
              <w:rPr>
                <w:sz w:val="27"/>
              </w:rPr>
              <w:t>Bedaquiline</w:t>
            </w:r>
          </w:p>
        </w:tc>
      </w:tr>
      <w:tr>
        <w:trPr>
          <w:trHeight w:val="594" w:hRule="atLeast"/>
        </w:trPr>
        <w:tc>
          <w:tcPr>
            <w:tcW w:w="2662" w:type="dxa"/>
          </w:tcPr>
          <w:p>
            <w:pPr>
              <w:pStyle w:val="TableParagraph"/>
              <w:spacing w:before="46"/>
              <w:ind w:left="107"/>
              <w:rPr>
                <w:sz w:val="27"/>
              </w:rPr>
            </w:pPr>
            <w:r>
              <w:rPr>
                <w:sz w:val="27"/>
              </w:rPr>
              <w:t>CFZ</w:t>
            </w:r>
          </w:p>
        </w:tc>
        <w:tc>
          <w:tcPr>
            <w:tcW w:w="6808" w:type="dxa"/>
          </w:tcPr>
          <w:p>
            <w:pPr>
              <w:pStyle w:val="TableParagraph"/>
              <w:spacing w:before="46"/>
              <w:ind w:left="127"/>
              <w:rPr>
                <w:sz w:val="27"/>
              </w:rPr>
            </w:pPr>
            <w:r>
              <w:rPr>
                <w:sz w:val="27"/>
              </w:rPr>
              <w:t>Clofazimine</w:t>
            </w:r>
          </w:p>
        </w:tc>
      </w:tr>
      <w:tr>
        <w:trPr>
          <w:trHeight w:val="594" w:hRule="atLeast"/>
        </w:trPr>
        <w:tc>
          <w:tcPr>
            <w:tcW w:w="2662" w:type="dxa"/>
          </w:tcPr>
          <w:p>
            <w:pPr>
              <w:pStyle w:val="TableParagraph"/>
              <w:spacing w:before="46"/>
              <w:ind w:left="107"/>
              <w:rPr>
                <w:sz w:val="27"/>
              </w:rPr>
            </w:pPr>
            <w:r>
              <w:rPr>
                <w:sz w:val="27"/>
              </w:rPr>
              <w:t>CLR</w:t>
            </w:r>
          </w:p>
        </w:tc>
        <w:tc>
          <w:tcPr>
            <w:tcW w:w="6808" w:type="dxa"/>
          </w:tcPr>
          <w:p>
            <w:pPr>
              <w:pStyle w:val="TableParagraph"/>
              <w:spacing w:before="46"/>
              <w:ind w:left="127"/>
              <w:rPr>
                <w:sz w:val="27"/>
              </w:rPr>
            </w:pPr>
            <w:r>
              <w:rPr>
                <w:sz w:val="27"/>
              </w:rPr>
              <w:t>Clarithromycin</w:t>
            </w:r>
          </w:p>
        </w:tc>
      </w:tr>
      <w:tr>
        <w:trPr>
          <w:trHeight w:val="594" w:hRule="atLeast"/>
        </w:trPr>
        <w:tc>
          <w:tcPr>
            <w:tcW w:w="2662" w:type="dxa"/>
          </w:tcPr>
          <w:p>
            <w:pPr>
              <w:pStyle w:val="TableParagraph"/>
              <w:spacing w:before="46"/>
              <w:ind w:left="107"/>
              <w:rPr>
                <w:sz w:val="27"/>
              </w:rPr>
            </w:pPr>
            <w:r>
              <w:rPr>
                <w:sz w:val="27"/>
              </w:rPr>
              <w:t>CM</w:t>
            </w:r>
          </w:p>
        </w:tc>
        <w:tc>
          <w:tcPr>
            <w:tcW w:w="6808" w:type="dxa"/>
          </w:tcPr>
          <w:p>
            <w:pPr>
              <w:pStyle w:val="TableParagraph"/>
              <w:spacing w:before="46"/>
              <w:ind w:left="127"/>
              <w:rPr>
                <w:sz w:val="27"/>
              </w:rPr>
            </w:pPr>
            <w:r>
              <w:rPr>
                <w:sz w:val="27"/>
              </w:rPr>
              <w:t>Capreomycin</w:t>
            </w:r>
          </w:p>
        </w:tc>
      </w:tr>
      <w:tr>
        <w:trPr>
          <w:trHeight w:val="594" w:hRule="atLeast"/>
        </w:trPr>
        <w:tc>
          <w:tcPr>
            <w:tcW w:w="2662" w:type="dxa"/>
          </w:tcPr>
          <w:p>
            <w:pPr>
              <w:pStyle w:val="TableParagraph"/>
              <w:spacing w:before="47"/>
              <w:ind w:left="107"/>
              <w:rPr>
                <w:sz w:val="27"/>
              </w:rPr>
            </w:pPr>
            <w:r>
              <w:rPr>
                <w:sz w:val="27"/>
              </w:rPr>
              <w:t>CS</w:t>
            </w:r>
          </w:p>
        </w:tc>
        <w:tc>
          <w:tcPr>
            <w:tcW w:w="6808" w:type="dxa"/>
          </w:tcPr>
          <w:p>
            <w:pPr>
              <w:pStyle w:val="TableParagraph"/>
              <w:spacing w:before="47"/>
              <w:ind w:left="127"/>
              <w:rPr>
                <w:sz w:val="27"/>
              </w:rPr>
            </w:pPr>
            <w:r>
              <w:rPr>
                <w:sz w:val="27"/>
              </w:rPr>
              <w:t>Cycloserine</w:t>
            </w:r>
          </w:p>
        </w:tc>
      </w:tr>
      <w:tr>
        <w:trPr>
          <w:trHeight w:val="596" w:hRule="atLeast"/>
        </w:trPr>
        <w:tc>
          <w:tcPr>
            <w:tcW w:w="2662" w:type="dxa"/>
          </w:tcPr>
          <w:p>
            <w:pPr>
              <w:pStyle w:val="TableParagraph"/>
              <w:spacing w:before="47"/>
              <w:ind w:left="107"/>
              <w:rPr>
                <w:sz w:val="27"/>
              </w:rPr>
            </w:pPr>
            <w:r>
              <w:rPr>
                <w:sz w:val="27"/>
              </w:rPr>
              <w:t>DLM</w:t>
            </w:r>
          </w:p>
        </w:tc>
        <w:tc>
          <w:tcPr>
            <w:tcW w:w="6808" w:type="dxa"/>
          </w:tcPr>
          <w:p>
            <w:pPr>
              <w:pStyle w:val="TableParagraph"/>
              <w:spacing w:before="47"/>
              <w:ind w:left="127"/>
              <w:rPr>
                <w:sz w:val="27"/>
              </w:rPr>
            </w:pPr>
            <w:r>
              <w:rPr>
                <w:sz w:val="27"/>
              </w:rPr>
              <w:t>Delamanid</w:t>
            </w:r>
          </w:p>
        </w:tc>
      </w:tr>
      <w:tr>
        <w:trPr>
          <w:trHeight w:val="594" w:hRule="atLeast"/>
        </w:trPr>
        <w:tc>
          <w:tcPr>
            <w:tcW w:w="2662" w:type="dxa"/>
          </w:tcPr>
          <w:p>
            <w:pPr>
              <w:pStyle w:val="TableParagraph"/>
              <w:spacing w:before="46"/>
              <w:ind w:left="107"/>
              <w:rPr>
                <w:sz w:val="27"/>
              </w:rPr>
            </w:pPr>
            <w:r>
              <w:rPr>
                <w:sz w:val="27"/>
              </w:rPr>
              <w:t>EMB (E)</w:t>
            </w:r>
          </w:p>
        </w:tc>
        <w:tc>
          <w:tcPr>
            <w:tcW w:w="6808" w:type="dxa"/>
          </w:tcPr>
          <w:p>
            <w:pPr>
              <w:pStyle w:val="TableParagraph"/>
              <w:spacing w:before="46"/>
              <w:ind w:left="127"/>
              <w:rPr>
                <w:sz w:val="27"/>
              </w:rPr>
            </w:pPr>
            <w:r>
              <w:rPr>
                <w:sz w:val="27"/>
              </w:rPr>
              <w:t>Ethambutol</w:t>
            </w:r>
          </w:p>
        </w:tc>
      </w:tr>
      <w:tr>
        <w:trPr>
          <w:trHeight w:val="594" w:hRule="atLeast"/>
        </w:trPr>
        <w:tc>
          <w:tcPr>
            <w:tcW w:w="2662" w:type="dxa"/>
          </w:tcPr>
          <w:p>
            <w:pPr>
              <w:pStyle w:val="TableParagraph"/>
              <w:spacing w:before="46"/>
              <w:ind w:left="107"/>
              <w:rPr>
                <w:sz w:val="27"/>
              </w:rPr>
            </w:pPr>
            <w:r>
              <w:rPr>
                <w:sz w:val="27"/>
              </w:rPr>
              <w:t>ETO/ETH</w:t>
            </w:r>
          </w:p>
        </w:tc>
        <w:tc>
          <w:tcPr>
            <w:tcW w:w="6808" w:type="dxa"/>
          </w:tcPr>
          <w:p>
            <w:pPr>
              <w:pStyle w:val="TableParagraph"/>
              <w:spacing w:before="46"/>
              <w:ind w:left="127"/>
              <w:rPr>
                <w:sz w:val="27"/>
              </w:rPr>
            </w:pPr>
            <w:r>
              <w:rPr>
                <w:sz w:val="27"/>
              </w:rPr>
              <w:t>Ethionamide</w:t>
            </w:r>
          </w:p>
        </w:tc>
      </w:tr>
      <w:tr>
        <w:trPr>
          <w:trHeight w:val="594" w:hRule="atLeast"/>
        </w:trPr>
        <w:tc>
          <w:tcPr>
            <w:tcW w:w="2662" w:type="dxa"/>
          </w:tcPr>
          <w:p>
            <w:pPr>
              <w:pStyle w:val="TableParagraph"/>
              <w:spacing w:before="46"/>
              <w:ind w:left="107"/>
              <w:rPr>
                <w:sz w:val="27"/>
              </w:rPr>
            </w:pPr>
            <w:r>
              <w:rPr>
                <w:sz w:val="27"/>
              </w:rPr>
              <w:t>FQ/FLQ</w:t>
            </w:r>
          </w:p>
        </w:tc>
        <w:tc>
          <w:tcPr>
            <w:tcW w:w="6808" w:type="dxa"/>
          </w:tcPr>
          <w:p>
            <w:pPr>
              <w:pStyle w:val="TableParagraph"/>
              <w:spacing w:before="46"/>
              <w:ind w:left="127"/>
              <w:rPr>
                <w:sz w:val="27"/>
              </w:rPr>
            </w:pPr>
            <w:r>
              <w:rPr>
                <w:sz w:val="27"/>
              </w:rPr>
              <w:t>Fluoroquinolone</w:t>
            </w:r>
          </w:p>
        </w:tc>
      </w:tr>
      <w:tr>
        <w:trPr>
          <w:trHeight w:val="594" w:hRule="atLeast"/>
        </w:trPr>
        <w:tc>
          <w:tcPr>
            <w:tcW w:w="2662" w:type="dxa"/>
          </w:tcPr>
          <w:p>
            <w:pPr>
              <w:pStyle w:val="TableParagraph"/>
              <w:spacing w:before="46"/>
              <w:ind w:left="107"/>
              <w:rPr>
                <w:sz w:val="27"/>
              </w:rPr>
            </w:pPr>
            <w:r>
              <w:rPr>
                <w:sz w:val="27"/>
              </w:rPr>
              <w:t>GFX (G)</w:t>
            </w:r>
          </w:p>
        </w:tc>
        <w:tc>
          <w:tcPr>
            <w:tcW w:w="6808" w:type="dxa"/>
          </w:tcPr>
          <w:p>
            <w:pPr>
              <w:pStyle w:val="TableParagraph"/>
              <w:spacing w:before="46"/>
              <w:ind w:left="127"/>
              <w:rPr>
                <w:sz w:val="27"/>
              </w:rPr>
            </w:pPr>
            <w:r>
              <w:rPr>
                <w:sz w:val="27"/>
              </w:rPr>
              <w:t>Gatifloxacin</w:t>
            </w:r>
          </w:p>
        </w:tc>
      </w:tr>
      <w:tr>
        <w:trPr>
          <w:trHeight w:val="594" w:hRule="atLeast"/>
        </w:trPr>
        <w:tc>
          <w:tcPr>
            <w:tcW w:w="2662" w:type="dxa"/>
          </w:tcPr>
          <w:p>
            <w:pPr>
              <w:pStyle w:val="TableParagraph"/>
              <w:spacing w:before="47"/>
              <w:ind w:left="107"/>
              <w:rPr>
                <w:sz w:val="27"/>
              </w:rPr>
            </w:pPr>
            <w:r>
              <w:rPr>
                <w:sz w:val="27"/>
              </w:rPr>
              <w:t>HP FDC</w:t>
            </w:r>
          </w:p>
        </w:tc>
        <w:tc>
          <w:tcPr>
            <w:tcW w:w="6808" w:type="dxa"/>
          </w:tcPr>
          <w:p>
            <w:pPr>
              <w:pStyle w:val="TableParagraph"/>
              <w:spacing w:before="47"/>
              <w:ind w:left="127"/>
              <w:rPr>
                <w:sz w:val="27"/>
              </w:rPr>
            </w:pPr>
            <w:r>
              <w:rPr>
                <w:sz w:val="27"/>
              </w:rPr>
              <w:t>INH300mg/RPT300mg， fixed-dose combination</w:t>
            </w:r>
          </w:p>
        </w:tc>
      </w:tr>
      <w:tr>
        <w:trPr>
          <w:trHeight w:val="595" w:hRule="atLeast"/>
        </w:trPr>
        <w:tc>
          <w:tcPr>
            <w:tcW w:w="2662" w:type="dxa"/>
          </w:tcPr>
          <w:p>
            <w:pPr>
              <w:pStyle w:val="TableParagraph"/>
              <w:spacing w:before="47"/>
              <w:ind w:left="107"/>
              <w:rPr>
                <w:sz w:val="27"/>
              </w:rPr>
            </w:pPr>
            <w:r>
              <w:rPr>
                <w:sz w:val="27"/>
              </w:rPr>
              <w:t>INH (H)</w:t>
            </w:r>
          </w:p>
        </w:tc>
        <w:tc>
          <w:tcPr>
            <w:tcW w:w="6808" w:type="dxa"/>
          </w:tcPr>
          <w:p>
            <w:pPr>
              <w:pStyle w:val="TableParagraph"/>
              <w:spacing w:before="47"/>
              <w:ind w:left="127"/>
              <w:rPr>
                <w:sz w:val="27"/>
              </w:rPr>
            </w:pPr>
            <w:r>
              <w:rPr>
                <w:sz w:val="27"/>
              </w:rPr>
              <w:t>Isoniazid</w:t>
            </w:r>
          </w:p>
        </w:tc>
      </w:tr>
      <w:tr>
        <w:trPr>
          <w:trHeight w:val="594" w:hRule="atLeast"/>
        </w:trPr>
        <w:tc>
          <w:tcPr>
            <w:tcW w:w="2662" w:type="dxa"/>
          </w:tcPr>
          <w:p>
            <w:pPr>
              <w:pStyle w:val="TableParagraph"/>
              <w:spacing w:before="46"/>
              <w:ind w:left="107"/>
              <w:rPr>
                <w:sz w:val="27"/>
              </w:rPr>
            </w:pPr>
            <w:r>
              <w:rPr>
                <w:sz w:val="27"/>
              </w:rPr>
              <w:t>IPM</w:t>
            </w:r>
          </w:p>
        </w:tc>
        <w:tc>
          <w:tcPr>
            <w:tcW w:w="6808" w:type="dxa"/>
          </w:tcPr>
          <w:p>
            <w:pPr>
              <w:pStyle w:val="TableParagraph"/>
              <w:spacing w:before="46"/>
              <w:ind w:left="127"/>
              <w:rPr>
                <w:sz w:val="27"/>
              </w:rPr>
            </w:pPr>
            <w:r>
              <w:rPr>
                <w:sz w:val="27"/>
              </w:rPr>
              <w:t>Imipenem</w:t>
            </w:r>
          </w:p>
        </w:tc>
      </w:tr>
      <w:tr>
        <w:trPr>
          <w:trHeight w:val="594" w:hRule="atLeast"/>
        </w:trPr>
        <w:tc>
          <w:tcPr>
            <w:tcW w:w="2662" w:type="dxa"/>
          </w:tcPr>
          <w:p>
            <w:pPr>
              <w:pStyle w:val="TableParagraph"/>
              <w:spacing w:before="46"/>
              <w:ind w:left="107"/>
              <w:rPr>
                <w:sz w:val="27"/>
              </w:rPr>
            </w:pPr>
            <w:r>
              <w:rPr>
                <w:sz w:val="27"/>
              </w:rPr>
              <w:t>IPM-CLN</w:t>
            </w:r>
          </w:p>
        </w:tc>
        <w:tc>
          <w:tcPr>
            <w:tcW w:w="6808" w:type="dxa"/>
          </w:tcPr>
          <w:p>
            <w:pPr>
              <w:pStyle w:val="TableParagraph"/>
              <w:spacing w:before="46"/>
              <w:ind w:left="127"/>
              <w:rPr>
                <w:sz w:val="27"/>
              </w:rPr>
            </w:pPr>
            <w:r>
              <w:rPr>
                <w:sz w:val="27"/>
              </w:rPr>
              <w:t>Imipenem-cilastatin</w:t>
            </w:r>
          </w:p>
        </w:tc>
      </w:tr>
      <w:tr>
        <w:trPr>
          <w:trHeight w:val="594" w:hRule="atLeast"/>
        </w:trPr>
        <w:tc>
          <w:tcPr>
            <w:tcW w:w="2662" w:type="dxa"/>
          </w:tcPr>
          <w:p>
            <w:pPr>
              <w:pStyle w:val="TableParagraph"/>
              <w:spacing w:before="46"/>
              <w:ind w:left="107"/>
              <w:rPr>
                <w:sz w:val="27"/>
              </w:rPr>
            </w:pPr>
            <w:r>
              <w:rPr>
                <w:sz w:val="27"/>
              </w:rPr>
              <w:t>KM (K)</w:t>
            </w:r>
          </w:p>
        </w:tc>
        <w:tc>
          <w:tcPr>
            <w:tcW w:w="6808" w:type="dxa"/>
          </w:tcPr>
          <w:p>
            <w:pPr>
              <w:pStyle w:val="TableParagraph"/>
              <w:spacing w:before="46"/>
              <w:ind w:left="127"/>
              <w:rPr>
                <w:sz w:val="27"/>
              </w:rPr>
            </w:pPr>
            <w:r>
              <w:rPr>
                <w:sz w:val="27"/>
              </w:rPr>
              <w:t>Kanamycin</w:t>
            </w:r>
          </w:p>
        </w:tc>
      </w:tr>
      <w:tr>
        <w:trPr>
          <w:trHeight w:val="596" w:hRule="atLeast"/>
        </w:trPr>
        <w:tc>
          <w:tcPr>
            <w:tcW w:w="2662" w:type="dxa"/>
          </w:tcPr>
          <w:p>
            <w:pPr>
              <w:pStyle w:val="TableParagraph"/>
              <w:spacing w:before="46"/>
              <w:ind w:left="107"/>
              <w:rPr>
                <w:sz w:val="27"/>
              </w:rPr>
            </w:pPr>
            <w:r>
              <w:rPr>
                <w:sz w:val="27"/>
              </w:rPr>
              <w:t>LFX/LEVO</w:t>
            </w:r>
          </w:p>
        </w:tc>
        <w:tc>
          <w:tcPr>
            <w:tcW w:w="6808" w:type="dxa"/>
          </w:tcPr>
          <w:p>
            <w:pPr>
              <w:pStyle w:val="TableParagraph"/>
              <w:spacing w:before="46"/>
              <w:ind w:left="127"/>
              <w:rPr>
                <w:sz w:val="27"/>
              </w:rPr>
            </w:pPr>
            <w:r>
              <w:rPr>
                <w:sz w:val="27"/>
              </w:rPr>
              <w:t>Levofloxacin</w:t>
            </w:r>
          </w:p>
        </w:tc>
      </w:tr>
    </w:tbl>
    <w:p>
      <w:pPr>
        <w:spacing w:after="0"/>
        <w:rPr>
          <w:sz w:val="27"/>
        </w:rPr>
        <w:sectPr>
          <w:footerReference w:type="default" r:id="rId10"/>
          <w:pgSz w:w="12250" w:h="17190"/>
          <w:pgMar w:footer="819" w:header="0" w:top="1400" w:bottom="1000" w:left="1200" w:right="0"/>
          <w:pgNumType w:start="5"/>
        </w:sect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6634"/>
      </w:tblGrid>
      <w:tr>
        <w:trPr>
          <w:trHeight w:val="594" w:hRule="atLeast"/>
        </w:trPr>
        <w:tc>
          <w:tcPr>
            <w:tcW w:w="2836" w:type="dxa"/>
            <w:shd w:val="clear" w:color="auto" w:fill="F1F1F1"/>
          </w:tcPr>
          <w:p>
            <w:pPr>
              <w:pStyle w:val="TableParagraph"/>
              <w:spacing w:before="37"/>
              <w:ind w:left="1127" w:right="1119"/>
              <w:jc w:val="center"/>
              <w:rPr>
                <w:b/>
                <w:sz w:val="27"/>
              </w:rPr>
            </w:pPr>
            <w:r>
              <w:rPr>
                <w:b/>
                <w:sz w:val="27"/>
              </w:rPr>
              <w:t>縮寫</w:t>
            </w:r>
          </w:p>
        </w:tc>
        <w:tc>
          <w:tcPr>
            <w:tcW w:w="6634" w:type="dxa"/>
            <w:shd w:val="clear" w:color="auto" w:fill="F1F1F1"/>
          </w:tcPr>
          <w:p>
            <w:pPr>
              <w:pStyle w:val="TableParagraph"/>
              <w:spacing w:before="37"/>
              <w:ind w:left="3035" w:right="3008"/>
              <w:jc w:val="center"/>
              <w:rPr>
                <w:b/>
                <w:sz w:val="27"/>
              </w:rPr>
            </w:pPr>
            <w:r>
              <w:rPr>
                <w:b/>
                <w:sz w:val="27"/>
              </w:rPr>
              <w:t>全名</w:t>
            </w:r>
          </w:p>
        </w:tc>
      </w:tr>
      <w:tr>
        <w:trPr>
          <w:trHeight w:val="594" w:hRule="atLeast"/>
        </w:trPr>
        <w:tc>
          <w:tcPr>
            <w:tcW w:w="2836" w:type="dxa"/>
          </w:tcPr>
          <w:p>
            <w:pPr>
              <w:pStyle w:val="TableParagraph"/>
              <w:spacing w:before="37"/>
              <w:ind w:left="75"/>
              <w:rPr>
                <w:sz w:val="27"/>
              </w:rPr>
            </w:pPr>
            <w:r>
              <w:rPr>
                <w:sz w:val="27"/>
              </w:rPr>
              <w:t>LZD</w:t>
            </w:r>
          </w:p>
        </w:tc>
        <w:tc>
          <w:tcPr>
            <w:tcW w:w="6634" w:type="dxa"/>
          </w:tcPr>
          <w:p>
            <w:pPr>
              <w:pStyle w:val="TableParagraph"/>
              <w:spacing w:before="37"/>
              <w:ind w:left="106"/>
              <w:rPr>
                <w:sz w:val="27"/>
              </w:rPr>
            </w:pPr>
            <w:r>
              <w:rPr>
                <w:sz w:val="27"/>
              </w:rPr>
              <w:t>Linezolid</w:t>
            </w:r>
          </w:p>
        </w:tc>
      </w:tr>
      <w:tr>
        <w:trPr>
          <w:trHeight w:val="585" w:hRule="atLeast"/>
        </w:trPr>
        <w:tc>
          <w:tcPr>
            <w:tcW w:w="2836" w:type="dxa"/>
          </w:tcPr>
          <w:p>
            <w:pPr>
              <w:pStyle w:val="TableParagraph"/>
              <w:spacing w:before="32"/>
              <w:ind w:left="75"/>
              <w:rPr>
                <w:sz w:val="27"/>
              </w:rPr>
            </w:pPr>
            <w:r>
              <w:rPr>
                <w:sz w:val="27"/>
              </w:rPr>
              <w:t>MFX (M)/MOXI</w:t>
            </w:r>
          </w:p>
        </w:tc>
        <w:tc>
          <w:tcPr>
            <w:tcW w:w="6634" w:type="dxa"/>
          </w:tcPr>
          <w:p>
            <w:pPr>
              <w:pStyle w:val="TableParagraph"/>
              <w:spacing w:before="32"/>
              <w:ind w:left="106"/>
              <w:rPr>
                <w:sz w:val="27"/>
              </w:rPr>
            </w:pPr>
            <w:r>
              <w:rPr>
                <w:sz w:val="27"/>
              </w:rPr>
              <w:t>Moxifloxacin</w:t>
            </w:r>
          </w:p>
        </w:tc>
      </w:tr>
      <w:tr>
        <w:trPr>
          <w:trHeight w:val="585" w:hRule="atLeast"/>
        </w:trPr>
        <w:tc>
          <w:tcPr>
            <w:tcW w:w="2836" w:type="dxa"/>
          </w:tcPr>
          <w:p>
            <w:pPr>
              <w:pStyle w:val="TableParagraph"/>
              <w:spacing w:before="32"/>
              <w:ind w:left="75"/>
              <w:rPr>
                <w:sz w:val="27"/>
              </w:rPr>
            </w:pPr>
            <w:r>
              <w:rPr>
                <w:sz w:val="27"/>
              </w:rPr>
              <w:t>MPM</w:t>
            </w:r>
          </w:p>
        </w:tc>
        <w:tc>
          <w:tcPr>
            <w:tcW w:w="6634" w:type="dxa"/>
          </w:tcPr>
          <w:p>
            <w:pPr>
              <w:pStyle w:val="TableParagraph"/>
              <w:spacing w:before="32"/>
              <w:ind w:left="106"/>
              <w:rPr>
                <w:sz w:val="27"/>
              </w:rPr>
            </w:pPr>
            <w:r>
              <w:rPr>
                <w:sz w:val="27"/>
              </w:rPr>
              <w:t>Meropenem</w:t>
            </w:r>
          </w:p>
        </w:tc>
      </w:tr>
      <w:tr>
        <w:trPr>
          <w:trHeight w:val="585" w:hRule="atLeast"/>
        </w:trPr>
        <w:tc>
          <w:tcPr>
            <w:tcW w:w="2836" w:type="dxa"/>
          </w:tcPr>
          <w:p>
            <w:pPr>
              <w:pStyle w:val="TableParagraph"/>
              <w:spacing w:before="32"/>
              <w:ind w:left="75"/>
              <w:rPr>
                <w:sz w:val="27"/>
              </w:rPr>
            </w:pPr>
            <w:r>
              <w:rPr>
                <w:sz w:val="27"/>
              </w:rPr>
              <w:t>OFX</w:t>
            </w:r>
          </w:p>
        </w:tc>
        <w:tc>
          <w:tcPr>
            <w:tcW w:w="6634" w:type="dxa"/>
          </w:tcPr>
          <w:p>
            <w:pPr>
              <w:pStyle w:val="TableParagraph"/>
              <w:spacing w:before="32"/>
              <w:ind w:left="106"/>
              <w:rPr>
                <w:sz w:val="27"/>
              </w:rPr>
            </w:pPr>
            <w:r>
              <w:rPr>
                <w:sz w:val="27"/>
              </w:rPr>
              <w:t>Ofloxacin</w:t>
            </w:r>
          </w:p>
        </w:tc>
      </w:tr>
      <w:tr>
        <w:trPr>
          <w:trHeight w:val="585" w:hRule="atLeast"/>
        </w:trPr>
        <w:tc>
          <w:tcPr>
            <w:tcW w:w="2836" w:type="dxa"/>
          </w:tcPr>
          <w:p>
            <w:pPr>
              <w:pStyle w:val="TableParagraph"/>
              <w:spacing w:before="32"/>
              <w:ind w:left="75"/>
              <w:rPr>
                <w:sz w:val="27"/>
              </w:rPr>
            </w:pPr>
            <w:r>
              <w:rPr>
                <w:sz w:val="27"/>
              </w:rPr>
              <w:t>PAS</w:t>
            </w:r>
          </w:p>
        </w:tc>
        <w:tc>
          <w:tcPr>
            <w:tcW w:w="6634" w:type="dxa"/>
          </w:tcPr>
          <w:p>
            <w:pPr>
              <w:pStyle w:val="TableParagraph"/>
              <w:spacing w:before="32"/>
              <w:ind w:left="106"/>
              <w:rPr>
                <w:sz w:val="27"/>
              </w:rPr>
            </w:pPr>
            <w:r>
              <w:rPr>
                <w:sz w:val="27"/>
              </w:rPr>
              <w:t>Para-aminosalicylate</w:t>
            </w:r>
          </w:p>
        </w:tc>
      </w:tr>
      <w:tr>
        <w:trPr>
          <w:trHeight w:val="584" w:hRule="atLeast"/>
        </w:trPr>
        <w:tc>
          <w:tcPr>
            <w:tcW w:w="2836" w:type="dxa"/>
          </w:tcPr>
          <w:p>
            <w:pPr>
              <w:pStyle w:val="TableParagraph"/>
              <w:spacing w:before="32"/>
              <w:ind w:left="75"/>
              <w:rPr>
                <w:sz w:val="27"/>
              </w:rPr>
            </w:pPr>
            <w:r>
              <w:rPr>
                <w:sz w:val="27"/>
              </w:rPr>
              <w:t>PTO</w:t>
            </w:r>
          </w:p>
        </w:tc>
        <w:tc>
          <w:tcPr>
            <w:tcW w:w="6634" w:type="dxa"/>
          </w:tcPr>
          <w:p>
            <w:pPr>
              <w:pStyle w:val="TableParagraph"/>
              <w:spacing w:before="32"/>
              <w:ind w:left="106"/>
              <w:rPr>
                <w:sz w:val="27"/>
              </w:rPr>
            </w:pPr>
            <w:r>
              <w:rPr>
                <w:sz w:val="27"/>
              </w:rPr>
              <w:t>Prothionamide</w:t>
            </w:r>
          </w:p>
        </w:tc>
      </w:tr>
      <w:tr>
        <w:trPr>
          <w:trHeight w:val="585" w:hRule="atLeast"/>
        </w:trPr>
        <w:tc>
          <w:tcPr>
            <w:tcW w:w="2836" w:type="dxa"/>
          </w:tcPr>
          <w:p>
            <w:pPr>
              <w:pStyle w:val="TableParagraph"/>
              <w:spacing w:before="32"/>
              <w:ind w:left="75"/>
              <w:rPr>
                <w:sz w:val="27"/>
              </w:rPr>
            </w:pPr>
            <w:r>
              <w:rPr>
                <w:sz w:val="27"/>
              </w:rPr>
              <w:t>PZA (Z)</w:t>
            </w:r>
          </w:p>
        </w:tc>
        <w:tc>
          <w:tcPr>
            <w:tcW w:w="6634" w:type="dxa"/>
          </w:tcPr>
          <w:p>
            <w:pPr>
              <w:pStyle w:val="TableParagraph"/>
              <w:spacing w:before="32"/>
              <w:ind w:left="106"/>
              <w:rPr>
                <w:sz w:val="27"/>
              </w:rPr>
            </w:pPr>
            <w:r>
              <w:rPr>
                <w:sz w:val="27"/>
              </w:rPr>
              <w:t>Pyrazinamide</w:t>
            </w:r>
          </w:p>
        </w:tc>
      </w:tr>
      <w:tr>
        <w:trPr>
          <w:trHeight w:val="585" w:hRule="atLeast"/>
        </w:trPr>
        <w:tc>
          <w:tcPr>
            <w:tcW w:w="2836" w:type="dxa"/>
          </w:tcPr>
          <w:p>
            <w:pPr>
              <w:pStyle w:val="TableParagraph"/>
              <w:spacing w:before="32"/>
              <w:ind w:left="75"/>
              <w:rPr>
                <w:sz w:val="27"/>
              </w:rPr>
            </w:pPr>
            <w:r>
              <w:rPr>
                <w:sz w:val="27"/>
              </w:rPr>
              <w:t>RFB</w:t>
            </w:r>
          </w:p>
        </w:tc>
        <w:tc>
          <w:tcPr>
            <w:tcW w:w="6634" w:type="dxa"/>
          </w:tcPr>
          <w:p>
            <w:pPr>
              <w:pStyle w:val="TableParagraph"/>
              <w:spacing w:before="32"/>
              <w:ind w:left="106"/>
              <w:rPr>
                <w:sz w:val="27"/>
              </w:rPr>
            </w:pPr>
            <w:r>
              <w:rPr>
                <w:sz w:val="27"/>
              </w:rPr>
              <w:t>Rifabutin</w:t>
            </w:r>
          </w:p>
        </w:tc>
      </w:tr>
      <w:tr>
        <w:trPr>
          <w:trHeight w:val="1307" w:hRule="atLeast"/>
        </w:trPr>
        <w:tc>
          <w:tcPr>
            <w:tcW w:w="2836" w:type="dxa"/>
          </w:tcPr>
          <w:p>
            <w:pPr>
              <w:pStyle w:val="TableParagraph"/>
              <w:spacing w:line="192" w:lineRule="auto" w:before="278"/>
              <w:ind w:left="75"/>
              <w:rPr>
                <w:sz w:val="27"/>
              </w:rPr>
            </w:pPr>
            <w:r>
              <w:rPr>
                <w:sz w:val="27"/>
              </w:rPr>
              <w:t>RFN 300/Rina/Macox Plus</w:t>
            </w:r>
          </w:p>
        </w:tc>
        <w:tc>
          <w:tcPr>
            <w:tcW w:w="6634" w:type="dxa"/>
          </w:tcPr>
          <w:p>
            <w:pPr>
              <w:pStyle w:val="TableParagraph"/>
              <w:spacing w:line="448" w:lineRule="exact" w:before="206"/>
              <w:ind w:left="106"/>
              <w:rPr>
                <w:sz w:val="27"/>
              </w:rPr>
            </w:pPr>
            <w:r>
              <w:rPr>
                <w:sz w:val="27"/>
              </w:rPr>
              <w:t>Rifinah 300/Rina/Macox Plus 300</w:t>
            </w:r>
          </w:p>
          <w:p>
            <w:pPr>
              <w:pStyle w:val="TableParagraph"/>
              <w:spacing w:line="448" w:lineRule="exact"/>
              <w:ind w:left="106"/>
              <w:rPr>
                <w:sz w:val="27"/>
              </w:rPr>
            </w:pPr>
            <w:r>
              <w:rPr>
                <w:sz w:val="27"/>
              </w:rPr>
              <w:t>每一錠中含 INH 150 mg、RMP 300 mg</w:t>
            </w:r>
          </w:p>
        </w:tc>
      </w:tr>
      <w:tr>
        <w:trPr>
          <w:trHeight w:val="954" w:hRule="atLeast"/>
        </w:trPr>
        <w:tc>
          <w:tcPr>
            <w:tcW w:w="2836" w:type="dxa"/>
          </w:tcPr>
          <w:p>
            <w:pPr>
              <w:pStyle w:val="TableParagraph"/>
              <w:spacing w:before="229"/>
              <w:ind w:left="75"/>
              <w:rPr>
                <w:sz w:val="27"/>
              </w:rPr>
            </w:pPr>
            <w:r>
              <w:rPr>
                <w:sz w:val="27"/>
              </w:rPr>
              <w:t>RFN 150</w:t>
            </w:r>
          </w:p>
        </w:tc>
        <w:tc>
          <w:tcPr>
            <w:tcW w:w="6634" w:type="dxa"/>
          </w:tcPr>
          <w:p>
            <w:pPr>
              <w:pStyle w:val="TableParagraph"/>
              <w:spacing w:line="448" w:lineRule="exact" w:before="30"/>
              <w:ind w:left="106"/>
              <w:rPr>
                <w:sz w:val="27"/>
              </w:rPr>
            </w:pPr>
            <w:r>
              <w:rPr>
                <w:sz w:val="27"/>
              </w:rPr>
              <w:t>Rifinah 150</w:t>
            </w:r>
          </w:p>
          <w:p>
            <w:pPr>
              <w:pStyle w:val="TableParagraph"/>
              <w:spacing w:line="448" w:lineRule="exact"/>
              <w:ind w:left="106"/>
              <w:rPr>
                <w:sz w:val="27"/>
              </w:rPr>
            </w:pPr>
            <w:r>
              <w:rPr>
                <w:sz w:val="27"/>
              </w:rPr>
              <w:t>每一錠中含 INH 100mg、RMP 150 mg</w:t>
            </w:r>
          </w:p>
        </w:tc>
      </w:tr>
      <w:tr>
        <w:trPr>
          <w:trHeight w:val="953" w:hRule="atLeast"/>
        </w:trPr>
        <w:tc>
          <w:tcPr>
            <w:tcW w:w="2836" w:type="dxa"/>
          </w:tcPr>
          <w:p>
            <w:pPr>
              <w:pStyle w:val="TableParagraph"/>
              <w:spacing w:before="229"/>
              <w:ind w:left="75"/>
              <w:rPr>
                <w:sz w:val="27"/>
              </w:rPr>
            </w:pPr>
            <w:r>
              <w:rPr>
                <w:sz w:val="27"/>
              </w:rPr>
              <w:t>RFT</w:t>
            </w:r>
          </w:p>
        </w:tc>
        <w:tc>
          <w:tcPr>
            <w:tcW w:w="6634" w:type="dxa"/>
          </w:tcPr>
          <w:p>
            <w:pPr>
              <w:pStyle w:val="TableParagraph"/>
              <w:spacing w:line="448" w:lineRule="exact" w:before="28"/>
              <w:ind w:left="106"/>
              <w:rPr>
                <w:sz w:val="27"/>
              </w:rPr>
            </w:pPr>
            <w:r>
              <w:rPr>
                <w:sz w:val="27"/>
              </w:rPr>
              <w:t>Rifater</w:t>
            </w:r>
          </w:p>
          <w:p>
            <w:pPr>
              <w:pStyle w:val="TableParagraph"/>
              <w:spacing w:line="448" w:lineRule="exact"/>
              <w:ind w:left="106"/>
              <w:rPr>
                <w:sz w:val="27"/>
              </w:rPr>
            </w:pPr>
            <w:r>
              <w:rPr>
                <w:spacing w:val="10"/>
                <w:sz w:val="27"/>
              </w:rPr>
              <w:t>每一錠中含 </w:t>
            </w:r>
            <w:r>
              <w:rPr>
                <w:sz w:val="27"/>
              </w:rPr>
              <w:t>INH 80 </w:t>
            </w:r>
            <w:r>
              <w:rPr>
                <w:spacing w:val="-16"/>
                <w:sz w:val="27"/>
              </w:rPr>
              <w:t>mg</w:t>
            </w:r>
            <w:r>
              <w:rPr>
                <w:spacing w:val="-61"/>
                <w:sz w:val="27"/>
              </w:rPr>
              <w:t>、</w:t>
            </w:r>
            <w:r>
              <w:rPr>
                <w:sz w:val="27"/>
              </w:rPr>
              <w:t>RMP 120 </w:t>
            </w:r>
            <w:r>
              <w:rPr>
                <w:spacing w:val="-16"/>
                <w:sz w:val="27"/>
              </w:rPr>
              <w:t>mg</w:t>
            </w:r>
            <w:r>
              <w:rPr>
                <w:spacing w:val="-61"/>
                <w:sz w:val="27"/>
              </w:rPr>
              <w:t>、</w:t>
            </w:r>
            <w:r>
              <w:rPr>
                <w:sz w:val="27"/>
              </w:rPr>
              <w:t>PZA250 mg</w:t>
            </w:r>
          </w:p>
        </w:tc>
      </w:tr>
      <w:tr>
        <w:trPr>
          <w:trHeight w:val="953" w:hRule="atLeast"/>
        </w:trPr>
        <w:tc>
          <w:tcPr>
            <w:tcW w:w="2836" w:type="dxa"/>
          </w:tcPr>
          <w:p>
            <w:pPr>
              <w:pStyle w:val="TableParagraph"/>
              <w:spacing w:before="229"/>
              <w:ind w:left="75"/>
              <w:rPr>
                <w:sz w:val="27"/>
              </w:rPr>
            </w:pPr>
            <w:r>
              <w:rPr>
                <w:sz w:val="27"/>
              </w:rPr>
              <w:t>RH</w:t>
            </w:r>
          </w:p>
        </w:tc>
        <w:tc>
          <w:tcPr>
            <w:tcW w:w="6634" w:type="dxa"/>
          </w:tcPr>
          <w:p>
            <w:pPr>
              <w:pStyle w:val="TableParagraph"/>
              <w:spacing w:line="449" w:lineRule="exact" w:before="28"/>
              <w:ind w:left="106"/>
              <w:rPr>
                <w:sz w:val="27"/>
              </w:rPr>
            </w:pPr>
            <w:r>
              <w:rPr>
                <w:sz w:val="27"/>
              </w:rPr>
              <w:t>RHZ-2</w:t>
            </w:r>
          </w:p>
          <w:p>
            <w:pPr>
              <w:pStyle w:val="TableParagraph"/>
              <w:spacing w:line="449" w:lineRule="exact"/>
              <w:ind w:left="106"/>
              <w:rPr>
                <w:sz w:val="27"/>
              </w:rPr>
            </w:pPr>
            <w:r>
              <w:rPr>
                <w:sz w:val="27"/>
              </w:rPr>
              <w:t>每一錠中含 RMP 75mg、INH 50mg</w:t>
            </w:r>
          </w:p>
        </w:tc>
      </w:tr>
      <w:tr>
        <w:trPr>
          <w:trHeight w:val="954" w:hRule="atLeast"/>
        </w:trPr>
        <w:tc>
          <w:tcPr>
            <w:tcW w:w="2836" w:type="dxa"/>
          </w:tcPr>
          <w:p>
            <w:pPr>
              <w:pStyle w:val="TableParagraph"/>
              <w:spacing w:before="229"/>
              <w:ind w:left="75"/>
              <w:rPr>
                <w:sz w:val="27"/>
              </w:rPr>
            </w:pPr>
            <w:r>
              <w:rPr>
                <w:sz w:val="27"/>
              </w:rPr>
              <w:t>RHZ</w:t>
            </w:r>
          </w:p>
        </w:tc>
        <w:tc>
          <w:tcPr>
            <w:tcW w:w="6634" w:type="dxa"/>
          </w:tcPr>
          <w:p>
            <w:pPr>
              <w:pStyle w:val="TableParagraph"/>
              <w:spacing w:line="448" w:lineRule="exact" w:before="30"/>
              <w:ind w:left="106"/>
              <w:rPr>
                <w:sz w:val="27"/>
              </w:rPr>
            </w:pPr>
            <w:r>
              <w:rPr>
                <w:sz w:val="27"/>
              </w:rPr>
              <w:t>RHZ-3</w:t>
            </w:r>
          </w:p>
          <w:p>
            <w:pPr>
              <w:pStyle w:val="TableParagraph"/>
              <w:spacing w:line="448" w:lineRule="exact"/>
              <w:ind w:left="106"/>
              <w:rPr>
                <w:sz w:val="27"/>
              </w:rPr>
            </w:pPr>
            <w:r>
              <w:rPr>
                <w:sz w:val="27"/>
              </w:rPr>
              <w:t>每一錠中含 RMP 75mg、INH 50mg、PZA 150mg</w:t>
            </w:r>
          </w:p>
        </w:tc>
      </w:tr>
      <w:tr>
        <w:trPr>
          <w:trHeight w:val="594" w:hRule="atLeast"/>
        </w:trPr>
        <w:tc>
          <w:tcPr>
            <w:tcW w:w="2836" w:type="dxa"/>
          </w:tcPr>
          <w:p>
            <w:pPr>
              <w:pStyle w:val="TableParagraph"/>
              <w:spacing w:before="49"/>
              <w:ind w:left="75"/>
              <w:rPr>
                <w:sz w:val="27"/>
              </w:rPr>
            </w:pPr>
            <w:r>
              <w:rPr>
                <w:sz w:val="27"/>
              </w:rPr>
              <w:t>RMP (R)</w:t>
            </w:r>
          </w:p>
        </w:tc>
        <w:tc>
          <w:tcPr>
            <w:tcW w:w="6634" w:type="dxa"/>
          </w:tcPr>
          <w:p>
            <w:pPr>
              <w:pStyle w:val="TableParagraph"/>
              <w:spacing w:before="49"/>
              <w:ind w:left="106"/>
              <w:rPr>
                <w:sz w:val="27"/>
              </w:rPr>
            </w:pPr>
            <w:r>
              <w:rPr>
                <w:sz w:val="27"/>
              </w:rPr>
              <w:t>Rifampicin</w:t>
            </w:r>
          </w:p>
        </w:tc>
      </w:tr>
      <w:tr>
        <w:trPr>
          <w:trHeight w:val="594" w:hRule="atLeast"/>
        </w:trPr>
        <w:tc>
          <w:tcPr>
            <w:tcW w:w="2836" w:type="dxa"/>
          </w:tcPr>
          <w:p>
            <w:pPr>
              <w:pStyle w:val="TableParagraph"/>
              <w:spacing w:before="49"/>
              <w:ind w:left="75"/>
              <w:rPr>
                <w:sz w:val="27"/>
              </w:rPr>
            </w:pPr>
            <w:r>
              <w:rPr>
                <w:sz w:val="27"/>
              </w:rPr>
              <w:t>RPT</w:t>
            </w:r>
          </w:p>
        </w:tc>
        <w:tc>
          <w:tcPr>
            <w:tcW w:w="6634" w:type="dxa"/>
          </w:tcPr>
          <w:p>
            <w:pPr>
              <w:pStyle w:val="TableParagraph"/>
              <w:spacing w:before="49"/>
              <w:ind w:left="106"/>
              <w:rPr>
                <w:sz w:val="27"/>
              </w:rPr>
            </w:pPr>
            <w:r>
              <w:rPr>
                <w:sz w:val="27"/>
              </w:rPr>
              <w:t>Rifapentine</w:t>
            </w:r>
          </w:p>
        </w:tc>
      </w:tr>
      <w:tr>
        <w:trPr>
          <w:trHeight w:val="594" w:hRule="atLeast"/>
        </w:trPr>
        <w:tc>
          <w:tcPr>
            <w:tcW w:w="2836" w:type="dxa"/>
          </w:tcPr>
          <w:p>
            <w:pPr>
              <w:pStyle w:val="TableParagraph"/>
              <w:spacing w:before="50"/>
              <w:ind w:left="75"/>
              <w:rPr>
                <w:sz w:val="27"/>
              </w:rPr>
            </w:pPr>
            <w:r>
              <w:rPr>
                <w:sz w:val="27"/>
              </w:rPr>
              <w:t>SM (S)</w:t>
            </w:r>
          </w:p>
        </w:tc>
        <w:tc>
          <w:tcPr>
            <w:tcW w:w="6634" w:type="dxa"/>
          </w:tcPr>
          <w:p>
            <w:pPr>
              <w:pStyle w:val="TableParagraph"/>
              <w:spacing w:before="50"/>
              <w:ind w:left="106"/>
              <w:rPr>
                <w:sz w:val="27"/>
              </w:rPr>
            </w:pPr>
            <w:r>
              <w:rPr>
                <w:sz w:val="27"/>
              </w:rPr>
              <w:t>Streptomycin</w:t>
            </w:r>
          </w:p>
        </w:tc>
      </w:tr>
      <w:tr>
        <w:trPr>
          <w:trHeight w:val="594" w:hRule="atLeast"/>
        </w:trPr>
        <w:tc>
          <w:tcPr>
            <w:tcW w:w="2836" w:type="dxa"/>
          </w:tcPr>
          <w:p>
            <w:pPr>
              <w:pStyle w:val="TableParagraph"/>
              <w:spacing w:before="50"/>
              <w:ind w:left="75"/>
              <w:rPr>
                <w:sz w:val="27"/>
              </w:rPr>
            </w:pPr>
            <w:r>
              <w:rPr>
                <w:sz w:val="27"/>
              </w:rPr>
              <w:t>TBN</w:t>
            </w:r>
          </w:p>
        </w:tc>
        <w:tc>
          <w:tcPr>
            <w:tcW w:w="6634" w:type="dxa"/>
          </w:tcPr>
          <w:p>
            <w:pPr>
              <w:pStyle w:val="TableParagraph"/>
              <w:spacing w:before="50"/>
              <w:ind w:left="106"/>
              <w:rPr>
                <w:sz w:val="27"/>
              </w:rPr>
            </w:pPr>
            <w:r>
              <w:rPr>
                <w:sz w:val="27"/>
              </w:rPr>
              <w:t>Prothionamide</w:t>
            </w:r>
          </w:p>
        </w:tc>
      </w:tr>
      <w:tr>
        <w:trPr>
          <w:trHeight w:val="595" w:hRule="atLeast"/>
        </w:trPr>
        <w:tc>
          <w:tcPr>
            <w:tcW w:w="2836" w:type="dxa"/>
          </w:tcPr>
          <w:p>
            <w:pPr>
              <w:pStyle w:val="TableParagraph"/>
              <w:spacing w:before="50"/>
              <w:ind w:left="75"/>
              <w:rPr>
                <w:sz w:val="27"/>
              </w:rPr>
            </w:pPr>
            <w:r>
              <w:rPr>
                <w:sz w:val="27"/>
              </w:rPr>
              <w:t>TRD</w:t>
            </w:r>
          </w:p>
        </w:tc>
        <w:tc>
          <w:tcPr>
            <w:tcW w:w="6634" w:type="dxa"/>
          </w:tcPr>
          <w:p>
            <w:pPr>
              <w:pStyle w:val="TableParagraph"/>
              <w:spacing w:before="50"/>
              <w:ind w:left="106"/>
              <w:rPr>
                <w:sz w:val="27"/>
              </w:rPr>
            </w:pPr>
            <w:r>
              <w:rPr>
                <w:sz w:val="27"/>
              </w:rPr>
              <w:t>Terizidone</w:t>
            </w:r>
          </w:p>
        </w:tc>
      </w:tr>
    </w:tbl>
    <w:p>
      <w:pPr>
        <w:spacing w:after="0"/>
        <w:rPr>
          <w:sz w:val="27"/>
        </w:rPr>
        <w:sectPr>
          <w:pgSz w:w="12250" w:h="17190"/>
          <w:pgMar w:header="0" w:footer="819" w:top="1540" w:bottom="1000" w:left="1200" w:right="0"/>
        </w:sect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9"/>
        <w:gridCol w:w="3086"/>
        <w:gridCol w:w="4081"/>
        <w:gridCol w:w="556"/>
      </w:tblGrid>
      <w:tr>
        <w:trPr>
          <w:trHeight w:val="505" w:hRule="atLeast"/>
        </w:trPr>
        <w:tc>
          <w:tcPr>
            <w:tcW w:w="4815" w:type="dxa"/>
            <w:gridSpan w:val="2"/>
          </w:tcPr>
          <w:p>
            <w:pPr>
              <w:pStyle w:val="TableParagraph"/>
              <w:spacing w:line="486" w:lineRule="exact"/>
              <w:ind w:right="378"/>
              <w:jc w:val="right"/>
              <w:rPr>
                <w:b/>
                <w:sz w:val="38"/>
              </w:rPr>
            </w:pPr>
            <w:r>
              <w:rPr>
                <w:b/>
                <w:w w:val="100"/>
                <w:sz w:val="38"/>
              </w:rPr>
              <w:t>目</w:t>
            </w:r>
          </w:p>
        </w:tc>
        <w:tc>
          <w:tcPr>
            <w:tcW w:w="4637" w:type="dxa"/>
            <w:gridSpan w:val="2"/>
          </w:tcPr>
          <w:p>
            <w:pPr>
              <w:pStyle w:val="TableParagraph"/>
              <w:spacing w:line="486" w:lineRule="exact"/>
              <w:ind w:left="379"/>
              <w:rPr>
                <w:b/>
                <w:sz w:val="38"/>
              </w:rPr>
            </w:pPr>
            <w:r>
              <w:rPr>
                <w:b/>
                <w:w w:val="100"/>
                <w:sz w:val="38"/>
              </w:rPr>
              <w:t>錄</w:t>
            </w:r>
          </w:p>
        </w:tc>
      </w:tr>
      <w:tr>
        <w:trPr>
          <w:trHeight w:val="776" w:hRule="atLeast"/>
        </w:trPr>
        <w:tc>
          <w:tcPr>
            <w:tcW w:w="1729" w:type="dxa"/>
          </w:tcPr>
          <w:p>
            <w:pPr>
              <w:pStyle w:val="TableParagraph"/>
              <w:spacing w:line="481" w:lineRule="exact" w:before="275"/>
              <w:ind w:left="51"/>
              <w:rPr>
                <w:b/>
                <w:sz w:val="28"/>
              </w:rPr>
            </w:pPr>
            <w:r>
              <w:rPr>
                <w:b/>
                <w:w w:val="99"/>
                <w:sz w:val="28"/>
              </w:rPr>
              <w:t>序</w:t>
            </w:r>
          </w:p>
        </w:tc>
        <w:tc>
          <w:tcPr>
            <w:tcW w:w="7167" w:type="dxa"/>
            <w:gridSpan w:val="2"/>
          </w:tcPr>
          <w:p>
            <w:pPr>
              <w:pStyle w:val="TableParagraph"/>
              <w:rPr>
                <w:b/>
                <w:sz w:val="21"/>
              </w:rPr>
            </w:pPr>
          </w:p>
          <w:p>
            <w:pPr>
              <w:pStyle w:val="TableParagraph"/>
              <w:ind w:left="23"/>
              <w:rPr>
                <w:rFonts w:ascii="Times New Roman"/>
                <w:b/>
                <w:sz w:val="28"/>
              </w:rPr>
            </w:pPr>
            <w:r>
              <w:rPr>
                <w:rFonts w:ascii="Times New Roman"/>
                <w:b/>
                <w:sz w:val="28"/>
              </w:rPr>
              <w:t>..................................................................................................</w:t>
            </w:r>
          </w:p>
        </w:tc>
        <w:tc>
          <w:tcPr>
            <w:tcW w:w="556" w:type="dxa"/>
          </w:tcPr>
          <w:p>
            <w:pPr>
              <w:pStyle w:val="TableParagraph"/>
              <w:spacing w:before="4"/>
              <w:rPr>
                <w:b/>
                <w:sz w:val="23"/>
              </w:rPr>
            </w:pPr>
          </w:p>
          <w:p>
            <w:pPr>
              <w:pStyle w:val="TableParagraph"/>
              <w:ind w:right="50"/>
              <w:jc w:val="right"/>
              <w:rPr>
                <w:rFonts w:ascii="新細明體" w:hAnsi="新細明體"/>
                <w:b/>
                <w:sz w:val="22"/>
              </w:rPr>
            </w:pPr>
            <w:r>
              <w:rPr>
                <w:rFonts w:ascii="新細明體" w:hAnsi="新細明體"/>
                <w:b/>
                <w:w w:val="99"/>
                <w:sz w:val="22"/>
              </w:rPr>
              <w:t>Ⅰ</w:t>
            </w:r>
          </w:p>
        </w:tc>
      </w:tr>
      <w:tr>
        <w:trPr>
          <w:trHeight w:val="480" w:hRule="atLeast"/>
        </w:trPr>
        <w:tc>
          <w:tcPr>
            <w:tcW w:w="1729" w:type="dxa"/>
          </w:tcPr>
          <w:p>
            <w:pPr>
              <w:pStyle w:val="TableParagraph"/>
              <w:spacing w:line="460" w:lineRule="exact"/>
              <w:ind w:left="51"/>
              <w:rPr>
                <w:b/>
                <w:sz w:val="28"/>
              </w:rPr>
            </w:pPr>
            <w:r>
              <w:rPr>
                <w:b/>
                <w:sz w:val="28"/>
              </w:rPr>
              <w:t>編後語</w:t>
            </w:r>
          </w:p>
        </w:tc>
        <w:tc>
          <w:tcPr>
            <w:tcW w:w="7167" w:type="dxa"/>
            <w:gridSpan w:val="2"/>
          </w:tcPr>
          <w:p>
            <w:pPr>
              <w:pStyle w:val="TableParagraph"/>
              <w:spacing w:before="90"/>
              <w:ind w:left="23"/>
              <w:rPr>
                <w:rFonts w:ascii="Times New Roman"/>
                <w:b/>
                <w:sz w:val="28"/>
              </w:rPr>
            </w:pPr>
            <w:r>
              <w:rPr>
                <w:rFonts w:ascii="Times New Roman"/>
                <w:b/>
                <w:sz w:val="28"/>
              </w:rPr>
              <w:t>..................................................................................................</w:t>
            </w:r>
          </w:p>
        </w:tc>
        <w:tc>
          <w:tcPr>
            <w:tcW w:w="556" w:type="dxa"/>
          </w:tcPr>
          <w:p>
            <w:pPr>
              <w:pStyle w:val="TableParagraph"/>
              <w:spacing w:before="131"/>
              <w:ind w:right="49"/>
              <w:jc w:val="right"/>
              <w:rPr>
                <w:rFonts w:ascii="新細明體" w:hAnsi="新細明體"/>
                <w:b/>
                <w:sz w:val="22"/>
              </w:rPr>
            </w:pPr>
            <w:r>
              <w:rPr>
                <w:rFonts w:ascii="新細明體" w:hAnsi="新細明體"/>
                <w:b/>
                <w:w w:val="99"/>
                <w:sz w:val="22"/>
              </w:rPr>
              <w:t>Ⅱ</w:t>
            </w:r>
          </w:p>
        </w:tc>
      </w:tr>
      <w:tr>
        <w:trPr>
          <w:trHeight w:val="2400" w:hRule="atLeast"/>
        </w:trPr>
        <w:tc>
          <w:tcPr>
            <w:tcW w:w="1729" w:type="dxa"/>
          </w:tcPr>
          <w:p>
            <w:pPr>
              <w:pStyle w:val="TableParagraph"/>
              <w:spacing w:line="223" w:lineRule="auto" w:before="5"/>
              <w:ind w:left="51" w:right="-15" w:hanging="1"/>
              <w:rPr>
                <w:b/>
                <w:sz w:val="28"/>
              </w:rPr>
            </w:pPr>
            <w:r>
              <w:rPr>
                <w:b/>
                <w:sz w:val="28"/>
              </w:rPr>
              <w:t>英文簡寫與 中英文對照表抗結核藥品名稱縮寫對照表</w:t>
            </w:r>
          </w:p>
          <w:p>
            <w:pPr>
              <w:pStyle w:val="TableParagraph"/>
              <w:spacing w:line="459" w:lineRule="exact"/>
              <w:ind w:left="51"/>
              <w:rPr>
                <w:b/>
                <w:sz w:val="28"/>
              </w:rPr>
            </w:pPr>
            <w:r>
              <w:rPr>
                <w:b/>
                <w:sz w:val="28"/>
              </w:rPr>
              <w:t>目錄</w:t>
            </w:r>
          </w:p>
        </w:tc>
        <w:tc>
          <w:tcPr>
            <w:tcW w:w="7167" w:type="dxa"/>
            <w:gridSpan w:val="2"/>
          </w:tcPr>
          <w:p>
            <w:pPr>
              <w:pStyle w:val="TableParagraph"/>
              <w:spacing w:before="90"/>
              <w:ind w:left="23"/>
              <w:rPr>
                <w:rFonts w:ascii="Times New Roman"/>
                <w:b/>
                <w:sz w:val="28"/>
              </w:rPr>
            </w:pPr>
            <w:r>
              <w:rPr>
                <w:rFonts w:ascii="Times New Roman"/>
                <w:b/>
                <w:sz w:val="28"/>
              </w:rPr>
              <w:t>..................................................................................................</w:t>
            </w:r>
          </w:p>
          <w:p>
            <w:pPr>
              <w:pStyle w:val="TableParagraph"/>
              <w:spacing w:before="13"/>
              <w:rPr>
                <w:b/>
                <w:sz w:val="34"/>
              </w:rPr>
            </w:pPr>
          </w:p>
          <w:p>
            <w:pPr>
              <w:pStyle w:val="TableParagraph"/>
              <w:ind w:left="23"/>
              <w:rPr>
                <w:rFonts w:ascii="Times New Roman"/>
                <w:b/>
                <w:sz w:val="28"/>
              </w:rPr>
            </w:pPr>
            <w:r>
              <w:rPr>
                <w:rFonts w:ascii="Times New Roman"/>
                <w:b/>
                <w:sz w:val="28"/>
              </w:rPr>
              <w:t>..................................................................................................</w:t>
            </w:r>
          </w:p>
          <w:p>
            <w:pPr>
              <w:pStyle w:val="TableParagraph"/>
              <w:spacing w:before="13"/>
              <w:rPr>
                <w:b/>
                <w:sz w:val="34"/>
              </w:rPr>
            </w:pPr>
          </w:p>
          <w:p>
            <w:pPr>
              <w:pStyle w:val="TableParagraph"/>
              <w:ind w:left="23"/>
              <w:rPr>
                <w:rFonts w:ascii="Times New Roman"/>
                <w:b/>
                <w:sz w:val="28"/>
              </w:rPr>
            </w:pPr>
            <w:r>
              <w:rPr>
                <w:rFonts w:ascii="Times New Roman"/>
                <w:b/>
                <w:sz w:val="28"/>
              </w:rPr>
              <w:t>..................................................................................................</w:t>
            </w:r>
          </w:p>
        </w:tc>
        <w:tc>
          <w:tcPr>
            <w:tcW w:w="556" w:type="dxa"/>
          </w:tcPr>
          <w:p>
            <w:pPr>
              <w:pStyle w:val="TableParagraph"/>
              <w:spacing w:line="568" w:lineRule="auto" w:before="59"/>
              <w:ind w:left="284" w:right="32"/>
              <w:rPr>
                <w:b/>
                <w:sz w:val="22"/>
              </w:rPr>
            </w:pPr>
            <w:r>
              <w:rPr>
                <w:b/>
                <w:sz w:val="22"/>
              </w:rPr>
              <w:t>ⅰ ⅴ</w:t>
            </w:r>
          </w:p>
          <w:p>
            <w:pPr>
              <w:pStyle w:val="TableParagraph"/>
              <w:spacing w:before="75"/>
              <w:ind w:left="283"/>
              <w:rPr>
                <w:rFonts w:ascii="新細明體" w:hAnsi="新細明體"/>
                <w:b/>
                <w:sz w:val="22"/>
              </w:rPr>
            </w:pPr>
            <w:r>
              <w:rPr>
                <w:rFonts w:ascii="新細明體" w:hAnsi="新細明體"/>
                <w:b/>
                <w:w w:val="99"/>
                <w:sz w:val="22"/>
              </w:rPr>
              <w:t>ⅶ</w:t>
            </w:r>
          </w:p>
        </w:tc>
      </w:tr>
      <w:tr>
        <w:trPr>
          <w:trHeight w:val="479" w:hRule="atLeast"/>
        </w:trPr>
        <w:tc>
          <w:tcPr>
            <w:tcW w:w="1729" w:type="dxa"/>
          </w:tcPr>
          <w:p>
            <w:pPr>
              <w:pStyle w:val="TableParagraph"/>
              <w:spacing w:line="460" w:lineRule="exact"/>
              <w:ind w:left="51"/>
              <w:rPr>
                <w:b/>
                <w:sz w:val="28"/>
              </w:rPr>
            </w:pPr>
            <w:r>
              <w:rPr>
                <w:b/>
                <w:sz w:val="28"/>
              </w:rPr>
              <w:t>表目錄</w:t>
            </w:r>
          </w:p>
        </w:tc>
        <w:tc>
          <w:tcPr>
            <w:tcW w:w="7167" w:type="dxa"/>
            <w:gridSpan w:val="2"/>
          </w:tcPr>
          <w:p>
            <w:pPr>
              <w:pStyle w:val="TableParagraph"/>
              <w:spacing w:before="90"/>
              <w:ind w:left="23"/>
              <w:rPr>
                <w:rFonts w:ascii="Times New Roman"/>
                <w:b/>
                <w:sz w:val="28"/>
              </w:rPr>
            </w:pPr>
            <w:r>
              <w:rPr>
                <w:rFonts w:ascii="Times New Roman"/>
                <w:b/>
                <w:sz w:val="28"/>
              </w:rPr>
              <w:t>..................................................................................................</w:t>
            </w:r>
          </w:p>
        </w:tc>
        <w:tc>
          <w:tcPr>
            <w:tcW w:w="556" w:type="dxa"/>
          </w:tcPr>
          <w:p>
            <w:pPr>
              <w:pStyle w:val="TableParagraph"/>
              <w:spacing w:before="131"/>
              <w:ind w:right="49"/>
              <w:jc w:val="right"/>
              <w:rPr>
                <w:rFonts w:ascii="新細明體" w:hAnsi="新細明體"/>
                <w:b/>
                <w:sz w:val="22"/>
              </w:rPr>
            </w:pPr>
            <w:r>
              <w:rPr>
                <w:rFonts w:ascii="新細明體" w:hAnsi="新細明體"/>
                <w:b/>
                <w:w w:val="99"/>
                <w:sz w:val="22"/>
              </w:rPr>
              <w:t>ⅷ</w:t>
            </w:r>
          </w:p>
        </w:tc>
      </w:tr>
      <w:tr>
        <w:trPr>
          <w:trHeight w:val="829" w:hRule="atLeast"/>
        </w:trPr>
        <w:tc>
          <w:tcPr>
            <w:tcW w:w="1729" w:type="dxa"/>
          </w:tcPr>
          <w:p>
            <w:pPr>
              <w:pStyle w:val="TableParagraph"/>
              <w:spacing w:line="494" w:lineRule="exact"/>
              <w:ind w:left="51"/>
              <w:rPr>
                <w:b/>
                <w:sz w:val="28"/>
              </w:rPr>
            </w:pPr>
            <w:r>
              <w:rPr>
                <w:b/>
                <w:sz w:val="28"/>
              </w:rPr>
              <w:t>圖目錄</w:t>
            </w:r>
          </w:p>
        </w:tc>
        <w:tc>
          <w:tcPr>
            <w:tcW w:w="7167" w:type="dxa"/>
            <w:gridSpan w:val="2"/>
          </w:tcPr>
          <w:p>
            <w:pPr>
              <w:pStyle w:val="TableParagraph"/>
              <w:spacing w:before="90"/>
              <w:ind w:left="23"/>
              <w:rPr>
                <w:rFonts w:ascii="Times New Roman"/>
                <w:b/>
                <w:sz w:val="28"/>
              </w:rPr>
            </w:pPr>
            <w:r>
              <w:rPr>
                <w:rFonts w:ascii="Times New Roman"/>
                <w:b/>
                <w:sz w:val="28"/>
              </w:rPr>
              <w:t>..................................................................................................</w:t>
            </w:r>
          </w:p>
        </w:tc>
        <w:tc>
          <w:tcPr>
            <w:tcW w:w="556" w:type="dxa"/>
          </w:tcPr>
          <w:p>
            <w:pPr>
              <w:pStyle w:val="TableParagraph"/>
              <w:spacing w:before="131"/>
              <w:ind w:right="49"/>
              <w:jc w:val="right"/>
              <w:rPr>
                <w:rFonts w:ascii="新細明體" w:hAnsi="新細明體"/>
                <w:b/>
                <w:sz w:val="22"/>
              </w:rPr>
            </w:pPr>
            <w:r>
              <w:rPr>
                <w:rFonts w:ascii="新細明體" w:hAnsi="新細明體"/>
                <w:b/>
                <w:w w:val="99"/>
                <w:sz w:val="22"/>
              </w:rPr>
              <w:t>ⅸ</w:t>
            </w:r>
          </w:p>
        </w:tc>
      </w:tr>
      <w:tr>
        <w:trPr>
          <w:trHeight w:val="859" w:hRule="atLeast"/>
        </w:trPr>
        <w:tc>
          <w:tcPr>
            <w:tcW w:w="1729" w:type="dxa"/>
          </w:tcPr>
          <w:p>
            <w:pPr>
              <w:pStyle w:val="TableParagraph"/>
              <w:spacing w:before="16"/>
              <w:rPr>
                <w:b/>
                <w:sz w:val="17"/>
              </w:rPr>
            </w:pPr>
          </w:p>
          <w:p>
            <w:pPr>
              <w:pStyle w:val="TableParagraph"/>
              <w:spacing w:line="511" w:lineRule="exact"/>
              <w:ind w:left="51"/>
              <w:rPr>
                <w:b/>
                <w:sz w:val="28"/>
              </w:rPr>
            </w:pPr>
            <w:r>
              <w:rPr>
                <w:b/>
                <w:sz w:val="28"/>
              </w:rPr>
              <w:t>第一章</w:t>
            </w:r>
          </w:p>
        </w:tc>
        <w:tc>
          <w:tcPr>
            <w:tcW w:w="7167" w:type="dxa"/>
            <w:gridSpan w:val="2"/>
          </w:tcPr>
          <w:p>
            <w:pPr>
              <w:pStyle w:val="TableParagraph"/>
              <w:spacing w:before="16"/>
              <w:rPr>
                <w:b/>
                <w:sz w:val="17"/>
              </w:rPr>
            </w:pPr>
          </w:p>
          <w:p>
            <w:pPr>
              <w:pStyle w:val="TableParagraph"/>
              <w:spacing w:line="511" w:lineRule="exact"/>
              <w:rPr>
                <w:b/>
                <w:sz w:val="28"/>
              </w:rPr>
            </w:pPr>
            <w:r>
              <w:rPr>
                <w:b/>
                <w:sz w:val="28"/>
              </w:rPr>
              <w:t>結核病的基礎知識................................................................</w:t>
            </w:r>
          </w:p>
        </w:tc>
        <w:tc>
          <w:tcPr>
            <w:tcW w:w="556" w:type="dxa"/>
          </w:tcPr>
          <w:p>
            <w:pPr>
              <w:pStyle w:val="TableParagraph"/>
              <w:spacing w:before="17"/>
              <w:rPr>
                <w:b/>
                <w:sz w:val="23"/>
              </w:rPr>
            </w:pPr>
          </w:p>
          <w:p>
            <w:pPr>
              <w:pStyle w:val="TableParagraph"/>
              <w:ind w:right="50"/>
              <w:jc w:val="right"/>
              <w:rPr>
                <w:rFonts w:ascii="Times New Roman"/>
                <w:b/>
                <w:sz w:val="28"/>
              </w:rPr>
            </w:pPr>
            <w:r>
              <w:rPr>
                <w:rFonts w:ascii="Times New Roman"/>
                <w:b/>
                <w:w w:val="99"/>
                <w:sz w:val="28"/>
              </w:rPr>
              <w:t>1</w:t>
            </w:r>
          </w:p>
        </w:tc>
      </w:tr>
      <w:tr>
        <w:trPr>
          <w:trHeight w:val="539" w:hRule="atLeast"/>
        </w:trPr>
        <w:tc>
          <w:tcPr>
            <w:tcW w:w="1729" w:type="dxa"/>
          </w:tcPr>
          <w:p>
            <w:pPr>
              <w:pStyle w:val="TableParagraph"/>
              <w:spacing w:line="511" w:lineRule="exact" w:before="9"/>
              <w:ind w:left="50"/>
              <w:rPr>
                <w:b/>
                <w:sz w:val="28"/>
              </w:rPr>
            </w:pPr>
            <w:r>
              <w:rPr>
                <w:b/>
                <w:sz w:val="28"/>
              </w:rPr>
              <w:t>第二章</w:t>
            </w:r>
          </w:p>
        </w:tc>
        <w:tc>
          <w:tcPr>
            <w:tcW w:w="7167" w:type="dxa"/>
            <w:gridSpan w:val="2"/>
          </w:tcPr>
          <w:p>
            <w:pPr>
              <w:pStyle w:val="TableParagraph"/>
              <w:spacing w:line="511" w:lineRule="exact" w:before="9"/>
              <w:rPr>
                <w:b/>
                <w:sz w:val="28"/>
              </w:rPr>
            </w:pPr>
            <w:r>
              <w:rPr>
                <w:b/>
                <w:sz w:val="28"/>
              </w:rPr>
              <w:t>結核病的分類與定義............................................................</w:t>
            </w:r>
          </w:p>
        </w:tc>
        <w:tc>
          <w:tcPr>
            <w:tcW w:w="556" w:type="dxa"/>
          </w:tcPr>
          <w:p>
            <w:pPr>
              <w:pStyle w:val="TableParagraph"/>
              <w:spacing w:before="120"/>
              <w:ind w:right="50"/>
              <w:jc w:val="right"/>
              <w:rPr>
                <w:rFonts w:ascii="Times New Roman"/>
                <w:b/>
                <w:sz w:val="28"/>
              </w:rPr>
            </w:pPr>
            <w:r>
              <w:rPr>
                <w:rFonts w:ascii="Times New Roman"/>
                <w:b/>
                <w:w w:val="99"/>
                <w:sz w:val="28"/>
              </w:rPr>
              <w:t>7</w:t>
            </w:r>
          </w:p>
        </w:tc>
      </w:tr>
      <w:tr>
        <w:trPr>
          <w:trHeight w:val="539" w:hRule="atLeast"/>
        </w:trPr>
        <w:tc>
          <w:tcPr>
            <w:tcW w:w="1729" w:type="dxa"/>
          </w:tcPr>
          <w:p>
            <w:pPr>
              <w:pStyle w:val="TableParagraph"/>
              <w:spacing w:line="511" w:lineRule="exact" w:before="9"/>
              <w:ind w:left="50"/>
              <w:rPr>
                <w:b/>
                <w:sz w:val="28"/>
              </w:rPr>
            </w:pPr>
            <w:r>
              <w:rPr>
                <w:b/>
                <w:sz w:val="28"/>
              </w:rPr>
              <w:t>第三章</w:t>
            </w:r>
          </w:p>
        </w:tc>
        <w:tc>
          <w:tcPr>
            <w:tcW w:w="7167" w:type="dxa"/>
            <w:gridSpan w:val="2"/>
          </w:tcPr>
          <w:p>
            <w:pPr>
              <w:pStyle w:val="TableParagraph"/>
              <w:spacing w:line="511" w:lineRule="exact" w:before="9"/>
              <w:rPr>
                <w:b/>
                <w:sz w:val="28"/>
              </w:rPr>
            </w:pPr>
            <w:r>
              <w:rPr>
                <w:b/>
                <w:sz w:val="28"/>
              </w:rPr>
              <w:t>結核病的診斷..........................................................................</w:t>
            </w:r>
          </w:p>
        </w:tc>
        <w:tc>
          <w:tcPr>
            <w:tcW w:w="556" w:type="dxa"/>
          </w:tcPr>
          <w:p>
            <w:pPr>
              <w:pStyle w:val="TableParagraph"/>
              <w:spacing w:before="120"/>
              <w:ind w:right="49"/>
              <w:jc w:val="right"/>
              <w:rPr>
                <w:rFonts w:ascii="Times New Roman"/>
                <w:b/>
                <w:sz w:val="28"/>
              </w:rPr>
            </w:pPr>
            <w:r>
              <w:rPr>
                <w:rFonts w:ascii="Times New Roman"/>
                <w:b/>
                <w:w w:val="95"/>
                <w:sz w:val="28"/>
              </w:rPr>
              <w:t>13</w:t>
            </w:r>
          </w:p>
        </w:tc>
      </w:tr>
      <w:tr>
        <w:trPr>
          <w:trHeight w:val="539" w:hRule="atLeast"/>
        </w:trPr>
        <w:tc>
          <w:tcPr>
            <w:tcW w:w="1729" w:type="dxa"/>
          </w:tcPr>
          <w:p>
            <w:pPr>
              <w:pStyle w:val="TableParagraph"/>
              <w:spacing w:line="511" w:lineRule="exact" w:before="9"/>
              <w:ind w:left="50"/>
              <w:rPr>
                <w:b/>
                <w:sz w:val="28"/>
              </w:rPr>
            </w:pPr>
            <w:r>
              <w:rPr>
                <w:b/>
                <w:sz w:val="28"/>
              </w:rPr>
              <w:t>第四章</w:t>
            </w:r>
          </w:p>
        </w:tc>
        <w:tc>
          <w:tcPr>
            <w:tcW w:w="7167" w:type="dxa"/>
            <w:gridSpan w:val="2"/>
          </w:tcPr>
          <w:p>
            <w:pPr>
              <w:pStyle w:val="TableParagraph"/>
              <w:spacing w:line="511" w:lineRule="exact" w:before="9"/>
              <w:rPr>
                <w:b/>
                <w:sz w:val="28"/>
              </w:rPr>
            </w:pPr>
            <w:r>
              <w:rPr>
                <w:b/>
                <w:sz w:val="28"/>
              </w:rPr>
              <w:t>結核病的治療..........................................................................</w:t>
            </w:r>
          </w:p>
        </w:tc>
        <w:tc>
          <w:tcPr>
            <w:tcW w:w="556" w:type="dxa"/>
          </w:tcPr>
          <w:p>
            <w:pPr>
              <w:pStyle w:val="TableParagraph"/>
              <w:spacing w:before="120"/>
              <w:ind w:right="49"/>
              <w:jc w:val="right"/>
              <w:rPr>
                <w:rFonts w:ascii="Times New Roman"/>
                <w:b/>
                <w:sz w:val="28"/>
              </w:rPr>
            </w:pPr>
            <w:r>
              <w:rPr>
                <w:rFonts w:ascii="Times New Roman"/>
                <w:b/>
                <w:w w:val="95"/>
                <w:sz w:val="28"/>
              </w:rPr>
              <w:t>27</w:t>
            </w:r>
          </w:p>
        </w:tc>
      </w:tr>
      <w:tr>
        <w:trPr>
          <w:trHeight w:val="539" w:hRule="atLeast"/>
        </w:trPr>
        <w:tc>
          <w:tcPr>
            <w:tcW w:w="1729" w:type="dxa"/>
          </w:tcPr>
          <w:p>
            <w:pPr>
              <w:pStyle w:val="TableParagraph"/>
              <w:spacing w:line="511" w:lineRule="exact" w:before="9"/>
              <w:ind w:left="50"/>
              <w:rPr>
                <w:b/>
                <w:sz w:val="28"/>
              </w:rPr>
            </w:pPr>
            <w:r>
              <w:rPr>
                <w:b/>
                <w:sz w:val="28"/>
              </w:rPr>
              <w:t>第五章</w:t>
            </w:r>
          </w:p>
        </w:tc>
        <w:tc>
          <w:tcPr>
            <w:tcW w:w="7167" w:type="dxa"/>
            <w:gridSpan w:val="2"/>
          </w:tcPr>
          <w:p>
            <w:pPr>
              <w:pStyle w:val="TableParagraph"/>
              <w:spacing w:line="511" w:lineRule="exact" w:before="9"/>
              <w:rPr>
                <w:b/>
                <w:sz w:val="28"/>
              </w:rPr>
            </w:pPr>
            <w:r>
              <w:rPr>
                <w:b/>
                <w:sz w:val="28"/>
              </w:rPr>
              <w:t>治療期間之監測與不良反應之處理及處方調整 ..................</w:t>
            </w:r>
          </w:p>
        </w:tc>
        <w:tc>
          <w:tcPr>
            <w:tcW w:w="556" w:type="dxa"/>
          </w:tcPr>
          <w:p>
            <w:pPr>
              <w:pStyle w:val="TableParagraph"/>
              <w:spacing w:before="120"/>
              <w:ind w:right="49"/>
              <w:jc w:val="right"/>
              <w:rPr>
                <w:rFonts w:ascii="Times New Roman"/>
                <w:b/>
                <w:sz w:val="28"/>
              </w:rPr>
            </w:pPr>
            <w:r>
              <w:rPr>
                <w:rFonts w:ascii="Times New Roman"/>
                <w:b/>
                <w:w w:val="95"/>
                <w:sz w:val="28"/>
              </w:rPr>
              <w:t>34</w:t>
            </w:r>
          </w:p>
        </w:tc>
      </w:tr>
      <w:tr>
        <w:trPr>
          <w:trHeight w:val="539" w:hRule="atLeast"/>
        </w:trPr>
        <w:tc>
          <w:tcPr>
            <w:tcW w:w="1729" w:type="dxa"/>
          </w:tcPr>
          <w:p>
            <w:pPr>
              <w:pStyle w:val="TableParagraph"/>
              <w:spacing w:line="511" w:lineRule="exact" w:before="9"/>
              <w:ind w:left="50"/>
              <w:rPr>
                <w:b/>
                <w:sz w:val="28"/>
              </w:rPr>
            </w:pPr>
            <w:r>
              <w:rPr>
                <w:b/>
                <w:sz w:val="28"/>
              </w:rPr>
              <w:t>第六章</w:t>
            </w:r>
          </w:p>
        </w:tc>
        <w:tc>
          <w:tcPr>
            <w:tcW w:w="7167" w:type="dxa"/>
            <w:gridSpan w:val="2"/>
          </w:tcPr>
          <w:p>
            <w:pPr>
              <w:pStyle w:val="TableParagraph"/>
              <w:spacing w:line="511" w:lineRule="exact" w:before="9"/>
              <w:rPr>
                <w:b/>
                <w:sz w:val="28"/>
              </w:rPr>
            </w:pPr>
            <w:r>
              <w:rPr>
                <w:b/>
                <w:sz w:val="28"/>
              </w:rPr>
              <w:t>結核病的藥物及藥物交互作用(含公費藥物申請)................</w:t>
            </w:r>
          </w:p>
        </w:tc>
        <w:tc>
          <w:tcPr>
            <w:tcW w:w="556" w:type="dxa"/>
          </w:tcPr>
          <w:p>
            <w:pPr>
              <w:pStyle w:val="TableParagraph"/>
              <w:spacing w:before="120"/>
              <w:ind w:right="49"/>
              <w:jc w:val="right"/>
              <w:rPr>
                <w:rFonts w:ascii="Times New Roman"/>
                <w:b/>
                <w:sz w:val="28"/>
              </w:rPr>
            </w:pPr>
            <w:r>
              <w:rPr>
                <w:rFonts w:ascii="Times New Roman"/>
                <w:b/>
                <w:w w:val="95"/>
                <w:sz w:val="28"/>
              </w:rPr>
              <w:t>49</w:t>
            </w:r>
          </w:p>
        </w:tc>
      </w:tr>
      <w:tr>
        <w:trPr>
          <w:trHeight w:val="539" w:hRule="atLeast"/>
        </w:trPr>
        <w:tc>
          <w:tcPr>
            <w:tcW w:w="1729" w:type="dxa"/>
          </w:tcPr>
          <w:p>
            <w:pPr>
              <w:pStyle w:val="TableParagraph"/>
              <w:spacing w:line="511" w:lineRule="exact" w:before="9"/>
              <w:ind w:left="50"/>
              <w:rPr>
                <w:b/>
                <w:sz w:val="28"/>
              </w:rPr>
            </w:pPr>
            <w:r>
              <w:rPr>
                <w:b/>
                <w:sz w:val="28"/>
              </w:rPr>
              <w:t>第七章</w:t>
            </w:r>
          </w:p>
        </w:tc>
        <w:tc>
          <w:tcPr>
            <w:tcW w:w="7167" w:type="dxa"/>
            <w:gridSpan w:val="2"/>
          </w:tcPr>
          <w:p>
            <w:pPr>
              <w:pStyle w:val="TableParagraph"/>
              <w:spacing w:line="511" w:lineRule="exact" w:before="9"/>
              <w:rPr>
                <w:b/>
                <w:sz w:val="28"/>
              </w:rPr>
            </w:pPr>
            <w:r>
              <w:rPr>
                <w:b/>
                <w:sz w:val="28"/>
              </w:rPr>
              <w:t>肺外結核..................................................................................</w:t>
            </w:r>
          </w:p>
        </w:tc>
        <w:tc>
          <w:tcPr>
            <w:tcW w:w="556" w:type="dxa"/>
          </w:tcPr>
          <w:p>
            <w:pPr>
              <w:pStyle w:val="TableParagraph"/>
              <w:spacing w:before="120"/>
              <w:ind w:right="49"/>
              <w:jc w:val="right"/>
              <w:rPr>
                <w:rFonts w:ascii="Times New Roman"/>
                <w:b/>
                <w:sz w:val="28"/>
              </w:rPr>
            </w:pPr>
            <w:r>
              <w:rPr>
                <w:rFonts w:ascii="Times New Roman"/>
                <w:b/>
                <w:w w:val="95"/>
                <w:sz w:val="28"/>
              </w:rPr>
              <w:t>91</w:t>
            </w:r>
          </w:p>
        </w:tc>
      </w:tr>
      <w:tr>
        <w:trPr>
          <w:trHeight w:val="539" w:hRule="atLeast"/>
        </w:trPr>
        <w:tc>
          <w:tcPr>
            <w:tcW w:w="1729" w:type="dxa"/>
          </w:tcPr>
          <w:p>
            <w:pPr>
              <w:pStyle w:val="TableParagraph"/>
              <w:spacing w:line="511" w:lineRule="exact" w:before="9"/>
              <w:ind w:left="50"/>
              <w:rPr>
                <w:b/>
                <w:sz w:val="28"/>
              </w:rPr>
            </w:pPr>
            <w:r>
              <w:rPr>
                <w:b/>
                <w:sz w:val="28"/>
              </w:rPr>
              <w:t>第八章</w:t>
            </w:r>
          </w:p>
        </w:tc>
        <w:tc>
          <w:tcPr>
            <w:tcW w:w="7167" w:type="dxa"/>
            <w:gridSpan w:val="2"/>
          </w:tcPr>
          <w:p>
            <w:pPr>
              <w:pStyle w:val="TableParagraph"/>
              <w:spacing w:line="511" w:lineRule="exact" w:before="9"/>
              <w:rPr>
                <w:b/>
                <w:sz w:val="28"/>
              </w:rPr>
            </w:pPr>
            <w:r>
              <w:rPr>
                <w:b/>
                <w:sz w:val="28"/>
              </w:rPr>
              <w:t>兒童結核病之診療..................................................................</w:t>
            </w:r>
          </w:p>
        </w:tc>
        <w:tc>
          <w:tcPr>
            <w:tcW w:w="556" w:type="dxa"/>
          </w:tcPr>
          <w:p>
            <w:pPr>
              <w:pStyle w:val="TableParagraph"/>
              <w:spacing w:before="120"/>
              <w:ind w:right="49"/>
              <w:jc w:val="right"/>
              <w:rPr>
                <w:rFonts w:ascii="Times New Roman"/>
                <w:b/>
                <w:sz w:val="28"/>
              </w:rPr>
            </w:pPr>
            <w:r>
              <w:rPr>
                <w:rFonts w:ascii="Times New Roman"/>
                <w:b/>
                <w:w w:val="95"/>
                <w:sz w:val="28"/>
              </w:rPr>
              <w:t>99</w:t>
            </w:r>
          </w:p>
        </w:tc>
      </w:tr>
      <w:tr>
        <w:trPr>
          <w:trHeight w:val="539" w:hRule="atLeast"/>
        </w:trPr>
        <w:tc>
          <w:tcPr>
            <w:tcW w:w="1729" w:type="dxa"/>
          </w:tcPr>
          <w:p>
            <w:pPr>
              <w:pStyle w:val="TableParagraph"/>
              <w:spacing w:line="511" w:lineRule="exact" w:before="9"/>
              <w:ind w:left="50"/>
              <w:rPr>
                <w:b/>
                <w:sz w:val="28"/>
              </w:rPr>
            </w:pPr>
            <w:r>
              <w:rPr>
                <w:b/>
                <w:sz w:val="28"/>
              </w:rPr>
              <w:t>第九章</w:t>
            </w:r>
          </w:p>
        </w:tc>
        <w:tc>
          <w:tcPr>
            <w:tcW w:w="7167" w:type="dxa"/>
            <w:gridSpan w:val="2"/>
          </w:tcPr>
          <w:p>
            <w:pPr>
              <w:pStyle w:val="TableParagraph"/>
              <w:spacing w:line="511" w:lineRule="exact" w:before="9"/>
              <w:rPr>
                <w:b/>
                <w:sz w:val="28"/>
              </w:rPr>
            </w:pPr>
            <w:r>
              <w:rPr>
                <w:b/>
                <w:sz w:val="28"/>
              </w:rPr>
              <w:t>愛滋病毒感染者結核病之診療 ...............................................</w:t>
            </w:r>
          </w:p>
        </w:tc>
        <w:tc>
          <w:tcPr>
            <w:tcW w:w="556" w:type="dxa"/>
          </w:tcPr>
          <w:p>
            <w:pPr>
              <w:pStyle w:val="TableParagraph"/>
              <w:spacing w:before="120"/>
              <w:ind w:right="49"/>
              <w:jc w:val="right"/>
              <w:rPr>
                <w:rFonts w:ascii="Times New Roman"/>
                <w:b/>
                <w:sz w:val="28"/>
              </w:rPr>
            </w:pPr>
            <w:r>
              <w:rPr>
                <w:rFonts w:ascii="Times New Roman"/>
                <w:b/>
                <w:w w:val="95"/>
                <w:sz w:val="28"/>
              </w:rPr>
              <w:t>110</w:t>
            </w:r>
          </w:p>
        </w:tc>
      </w:tr>
      <w:tr>
        <w:trPr>
          <w:trHeight w:val="539" w:hRule="atLeast"/>
        </w:trPr>
        <w:tc>
          <w:tcPr>
            <w:tcW w:w="1729" w:type="dxa"/>
          </w:tcPr>
          <w:p>
            <w:pPr>
              <w:pStyle w:val="TableParagraph"/>
              <w:spacing w:line="511" w:lineRule="exact" w:before="9"/>
              <w:ind w:left="50"/>
              <w:rPr>
                <w:b/>
                <w:sz w:val="28"/>
              </w:rPr>
            </w:pPr>
            <w:r>
              <w:rPr>
                <w:b/>
                <w:sz w:val="28"/>
              </w:rPr>
              <w:t>第十章</w:t>
            </w:r>
          </w:p>
        </w:tc>
        <w:tc>
          <w:tcPr>
            <w:tcW w:w="7167" w:type="dxa"/>
            <w:gridSpan w:val="2"/>
          </w:tcPr>
          <w:p>
            <w:pPr>
              <w:pStyle w:val="TableParagraph"/>
              <w:spacing w:line="511" w:lineRule="exact" w:before="9"/>
              <w:rPr>
                <w:b/>
                <w:sz w:val="28"/>
              </w:rPr>
            </w:pPr>
            <w:r>
              <w:rPr>
                <w:b/>
                <w:sz w:val="28"/>
              </w:rPr>
              <w:t>潛伏結核感染(LTBI)診斷與治療.............................................</w:t>
            </w:r>
          </w:p>
        </w:tc>
        <w:tc>
          <w:tcPr>
            <w:tcW w:w="556" w:type="dxa"/>
          </w:tcPr>
          <w:p>
            <w:pPr>
              <w:pStyle w:val="TableParagraph"/>
              <w:spacing w:before="120"/>
              <w:ind w:right="49"/>
              <w:jc w:val="right"/>
              <w:rPr>
                <w:rFonts w:ascii="Times New Roman"/>
                <w:b/>
                <w:sz w:val="28"/>
              </w:rPr>
            </w:pPr>
            <w:r>
              <w:rPr>
                <w:rFonts w:ascii="Times New Roman"/>
                <w:b/>
                <w:w w:val="95"/>
                <w:sz w:val="28"/>
              </w:rPr>
              <w:t>123</w:t>
            </w:r>
          </w:p>
        </w:tc>
      </w:tr>
      <w:tr>
        <w:trPr>
          <w:trHeight w:val="539" w:hRule="atLeast"/>
        </w:trPr>
        <w:tc>
          <w:tcPr>
            <w:tcW w:w="1729" w:type="dxa"/>
          </w:tcPr>
          <w:p>
            <w:pPr>
              <w:pStyle w:val="TableParagraph"/>
              <w:spacing w:line="511" w:lineRule="exact" w:before="9"/>
              <w:ind w:left="50"/>
              <w:rPr>
                <w:b/>
                <w:sz w:val="28"/>
              </w:rPr>
            </w:pPr>
            <w:r>
              <w:rPr>
                <w:b/>
                <w:sz w:val="28"/>
              </w:rPr>
              <w:t>第十一章</w:t>
            </w:r>
          </w:p>
        </w:tc>
        <w:tc>
          <w:tcPr>
            <w:tcW w:w="7167" w:type="dxa"/>
            <w:gridSpan w:val="2"/>
          </w:tcPr>
          <w:p>
            <w:pPr>
              <w:pStyle w:val="TableParagraph"/>
              <w:spacing w:line="511" w:lineRule="exact" w:before="9"/>
              <w:ind w:left="-1"/>
              <w:rPr>
                <w:b/>
                <w:sz w:val="28"/>
              </w:rPr>
            </w:pPr>
            <w:r>
              <w:rPr>
                <w:b/>
                <w:sz w:val="28"/>
              </w:rPr>
              <w:t>都治策略....................................................................................</w:t>
            </w:r>
          </w:p>
        </w:tc>
        <w:tc>
          <w:tcPr>
            <w:tcW w:w="556" w:type="dxa"/>
          </w:tcPr>
          <w:p>
            <w:pPr>
              <w:pStyle w:val="TableParagraph"/>
              <w:spacing w:before="120"/>
              <w:ind w:right="49"/>
              <w:jc w:val="right"/>
              <w:rPr>
                <w:rFonts w:ascii="Times New Roman"/>
                <w:b/>
                <w:sz w:val="28"/>
              </w:rPr>
            </w:pPr>
            <w:r>
              <w:rPr>
                <w:rFonts w:ascii="Times New Roman"/>
                <w:b/>
                <w:w w:val="95"/>
                <w:sz w:val="28"/>
              </w:rPr>
              <w:t>153</w:t>
            </w:r>
          </w:p>
        </w:tc>
      </w:tr>
      <w:tr>
        <w:trPr>
          <w:trHeight w:val="539" w:hRule="atLeast"/>
        </w:trPr>
        <w:tc>
          <w:tcPr>
            <w:tcW w:w="1729" w:type="dxa"/>
          </w:tcPr>
          <w:p>
            <w:pPr>
              <w:pStyle w:val="TableParagraph"/>
              <w:spacing w:line="511" w:lineRule="exact" w:before="9"/>
              <w:ind w:left="50"/>
              <w:rPr>
                <w:b/>
                <w:sz w:val="28"/>
              </w:rPr>
            </w:pPr>
            <w:r>
              <w:rPr>
                <w:b/>
                <w:sz w:val="28"/>
              </w:rPr>
              <w:t>第十二章</w:t>
            </w:r>
          </w:p>
        </w:tc>
        <w:tc>
          <w:tcPr>
            <w:tcW w:w="7167" w:type="dxa"/>
            <w:gridSpan w:val="2"/>
          </w:tcPr>
          <w:p>
            <w:pPr>
              <w:pStyle w:val="TableParagraph"/>
              <w:spacing w:line="511" w:lineRule="exact" w:before="9"/>
              <w:ind w:left="-1"/>
              <w:rPr>
                <w:b/>
                <w:sz w:val="28"/>
              </w:rPr>
            </w:pPr>
            <w:r>
              <w:rPr>
                <w:b/>
                <w:sz w:val="28"/>
              </w:rPr>
              <w:t>抗藥性結核病的治療................................................................</w:t>
            </w:r>
          </w:p>
        </w:tc>
        <w:tc>
          <w:tcPr>
            <w:tcW w:w="556" w:type="dxa"/>
          </w:tcPr>
          <w:p>
            <w:pPr>
              <w:pStyle w:val="TableParagraph"/>
              <w:spacing w:before="120"/>
              <w:ind w:right="50"/>
              <w:jc w:val="right"/>
              <w:rPr>
                <w:rFonts w:ascii="Times New Roman"/>
                <w:b/>
                <w:sz w:val="28"/>
              </w:rPr>
            </w:pPr>
            <w:r>
              <w:rPr>
                <w:rFonts w:ascii="Times New Roman"/>
                <w:b/>
                <w:w w:val="95"/>
                <w:sz w:val="28"/>
              </w:rPr>
              <w:t>160</w:t>
            </w:r>
          </w:p>
        </w:tc>
      </w:tr>
      <w:tr>
        <w:trPr>
          <w:trHeight w:val="455" w:hRule="atLeast"/>
        </w:trPr>
        <w:tc>
          <w:tcPr>
            <w:tcW w:w="1729" w:type="dxa"/>
          </w:tcPr>
          <w:p>
            <w:pPr>
              <w:pStyle w:val="TableParagraph"/>
              <w:spacing w:line="427" w:lineRule="exact" w:before="9"/>
              <w:ind w:left="50"/>
              <w:rPr>
                <w:b/>
                <w:sz w:val="28"/>
              </w:rPr>
            </w:pPr>
            <w:r>
              <w:rPr>
                <w:b/>
                <w:sz w:val="28"/>
              </w:rPr>
              <w:t>第十三章</w:t>
            </w:r>
          </w:p>
        </w:tc>
        <w:tc>
          <w:tcPr>
            <w:tcW w:w="7167" w:type="dxa"/>
            <w:gridSpan w:val="2"/>
          </w:tcPr>
          <w:p>
            <w:pPr>
              <w:pStyle w:val="TableParagraph"/>
              <w:spacing w:line="427" w:lineRule="exact" w:before="9"/>
              <w:ind w:left="-1"/>
              <w:rPr>
                <w:b/>
                <w:sz w:val="28"/>
              </w:rPr>
            </w:pPr>
            <w:r>
              <w:rPr>
                <w:b/>
                <w:sz w:val="28"/>
              </w:rPr>
              <w:t>兒童抗藥性結核病之診療 ........................................................</w:t>
            </w:r>
          </w:p>
        </w:tc>
        <w:tc>
          <w:tcPr>
            <w:tcW w:w="556" w:type="dxa"/>
          </w:tcPr>
          <w:p>
            <w:pPr>
              <w:pStyle w:val="TableParagraph"/>
              <w:spacing w:line="316" w:lineRule="exact" w:before="120"/>
              <w:ind w:right="49"/>
              <w:jc w:val="right"/>
              <w:rPr>
                <w:rFonts w:ascii="Times New Roman"/>
                <w:b/>
                <w:sz w:val="28"/>
              </w:rPr>
            </w:pPr>
            <w:r>
              <w:rPr>
                <w:rFonts w:ascii="Times New Roman"/>
                <w:b/>
                <w:w w:val="95"/>
                <w:sz w:val="28"/>
              </w:rPr>
              <w:t>189</w:t>
            </w:r>
          </w:p>
        </w:tc>
      </w:tr>
    </w:tbl>
    <w:p>
      <w:pPr>
        <w:spacing w:after="0" w:line="316" w:lineRule="exact"/>
        <w:jc w:val="right"/>
        <w:rPr>
          <w:rFonts w:ascii="Times New Roman"/>
          <w:sz w:val="28"/>
        </w:rPr>
        <w:sectPr>
          <w:pgSz w:w="12250" w:h="17190"/>
          <w:pgMar w:header="0" w:footer="819" w:top="1420" w:bottom="1020" w:left="1200" w:right="0"/>
        </w:sectPr>
      </w:pPr>
    </w:p>
    <w:p>
      <w:pPr>
        <w:spacing w:line="679" w:lineRule="exact" w:before="0"/>
        <w:ind w:left="105" w:right="1301" w:firstLine="0"/>
        <w:jc w:val="center"/>
        <w:rPr>
          <w:b/>
          <w:sz w:val="38"/>
        </w:rPr>
      </w:pPr>
      <w:r>
        <w:rPr>
          <w:b/>
          <w:sz w:val="38"/>
        </w:rPr>
        <w:t>表目錄</w:t>
      </w:r>
    </w:p>
    <w:p>
      <w:pPr>
        <w:pStyle w:val="BodyText"/>
        <w:spacing w:before="6"/>
        <w:rPr>
          <w:b/>
          <w:sz w:val="8"/>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5"/>
        <w:gridCol w:w="808"/>
        <w:gridCol w:w="7792"/>
        <w:gridCol w:w="552"/>
      </w:tblGrid>
      <w:tr>
        <w:trPr>
          <w:trHeight w:val="415" w:hRule="atLeast"/>
        </w:trPr>
        <w:tc>
          <w:tcPr>
            <w:tcW w:w="365" w:type="dxa"/>
          </w:tcPr>
          <w:p>
            <w:pPr>
              <w:pStyle w:val="TableParagraph"/>
              <w:spacing w:line="396" w:lineRule="exact"/>
              <w:ind w:right="33"/>
              <w:jc w:val="right"/>
              <w:rPr>
                <w:b/>
                <w:sz w:val="28"/>
              </w:rPr>
            </w:pPr>
            <w:r>
              <w:rPr>
                <w:b/>
                <w:w w:val="99"/>
                <w:sz w:val="28"/>
              </w:rPr>
              <w:t>表</w:t>
            </w:r>
          </w:p>
        </w:tc>
        <w:tc>
          <w:tcPr>
            <w:tcW w:w="808" w:type="dxa"/>
          </w:tcPr>
          <w:p>
            <w:pPr>
              <w:pStyle w:val="TableParagraph"/>
              <w:spacing w:line="396" w:lineRule="exact"/>
              <w:ind w:left="15" w:right="158"/>
              <w:jc w:val="center"/>
              <w:rPr>
                <w:b/>
                <w:sz w:val="28"/>
              </w:rPr>
            </w:pPr>
            <w:r>
              <w:rPr>
                <w:b/>
                <w:sz w:val="28"/>
              </w:rPr>
              <w:t>3-1</w:t>
            </w:r>
          </w:p>
        </w:tc>
        <w:tc>
          <w:tcPr>
            <w:tcW w:w="7792" w:type="dxa"/>
          </w:tcPr>
          <w:p>
            <w:pPr>
              <w:pStyle w:val="TableParagraph"/>
              <w:spacing w:line="396" w:lineRule="exact"/>
              <w:ind w:left="151"/>
              <w:rPr>
                <w:b/>
                <w:sz w:val="28"/>
              </w:rPr>
            </w:pPr>
            <w:r>
              <w:rPr>
                <w:b/>
                <w:sz w:val="28"/>
              </w:rPr>
              <w:t>核酸增幅檢驗(nucleic acid amplification test) ....................</w:t>
            </w:r>
          </w:p>
        </w:tc>
        <w:tc>
          <w:tcPr>
            <w:tcW w:w="552" w:type="dxa"/>
          </w:tcPr>
          <w:p>
            <w:pPr>
              <w:pStyle w:val="TableParagraph"/>
              <w:spacing w:before="39"/>
              <w:ind w:right="48"/>
              <w:jc w:val="right"/>
              <w:rPr>
                <w:rFonts w:ascii="Times New Roman"/>
                <w:b/>
                <w:sz w:val="28"/>
              </w:rPr>
            </w:pPr>
            <w:r>
              <w:rPr>
                <w:rFonts w:ascii="Times New Roman"/>
                <w:b/>
                <w:w w:val="95"/>
                <w:sz w:val="28"/>
              </w:rPr>
              <w:t>24</w:t>
            </w:r>
          </w:p>
        </w:tc>
      </w:tr>
      <w:tr>
        <w:trPr>
          <w:trHeight w:val="460" w:hRule="atLeast"/>
        </w:trPr>
        <w:tc>
          <w:tcPr>
            <w:tcW w:w="365" w:type="dxa"/>
          </w:tcPr>
          <w:p>
            <w:pPr>
              <w:pStyle w:val="TableParagraph"/>
              <w:spacing w:line="440" w:lineRule="exact"/>
              <w:ind w:right="33"/>
              <w:jc w:val="right"/>
              <w:rPr>
                <w:b/>
                <w:sz w:val="28"/>
              </w:rPr>
            </w:pPr>
            <w:r>
              <w:rPr>
                <w:b/>
                <w:w w:val="99"/>
                <w:sz w:val="28"/>
              </w:rPr>
              <w:t>表</w:t>
            </w:r>
          </w:p>
        </w:tc>
        <w:tc>
          <w:tcPr>
            <w:tcW w:w="808" w:type="dxa"/>
          </w:tcPr>
          <w:p>
            <w:pPr>
              <w:pStyle w:val="TableParagraph"/>
              <w:spacing w:line="440" w:lineRule="exact"/>
              <w:ind w:left="15" w:right="158"/>
              <w:jc w:val="center"/>
              <w:rPr>
                <w:b/>
                <w:sz w:val="28"/>
              </w:rPr>
            </w:pPr>
            <w:r>
              <w:rPr>
                <w:b/>
                <w:sz w:val="28"/>
              </w:rPr>
              <w:t>5-1</w:t>
            </w:r>
          </w:p>
        </w:tc>
        <w:tc>
          <w:tcPr>
            <w:tcW w:w="7792" w:type="dxa"/>
          </w:tcPr>
          <w:p>
            <w:pPr>
              <w:pStyle w:val="TableParagraph"/>
              <w:spacing w:line="440" w:lineRule="exact"/>
              <w:ind w:left="151"/>
              <w:rPr>
                <w:b/>
                <w:sz w:val="28"/>
              </w:rPr>
            </w:pPr>
            <w:r>
              <w:rPr>
                <w:b/>
                <w:sz w:val="28"/>
              </w:rPr>
              <w:t>藥物性肝炎小量漸進式給藥試驗流程建議 .................................</w:t>
            </w:r>
          </w:p>
        </w:tc>
        <w:tc>
          <w:tcPr>
            <w:tcW w:w="552" w:type="dxa"/>
          </w:tcPr>
          <w:p>
            <w:pPr>
              <w:pStyle w:val="TableParagraph"/>
              <w:spacing w:before="83"/>
              <w:ind w:right="49"/>
              <w:jc w:val="right"/>
              <w:rPr>
                <w:rFonts w:ascii="Times New Roman"/>
                <w:b/>
                <w:sz w:val="28"/>
              </w:rPr>
            </w:pPr>
            <w:r>
              <w:rPr>
                <w:rFonts w:ascii="Times New Roman"/>
                <w:b/>
                <w:w w:val="95"/>
                <w:sz w:val="28"/>
              </w:rPr>
              <w:t>45</w:t>
            </w:r>
          </w:p>
        </w:tc>
      </w:tr>
      <w:tr>
        <w:trPr>
          <w:trHeight w:val="460" w:hRule="atLeast"/>
        </w:trPr>
        <w:tc>
          <w:tcPr>
            <w:tcW w:w="365" w:type="dxa"/>
          </w:tcPr>
          <w:p>
            <w:pPr>
              <w:pStyle w:val="TableParagraph"/>
              <w:spacing w:line="440" w:lineRule="exact"/>
              <w:ind w:right="33"/>
              <w:jc w:val="right"/>
              <w:rPr>
                <w:b/>
                <w:sz w:val="28"/>
              </w:rPr>
            </w:pPr>
            <w:r>
              <w:rPr>
                <w:b/>
                <w:w w:val="99"/>
                <w:sz w:val="28"/>
              </w:rPr>
              <w:t>表</w:t>
            </w:r>
          </w:p>
        </w:tc>
        <w:tc>
          <w:tcPr>
            <w:tcW w:w="808" w:type="dxa"/>
          </w:tcPr>
          <w:p>
            <w:pPr>
              <w:pStyle w:val="TableParagraph"/>
              <w:spacing w:line="440" w:lineRule="exact"/>
              <w:ind w:left="15" w:right="158"/>
              <w:jc w:val="center"/>
              <w:rPr>
                <w:b/>
                <w:sz w:val="28"/>
              </w:rPr>
            </w:pPr>
            <w:r>
              <w:rPr>
                <w:b/>
                <w:sz w:val="28"/>
              </w:rPr>
              <w:t>5-2</w:t>
            </w:r>
          </w:p>
        </w:tc>
        <w:tc>
          <w:tcPr>
            <w:tcW w:w="7792" w:type="dxa"/>
          </w:tcPr>
          <w:p>
            <w:pPr>
              <w:pStyle w:val="TableParagraph"/>
              <w:spacing w:line="440" w:lineRule="exact"/>
              <w:ind w:left="151"/>
              <w:rPr>
                <w:b/>
                <w:sz w:val="28"/>
              </w:rPr>
            </w:pPr>
            <w:r>
              <w:rPr>
                <w:b/>
                <w:sz w:val="28"/>
              </w:rPr>
              <w:t>皮疹反應的處理方法建議.............................................................</w:t>
            </w:r>
          </w:p>
        </w:tc>
        <w:tc>
          <w:tcPr>
            <w:tcW w:w="552" w:type="dxa"/>
          </w:tcPr>
          <w:p>
            <w:pPr>
              <w:pStyle w:val="TableParagraph"/>
              <w:spacing w:before="84"/>
              <w:ind w:right="49"/>
              <w:jc w:val="right"/>
              <w:rPr>
                <w:rFonts w:ascii="Times New Roman"/>
                <w:b/>
                <w:sz w:val="28"/>
              </w:rPr>
            </w:pPr>
            <w:r>
              <w:rPr>
                <w:rFonts w:ascii="Times New Roman"/>
                <w:b/>
                <w:w w:val="95"/>
                <w:sz w:val="28"/>
              </w:rPr>
              <w:t>46</w:t>
            </w:r>
          </w:p>
        </w:tc>
      </w:tr>
      <w:tr>
        <w:trPr>
          <w:trHeight w:val="459" w:hRule="atLeast"/>
        </w:trPr>
        <w:tc>
          <w:tcPr>
            <w:tcW w:w="365" w:type="dxa"/>
          </w:tcPr>
          <w:p>
            <w:pPr>
              <w:pStyle w:val="TableParagraph"/>
              <w:spacing w:line="440" w:lineRule="exact"/>
              <w:ind w:right="33"/>
              <w:jc w:val="right"/>
              <w:rPr>
                <w:b/>
                <w:sz w:val="28"/>
              </w:rPr>
            </w:pPr>
            <w:r>
              <w:rPr>
                <w:b/>
                <w:w w:val="99"/>
                <w:sz w:val="28"/>
              </w:rPr>
              <w:t>表</w:t>
            </w:r>
          </w:p>
        </w:tc>
        <w:tc>
          <w:tcPr>
            <w:tcW w:w="808" w:type="dxa"/>
          </w:tcPr>
          <w:p>
            <w:pPr>
              <w:pStyle w:val="TableParagraph"/>
              <w:spacing w:line="440" w:lineRule="exact"/>
              <w:ind w:left="15" w:right="158"/>
              <w:jc w:val="center"/>
              <w:rPr>
                <w:b/>
                <w:sz w:val="28"/>
              </w:rPr>
            </w:pPr>
            <w:r>
              <w:rPr>
                <w:b/>
                <w:sz w:val="28"/>
              </w:rPr>
              <w:t>5-3</w:t>
            </w:r>
          </w:p>
        </w:tc>
        <w:tc>
          <w:tcPr>
            <w:tcW w:w="7792" w:type="dxa"/>
          </w:tcPr>
          <w:p>
            <w:pPr>
              <w:pStyle w:val="TableParagraph"/>
              <w:spacing w:line="440" w:lineRule="exact"/>
              <w:ind w:left="151"/>
              <w:rPr>
                <w:b/>
                <w:sz w:val="28"/>
              </w:rPr>
            </w:pPr>
            <w:r>
              <w:rPr>
                <w:b/>
                <w:sz w:val="28"/>
              </w:rPr>
              <w:t>產生不良反應之後處理調整的建議.............................................</w:t>
            </w:r>
          </w:p>
        </w:tc>
        <w:tc>
          <w:tcPr>
            <w:tcW w:w="552" w:type="dxa"/>
          </w:tcPr>
          <w:p>
            <w:pPr>
              <w:pStyle w:val="TableParagraph"/>
              <w:spacing w:before="83"/>
              <w:ind w:right="49"/>
              <w:jc w:val="right"/>
              <w:rPr>
                <w:rFonts w:ascii="Times New Roman"/>
                <w:b/>
                <w:sz w:val="28"/>
              </w:rPr>
            </w:pPr>
            <w:r>
              <w:rPr>
                <w:rFonts w:ascii="Times New Roman"/>
                <w:b/>
                <w:w w:val="95"/>
                <w:sz w:val="28"/>
              </w:rPr>
              <w:t>48</w:t>
            </w:r>
          </w:p>
        </w:tc>
      </w:tr>
      <w:tr>
        <w:trPr>
          <w:trHeight w:val="460" w:hRule="atLeast"/>
        </w:trPr>
        <w:tc>
          <w:tcPr>
            <w:tcW w:w="365" w:type="dxa"/>
          </w:tcPr>
          <w:p>
            <w:pPr>
              <w:pStyle w:val="TableParagraph"/>
              <w:spacing w:line="440" w:lineRule="exact"/>
              <w:ind w:right="33"/>
              <w:jc w:val="right"/>
              <w:rPr>
                <w:b/>
                <w:sz w:val="28"/>
              </w:rPr>
            </w:pPr>
            <w:r>
              <w:rPr>
                <w:b/>
                <w:w w:val="99"/>
                <w:sz w:val="28"/>
              </w:rPr>
              <w:t>表</w:t>
            </w:r>
          </w:p>
        </w:tc>
        <w:tc>
          <w:tcPr>
            <w:tcW w:w="808" w:type="dxa"/>
          </w:tcPr>
          <w:p>
            <w:pPr>
              <w:pStyle w:val="TableParagraph"/>
              <w:spacing w:line="440" w:lineRule="exact"/>
              <w:ind w:left="15" w:right="158"/>
              <w:jc w:val="center"/>
              <w:rPr>
                <w:b/>
                <w:sz w:val="28"/>
              </w:rPr>
            </w:pPr>
            <w:r>
              <w:rPr>
                <w:b/>
                <w:sz w:val="28"/>
              </w:rPr>
              <w:t>6-1</w:t>
            </w:r>
          </w:p>
        </w:tc>
        <w:tc>
          <w:tcPr>
            <w:tcW w:w="7792" w:type="dxa"/>
          </w:tcPr>
          <w:p>
            <w:pPr>
              <w:pStyle w:val="TableParagraph"/>
              <w:spacing w:line="440" w:lineRule="exact"/>
              <w:ind w:left="151"/>
              <w:rPr>
                <w:b/>
                <w:sz w:val="28"/>
              </w:rPr>
            </w:pPr>
            <w:r>
              <w:rPr>
                <w:b/>
                <w:sz w:val="28"/>
              </w:rPr>
              <w:t>第一線抗結核藥物-單方藥物 .......................................................</w:t>
            </w:r>
          </w:p>
        </w:tc>
        <w:tc>
          <w:tcPr>
            <w:tcW w:w="552" w:type="dxa"/>
          </w:tcPr>
          <w:p>
            <w:pPr>
              <w:pStyle w:val="TableParagraph"/>
              <w:spacing w:before="83"/>
              <w:ind w:right="49"/>
              <w:jc w:val="right"/>
              <w:rPr>
                <w:rFonts w:ascii="Times New Roman"/>
                <w:b/>
                <w:sz w:val="28"/>
              </w:rPr>
            </w:pPr>
            <w:r>
              <w:rPr>
                <w:rFonts w:ascii="Times New Roman"/>
                <w:b/>
                <w:w w:val="95"/>
                <w:sz w:val="28"/>
              </w:rPr>
              <w:t>65</w:t>
            </w:r>
          </w:p>
        </w:tc>
      </w:tr>
      <w:tr>
        <w:trPr>
          <w:trHeight w:val="460" w:hRule="atLeast"/>
        </w:trPr>
        <w:tc>
          <w:tcPr>
            <w:tcW w:w="365" w:type="dxa"/>
          </w:tcPr>
          <w:p>
            <w:pPr>
              <w:pStyle w:val="TableParagraph"/>
              <w:spacing w:line="440" w:lineRule="exact"/>
              <w:ind w:right="33"/>
              <w:jc w:val="right"/>
              <w:rPr>
                <w:b/>
                <w:sz w:val="28"/>
              </w:rPr>
            </w:pPr>
            <w:r>
              <w:rPr>
                <w:b/>
                <w:w w:val="99"/>
                <w:sz w:val="28"/>
              </w:rPr>
              <w:t>表</w:t>
            </w:r>
          </w:p>
        </w:tc>
        <w:tc>
          <w:tcPr>
            <w:tcW w:w="808" w:type="dxa"/>
          </w:tcPr>
          <w:p>
            <w:pPr>
              <w:pStyle w:val="TableParagraph"/>
              <w:spacing w:line="440" w:lineRule="exact"/>
              <w:ind w:left="15" w:right="158"/>
              <w:jc w:val="center"/>
              <w:rPr>
                <w:b/>
                <w:sz w:val="28"/>
              </w:rPr>
            </w:pPr>
            <w:r>
              <w:rPr>
                <w:b/>
                <w:sz w:val="28"/>
              </w:rPr>
              <w:t>6-2</w:t>
            </w:r>
          </w:p>
        </w:tc>
        <w:tc>
          <w:tcPr>
            <w:tcW w:w="7792" w:type="dxa"/>
          </w:tcPr>
          <w:p>
            <w:pPr>
              <w:pStyle w:val="TableParagraph"/>
              <w:spacing w:line="440" w:lineRule="exact"/>
              <w:ind w:left="151"/>
              <w:rPr>
                <w:b/>
                <w:sz w:val="28"/>
              </w:rPr>
            </w:pPr>
            <w:r>
              <w:rPr>
                <w:b/>
                <w:sz w:val="28"/>
              </w:rPr>
              <w:t>第一線抗結核藥物-複方藥物 .......................................................</w:t>
            </w:r>
          </w:p>
        </w:tc>
        <w:tc>
          <w:tcPr>
            <w:tcW w:w="552" w:type="dxa"/>
          </w:tcPr>
          <w:p>
            <w:pPr>
              <w:pStyle w:val="TableParagraph"/>
              <w:spacing w:before="83"/>
              <w:ind w:right="49"/>
              <w:jc w:val="right"/>
              <w:rPr>
                <w:rFonts w:ascii="Times New Roman"/>
                <w:b/>
                <w:sz w:val="28"/>
              </w:rPr>
            </w:pPr>
            <w:r>
              <w:rPr>
                <w:rFonts w:ascii="Times New Roman"/>
                <w:b/>
                <w:w w:val="95"/>
                <w:sz w:val="28"/>
              </w:rPr>
              <w:t>67</w:t>
            </w:r>
          </w:p>
        </w:tc>
      </w:tr>
      <w:tr>
        <w:trPr>
          <w:trHeight w:val="459" w:hRule="atLeast"/>
        </w:trPr>
        <w:tc>
          <w:tcPr>
            <w:tcW w:w="365" w:type="dxa"/>
          </w:tcPr>
          <w:p>
            <w:pPr>
              <w:pStyle w:val="TableParagraph"/>
              <w:spacing w:line="440" w:lineRule="exact"/>
              <w:ind w:right="33"/>
              <w:jc w:val="right"/>
              <w:rPr>
                <w:b/>
                <w:sz w:val="28"/>
              </w:rPr>
            </w:pPr>
            <w:r>
              <w:rPr>
                <w:b/>
                <w:w w:val="99"/>
                <w:sz w:val="28"/>
              </w:rPr>
              <w:t>表</w:t>
            </w:r>
          </w:p>
        </w:tc>
        <w:tc>
          <w:tcPr>
            <w:tcW w:w="808" w:type="dxa"/>
          </w:tcPr>
          <w:p>
            <w:pPr>
              <w:pStyle w:val="TableParagraph"/>
              <w:spacing w:line="440" w:lineRule="exact"/>
              <w:ind w:left="15" w:right="158"/>
              <w:jc w:val="center"/>
              <w:rPr>
                <w:b/>
                <w:sz w:val="28"/>
              </w:rPr>
            </w:pPr>
            <w:r>
              <w:rPr>
                <w:b/>
                <w:sz w:val="28"/>
              </w:rPr>
              <w:t>6-3</w:t>
            </w:r>
          </w:p>
        </w:tc>
        <w:tc>
          <w:tcPr>
            <w:tcW w:w="7792" w:type="dxa"/>
          </w:tcPr>
          <w:p>
            <w:pPr>
              <w:pStyle w:val="TableParagraph"/>
              <w:spacing w:line="440" w:lineRule="exact"/>
              <w:ind w:left="151"/>
              <w:rPr>
                <w:b/>
                <w:sz w:val="28"/>
              </w:rPr>
            </w:pPr>
            <w:r>
              <w:rPr>
                <w:b/>
                <w:sz w:val="28"/>
              </w:rPr>
              <w:t>第二線抗結核藥物.........................................................................</w:t>
            </w:r>
          </w:p>
        </w:tc>
        <w:tc>
          <w:tcPr>
            <w:tcW w:w="552" w:type="dxa"/>
          </w:tcPr>
          <w:p>
            <w:pPr>
              <w:pStyle w:val="TableParagraph"/>
              <w:spacing w:before="83"/>
              <w:ind w:right="48"/>
              <w:jc w:val="right"/>
              <w:rPr>
                <w:rFonts w:ascii="Times New Roman"/>
                <w:b/>
                <w:sz w:val="28"/>
              </w:rPr>
            </w:pPr>
            <w:r>
              <w:rPr>
                <w:rFonts w:ascii="Times New Roman"/>
                <w:b/>
                <w:w w:val="95"/>
                <w:sz w:val="28"/>
              </w:rPr>
              <w:t>68</w:t>
            </w:r>
          </w:p>
        </w:tc>
      </w:tr>
      <w:tr>
        <w:trPr>
          <w:trHeight w:val="460" w:hRule="atLeast"/>
        </w:trPr>
        <w:tc>
          <w:tcPr>
            <w:tcW w:w="365" w:type="dxa"/>
          </w:tcPr>
          <w:p>
            <w:pPr>
              <w:pStyle w:val="TableParagraph"/>
              <w:spacing w:line="440" w:lineRule="exact"/>
              <w:ind w:right="33"/>
              <w:jc w:val="right"/>
              <w:rPr>
                <w:b/>
                <w:sz w:val="28"/>
              </w:rPr>
            </w:pPr>
            <w:r>
              <w:rPr>
                <w:b/>
                <w:w w:val="99"/>
                <w:sz w:val="28"/>
              </w:rPr>
              <w:t>表</w:t>
            </w:r>
          </w:p>
        </w:tc>
        <w:tc>
          <w:tcPr>
            <w:tcW w:w="808" w:type="dxa"/>
          </w:tcPr>
          <w:p>
            <w:pPr>
              <w:pStyle w:val="TableParagraph"/>
              <w:spacing w:line="440" w:lineRule="exact"/>
              <w:ind w:left="15" w:right="158"/>
              <w:jc w:val="center"/>
              <w:rPr>
                <w:b/>
                <w:sz w:val="28"/>
              </w:rPr>
            </w:pPr>
            <w:r>
              <w:rPr>
                <w:b/>
                <w:sz w:val="28"/>
              </w:rPr>
              <w:t>6-4</w:t>
            </w:r>
          </w:p>
        </w:tc>
        <w:tc>
          <w:tcPr>
            <w:tcW w:w="7792" w:type="dxa"/>
          </w:tcPr>
          <w:p>
            <w:pPr>
              <w:pStyle w:val="TableParagraph"/>
              <w:spacing w:line="440" w:lineRule="exact"/>
              <w:ind w:left="151"/>
              <w:rPr>
                <w:b/>
                <w:sz w:val="28"/>
              </w:rPr>
            </w:pPr>
            <w:r>
              <w:rPr>
                <w:b/>
                <w:sz w:val="28"/>
              </w:rPr>
              <w:t>藥物交互作用.................................................................................</w:t>
            </w:r>
          </w:p>
        </w:tc>
        <w:tc>
          <w:tcPr>
            <w:tcW w:w="552" w:type="dxa"/>
          </w:tcPr>
          <w:p>
            <w:pPr>
              <w:pStyle w:val="TableParagraph"/>
              <w:spacing w:before="83"/>
              <w:ind w:right="48"/>
              <w:jc w:val="right"/>
              <w:rPr>
                <w:rFonts w:ascii="Times New Roman"/>
                <w:b/>
                <w:sz w:val="28"/>
              </w:rPr>
            </w:pPr>
            <w:r>
              <w:rPr>
                <w:rFonts w:ascii="Times New Roman"/>
                <w:b/>
                <w:w w:val="95"/>
                <w:sz w:val="28"/>
              </w:rPr>
              <w:t>69</w:t>
            </w:r>
          </w:p>
        </w:tc>
      </w:tr>
      <w:tr>
        <w:trPr>
          <w:trHeight w:val="460"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57"/>
              <w:jc w:val="center"/>
              <w:rPr>
                <w:b/>
                <w:sz w:val="28"/>
              </w:rPr>
            </w:pPr>
            <w:r>
              <w:rPr>
                <w:b/>
                <w:sz w:val="28"/>
              </w:rPr>
              <w:t>6-5</w:t>
            </w:r>
          </w:p>
        </w:tc>
        <w:tc>
          <w:tcPr>
            <w:tcW w:w="7792" w:type="dxa"/>
          </w:tcPr>
          <w:p>
            <w:pPr>
              <w:pStyle w:val="TableParagraph"/>
              <w:spacing w:line="440" w:lineRule="exact"/>
              <w:ind w:left="151"/>
              <w:rPr>
                <w:b/>
                <w:sz w:val="28"/>
              </w:rPr>
            </w:pPr>
            <w:r>
              <w:rPr>
                <w:b/>
                <w:sz w:val="28"/>
              </w:rPr>
              <w:t>疾病管制署抗結核公費藥申請須知.............................................</w:t>
            </w:r>
          </w:p>
        </w:tc>
        <w:tc>
          <w:tcPr>
            <w:tcW w:w="552" w:type="dxa"/>
          </w:tcPr>
          <w:p>
            <w:pPr>
              <w:pStyle w:val="TableParagraph"/>
              <w:spacing w:before="84"/>
              <w:ind w:right="48"/>
              <w:jc w:val="right"/>
              <w:rPr>
                <w:rFonts w:ascii="Times New Roman"/>
                <w:b/>
                <w:sz w:val="28"/>
              </w:rPr>
            </w:pPr>
            <w:r>
              <w:rPr>
                <w:rFonts w:ascii="Times New Roman"/>
                <w:b/>
                <w:w w:val="95"/>
                <w:sz w:val="28"/>
              </w:rPr>
              <w:t>73</w:t>
            </w:r>
          </w:p>
        </w:tc>
      </w:tr>
      <w:tr>
        <w:trPr>
          <w:trHeight w:val="459"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57"/>
              <w:jc w:val="center"/>
              <w:rPr>
                <w:b/>
                <w:sz w:val="28"/>
              </w:rPr>
            </w:pPr>
            <w:r>
              <w:rPr>
                <w:b/>
                <w:sz w:val="28"/>
              </w:rPr>
              <w:t>7-1</w:t>
            </w:r>
          </w:p>
        </w:tc>
        <w:tc>
          <w:tcPr>
            <w:tcW w:w="7792" w:type="dxa"/>
          </w:tcPr>
          <w:p>
            <w:pPr>
              <w:pStyle w:val="TableParagraph"/>
              <w:spacing w:line="440" w:lineRule="exact"/>
              <w:ind w:left="151"/>
              <w:rPr>
                <w:b/>
                <w:sz w:val="28"/>
              </w:rPr>
            </w:pPr>
            <w:r>
              <w:rPr>
                <w:b/>
                <w:sz w:val="28"/>
              </w:rPr>
              <w:t>肺外結核的治療期間.....................................................................</w:t>
            </w:r>
          </w:p>
        </w:tc>
        <w:tc>
          <w:tcPr>
            <w:tcW w:w="552" w:type="dxa"/>
          </w:tcPr>
          <w:p>
            <w:pPr>
              <w:pStyle w:val="TableParagraph"/>
              <w:spacing w:before="83"/>
              <w:ind w:right="48"/>
              <w:jc w:val="right"/>
              <w:rPr>
                <w:rFonts w:ascii="Times New Roman"/>
                <w:b/>
                <w:sz w:val="28"/>
              </w:rPr>
            </w:pPr>
            <w:r>
              <w:rPr>
                <w:rFonts w:ascii="Times New Roman"/>
                <w:b/>
                <w:w w:val="95"/>
                <w:sz w:val="28"/>
              </w:rPr>
              <w:t>98</w:t>
            </w:r>
          </w:p>
        </w:tc>
      </w:tr>
      <w:tr>
        <w:trPr>
          <w:trHeight w:val="460"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57"/>
              <w:jc w:val="center"/>
              <w:rPr>
                <w:b/>
                <w:sz w:val="28"/>
              </w:rPr>
            </w:pPr>
            <w:r>
              <w:rPr>
                <w:b/>
                <w:sz w:val="28"/>
              </w:rPr>
              <w:t>8-1</w:t>
            </w:r>
          </w:p>
        </w:tc>
        <w:tc>
          <w:tcPr>
            <w:tcW w:w="7792" w:type="dxa"/>
          </w:tcPr>
          <w:p>
            <w:pPr>
              <w:pStyle w:val="TableParagraph"/>
              <w:spacing w:line="440" w:lineRule="exact"/>
              <w:ind w:left="151"/>
              <w:rPr>
                <w:b/>
                <w:sz w:val="28"/>
              </w:rPr>
            </w:pPr>
            <w:r>
              <w:rPr>
                <w:b/>
                <w:sz w:val="28"/>
              </w:rPr>
              <w:t>兒童抗結核藥物建議療程...............................................................</w:t>
            </w:r>
          </w:p>
        </w:tc>
        <w:tc>
          <w:tcPr>
            <w:tcW w:w="552" w:type="dxa"/>
          </w:tcPr>
          <w:p>
            <w:pPr>
              <w:pStyle w:val="TableParagraph"/>
              <w:spacing w:before="83"/>
              <w:ind w:right="48"/>
              <w:jc w:val="right"/>
              <w:rPr>
                <w:rFonts w:ascii="Times New Roman"/>
                <w:b/>
                <w:sz w:val="28"/>
              </w:rPr>
            </w:pPr>
            <w:r>
              <w:rPr>
                <w:rFonts w:ascii="Times New Roman"/>
                <w:b/>
                <w:w w:val="95"/>
                <w:sz w:val="28"/>
              </w:rPr>
              <w:t>106</w:t>
            </w:r>
          </w:p>
        </w:tc>
      </w:tr>
      <w:tr>
        <w:trPr>
          <w:trHeight w:val="460"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57"/>
              <w:jc w:val="center"/>
              <w:rPr>
                <w:b/>
                <w:sz w:val="28"/>
              </w:rPr>
            </w:pPr>
            <w:r>
              <w:rPr>
                <w:b/>
                <w:sz w:val="28"/>
              </w:rPr>
              <w:t>8-2</w:t>
            </w:r>
          </w:p>
        </w:tc>
        <w:tc>
          <w:tcPr>
            <w:tcW w:w="7792" w:type="dxa"/>
          </w:tcPr>
          <w:p>
            <w:pPr>
              <w:pStyle w:val="TableParagraph"/>
              <w:spacing w:line="440" w:lineRule="exact"/>
              <w:ind w:left="151"/>
              <w:rPr>
                <w:b/>
                <w:sz w:val="28"/>
              </w:rPr>
            </w:pPr>
            <w:r>
              <w:rPr>
                <w:b/>
                <w:sz w:val="28"/>
              </w:rPr>
              <w:t>兒童抗結核藥物建議劑量...............................................................</w:t>
            </w:r>
          </w:p>
        </w:tc>
        <w:tc>
          <w:tcPr>
            <w:tcW w:w="552" w:type="dxa"/>
          </w:tcPr>
          <w:p>
            <w:pPr>
              <w:pStyle w:val="TableParagraph"/>
              <w:spacing w:before="84"/>
              <w:ind w:right="48"/>
              <w:jc w:val="right"/>
              <w:rPr>
                <w:rFonts w:ascii="Times New Roman"/>
                <w:b/>
                <w:sz w:val="28"/>
              </w:rPr>
            </w:pPr>
            <w:r>
              <w:rPr>
                <w:rFonts w:ascii="Times New Roman"/>
                <w:b/>
                <w:w w:val="95"/>
                <w:sz w:val="28"/>
              </w:rPr>
              <w:t>107</w:t>
            </w:r>
          </w:p>
        </w:tc>
      </w:tr>
      <w:tr>
        <w:trPr>
          <w:trHeight w:val="459"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57"/>
              <w:jc w:val="center"/>
              <w:rPr>
                <w:b/>
                <w:sz w:val="28"/>
              </w:rPr>
            </w:pPr>
            <w:r>
              <w:rPr>
                <w:b/>
                <w:sz w:val="28"/>
              </w:rPr>
              <w:t>8-3</w:t>
            </w:r>
          </w:p>
        </w:tc>
        <w:tc>
          <w:tcPr>
            <w:tcW w:w="7792" w:type="dxa"/>
          </w:tcPr>
          <w:p>
            <w:pPr>
              <w:pStyle w:val="TableParagraph"/>
              <w:spacing w:line="440" w:lineRule="exact"/>
              <w:ind w:left="151"/>
              <w:rPr>
                <w:b/>
                <w:sz w:val="28"/>
              </w:rPr>
            </w:pPr>
            <w:r>
              <w:rPr>
                <w:b/>
                <w:sz w:val="28"/>
              </w:rPr>
              <w:t>兒童複方可溶錠...............................................................................</w:t>
            </w:r>
          </w:p>
        </w:tc>
        <w:tc>
          <w:tcPr>
            <w:tcW w:w="552" w:type="dxa"/>
          </w:tcPr>
          <w:p>
            <w:pPr>
              <w:pStyle w:val="TableParagraph"/>
              <w:spacing w:before="83"/>
              <w:ind w:right="48"/>
              <w:jc w:val="right"/>
              <w:rPr>
                <w:rFonts w:ascii="Times New Roman"/>
                <w:b/>
                <w:sz w:val="28"/>
              </w:rPr>
            </w:pPr>
            <w:r>
              <w:rPr>
                <w:rFonts w:ascii="Times New Roman"/>
                <w:b/>
                <w:w w:val="95"/>
                <w:sz w:val="28"/>
              </w:rPr>
              <w:t>108</w:t>
            </w:r>
          </w:p>
        </w:tc>
      </w:tr>
      <w:tr>
        <w:trPr>
          <w:trHeight w:val="460"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57"/>
              <w:jc w:val="center"/>
              <w:rPr>
                <w:b/>
                <w:sz w:val="28"/>
              </w:rPr>
            </w:pPr>
            <w:r>
              <w:rPr>
                <w:b/>
                <w:sz w:val="28"/>
              </w:rPr>
              <w:t>8-4</w:t>
            </w:r>
          </w:p>
        </w:tc>
        <w:tc>
          <w:tcPr>
            <w:tcW w:w="7792" w:type="dxa"/>
          </w:tcPr>
          <w:p>
            <w:pPr>
              <w:pStyle w:val="TableParagraph"/>
              <w:spacing w:line="440" w:lineRule="exact"/>
              <w:ind w:left="152"/>
              <w:rPr>
                <w:b/>
                <w:sz w:val="28"/>
              </w:rPr>
            </w:pPr>
            <w:r>
              <w:rPr>
                <w:b/>
                <w:sz w:val="28"/>
              </w:rPr>
              <w:t>嬰幼兒接觸者之處置建議...............................................................</w:t>
            </w:r>
          </w:p>
        </w:tc>
        <w:tc>
          <w:tcPr>
            <w:tcW w:w="552" w:type="dxa"/>
          </w:tcPr>
          <w:p>
            <w:pPr>
              <w:pStyle w:val="TableParagraph"/>
              <w:spacing w:before="83"/>
              <w:ind w:right="48"/>
              <w:jc w:val="right"/>
              <w:rPr>
                <w:rFonts w:ascii="Times New Roman"/>
                <w:b/>
                <w:sz w:val="28"/>
              </w:rPr>
            </w:pPr>
            <w:r>
              <w:rPr>
                <w:rFonts w:ascii="Times New Roman"/>
                <w:b/>
                <w:w w:val="95"/>
                <w:sz w:val="28"/>
              </w:rPr>
              <w:t>109</w:t>
            </w:r>
          </w:p>
        </w:tc>
      </w:tr>
      <w:tr>
        <w:trPr>
          <w:trHeight w:val="460"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57"/>
              <w:jc w:val="center"/>
              <w:rPr>
                <w:b/>
                <w:sz w:val="28"/>
              </w:rPr>
            </w:pPr>
            <w:r>
              <w:rPr>
                <w:b/>
                <w:sz w:val="28"/>
              </w:rPr>
              <w:t>9-1</w:t>
            </w:r>
          </w:p>
        </w:tc>
        <w:tc>
          <w:tcPr>
            <w:tcW w:w="7792" w:type="dxa"/>
          </w:tcPr>
          <w:p>
            <w:pPr>
              <w:pStyle w:val="TableParagraph"/>
              <w:spacing w:line="440" w:lineRule="exact"/>
              <w:ind w:left="152"/>
              <w:rPr>
                <w:b/>
                <w:sz w:val="28"/>
              </w:rPr>
            </w:pPr>
            <w:r>
              <w:rPr>
                <w:b/>
                <w:sz w:val="28"/>
              </w:rPr>
              <w:t>國內現有常用抗愛滋病毒藥物與 rifamycin 類之交互作用 .....</w:t>
            </w:r>
          </w:p>
        </w:tc>
        <w:tc>
          <w:tcPr>
            <w:tcW w:w="552" w:type="dxa"/>
          </w:tcPr>
          <w:p>
            <w:pPr>
              <w:pStyle w:val="TableParagraph"/>
              <w:spacing w:before="84"/>
              <w:ind w:right="48"/>
              <w:jc w:val="right"/>
              <w:rPr>
                <w:rFonts w:ascii="Times New Roman"/>
                <w:b/>
                <w:sz w:val="28"/>
              </w:rPr>
            </w:pPr>
            <w:r>
              <w:rPr>
                <w:rFonts w:ascii="Times New Roman"/>
                <w:b/>
                <w:w w:val="95"/>
                <w:sz w:val="28"/>
              </w:rPr>
              <w:t>120</w:t>
            </w:r>
          </w:p>
        </w:tc>
      </w:tr>
      <w:tr>
        <w:trPr>
          <w:trHeight w:val="459" w:hRule="atLeast"/>
        </w:trPr>
        <w:tc>
          <w:tcPr>
            <w:tcW w:w="365" w:type="dxa"/>
          </w:tcPr>
          <w:p>
            <w:pPr>
              <w:pStyle w:val="TableParagraph"/>
              <w:spacing w:line="439" w:lineRule="exact"/>
              <w:ind w:right="32"/>
              <w:jc w:val="right"/>
              <w:rPr>
                <w:b/>
                <w:sz w:val="28"/>
              </w:rPr>
            </w:pPr>
            <w:r>
              <w:rPr>
                <w:b/>
                <w:w w:val="99"/>
                <w:sz w:val="28"/>
              </w:rPr>
              <w:t>表</w:t>
            </w:r>
          </w:p>
        </w:tc>
        <w:tc>
          <w:tcPr>
            <w:tcW w:w="808" w:type="dxa"/>
          </w:tcPr>
          <w:p>
            <w:pPr>
              <w:pStyle w:val="TableParagraph"/>
              <w:spacing w:line="439" w:lineRule="exact"/>
              <w:ind w:left="15" w:right="157"/>
              <w:jc w:val="center"/>
              <w:rPr>
                <w:b/>
                <w:sz w:val="28"/>
              </w:rPr>
            </w:pPr>
            <w:r>
              <w:rPr>
                <w:b/>
                <w:sz w:val="28"/>
              </w:rPr>
              <w:t>9-2</w:t>
            </w:r>
          </w:p>
        </w:tc>
        <w:tc>
          <w:tcPr>
            <w:tcW w:w="7792" w:type="dxa"/>
          </w:tcPr>
          <w:p>
            <w:pPr>
              <w:pStyle w:val="TableParagraph"/>
              <w:spacing w:line="439" w:lineRule="exact"/>
              <w:ind w:left="151"/>
              <w:rPr>
                <w:b/>
                <w:sz w:val="28"/>
              </w:rPr>
            </w:pPr>
            <w:r>
              <w:rPr>
                <w:b/>
                <w:sz w:val="28"/>
              </w:rPr>
              <w:t>抗結核病藥物與抗愛滋病毒藥物組合的使用建議 .......................</w:t>
            </w:r>
          </w:p>
        </w:tc>
        <w:tc>
          <w:tcPr>
            <w:tcW w:w="552" w:type="dxa"/>
          </w:tcPr>
          <w:p>
            <w:pPr>
              <w:pStyle w:val="TableParagraph"/>
              <w:spacing w:before="83"/>
              <w:ind w:right="48"/>
              <w:jc w:val="right"/>
              <w:rPr>
                <w:rFonts w:ascii="Times New Roman"/>
                <w:b/>
                <w:sz w:val="28"/>
              </w:rPr>
            </w:pPr>
            <w:r>
              <w:rPr>
                <w:rFonts w:ascii="Times New Roman"/>
                <w:b/>
                <w:w w:val="95"/>
                <w:sz w:val="28"/>
              </w:rPr>
              <w:t>122</w:t>
            </w:r>
          </w:p>
        </w:tc>
      </w:tr>
      <w:tr>
        <w:trPr>
          <w:trHeight w:val="860" w:hRule="atLeast"/>
        </w:trPr>
        <w:tc>
          <w:tcPr>
            <w:tcW w:w="365" w:type="dxa"/>
          </w:tcPr>
          <w:p>
            <w:pPr>
              <w:pStyle w:val="TableParagraph"/>
              <w:spacing w:line="487" w:lineRule="exact"/>
              <w:ind w:right="33"/>
              <w:jc w:val="right"/>
              <w:rPr>
                <w:b/>
                <w:sz w:val="28"/>
              </w:rPr>
            </w:pPr>
            <w:r>
              <w:rPr>
                <w:b/>
                <w:w w:val="99"/>
                <w:sz w:val="28"/>
              </w:rPr>
              <w:t>表</w:t>
            </w:r>
          </w:p>
        </w:tc>
        <w:tc>
          <w:tcPr>
            <w:tcW w:w="808" w:type="dxa"/>
          </w:tcPr>
          <w:p>
            <w:pPr>
              <w:pStyle w:val="TableParagraph"/>
              <w:spacing w:line="487" w:lineRule="exact"/>
              <w:ind w:left="13" w:right="129"/>
              <w:jc w:val="center"/>
              <w:rPr>
                <w:b/>
                <w:sz w:val="28"/>
              </w:rPr>
            </w:pPr>
            <w:r>
              <w:rPr>
                <w:b/>
                <w:sz w:val="28"/>
              </w:rPr>
              <w:t>10-1</w:t>
            </w:r>
          </w:p>
        </w:tc>
        <w:tc>
          <w:tcPr>
            <w:tcW w:w="7792" w:type="dxa"/>
          </w:tcPr>
          <w:p>
            <w:pPr>
              <w:pStyle w:val="TableParagraph"/>
              <w:spacing w:line="430" w:lineRule="exact"/>
              <w:ind w:left="151"/>
              <w:rPr>
                <w:b/>
                <w:sz w:val="28"/>
              </w:rPr>
            </w:pPr>
            <w:r>
              <w:rPr>
                <w:b/>
                <w:sz w:val="28"/>
              </w:rPr>
              <w:t>我國各種結核病高風險族群成年人之潛伏結核感染率暨未進</w:t>
            </w:r>
          </w:p>
          <w:p>
            <w:pPr>
              <w:pStyle w:val="TableParagraph"/>
              <w:spacing w:line="410" w:lineRule="exact"/>
              <w:ind w:left="151"/>
              <w:rPr>
                <w:b/>
                <w:sz w:val="28"/>
              </w:rPr>
            </w:pPr>
            <w:r>
              <w:rPr>
                <w:b/>
                <w:sz w:val="28"/>
              </w:rPr>
              <w:t>行治療之結核病發病率及相關指標...............................................</w:t>
            </w:r>
          </w:p>
        </w:tc>
        <w:tc>
          <w:tcPr>
            <w:tcW w:w="552" w:type="dxa"/>
          </w:tcPr>
          <w:p>
            <w:pPr>
              <w:pStyle w:val="TableParagraph"/>
              <w:spacing w:before="5"/>
              <w:rPr>
                <w:b/>
                <w:sz w:val="26"/>
              </w:rPr>
            </w:pPr>
          </w:p>
          <w:p>
            <w:pPr>
              <w:pStyle w:val="TableParagraph"/>
              <w:ind w:right="48"/>
              <w:jc w:val="right"/>
              <w:rPr>
                <w:rFonts w:ascii="Times New Roman"/>
                <w:b/>
                <w:sz w:val="28"/>
              </w:rPr>
            </w:pPr>
            <w:r>
              <w:rPr>
                <w:rFonts w:ascii="Times New Roman"/>
                <w:b/>
                <w:w w:val="95"/>
                <w:sz w:val="28"/>
              </w:rPr>
              <w:t>139</w:t>
            </w:r>
          </w:p>
        </w:tc>
      </w:tr>
      <w:tr>
        <w:trPr>
          <w:trHeight w:val="459" w:hRule="atLeast"/>
        </w:trPr>
        <w:tc>
          <w:tcPr>
            <w:tcW w:w="365" w:type="dxa"/>
          </w:tcPr>
          <w:p>
            <w:pPr>
              <w:pStyle w:val="TableParagraph"/>
              <w:spacing w:line="440" w:lineRule="exact"/>
              <w:ind w:right="33"/>
              <w:jc w:val="right"/>
              <w:rPr>
                <w:b/>
                <w:sz w:val="28"/>
              </w:rPr>
            </w:pPr>
            <w:r>
              <w:rPr>
                <w:b/>
                <w:w w:val="99"/>
                <w:sz w:val="28"/>
              </w:rPr>
              <w:t>表</w:t>
            </w:r>
          </w:p>
        </w:tc>
        <w:tc>
          <w:tcPr>
            <w:tcW w:w="808" w:type="dxa"/>
          </w:tcPr>
          <w:p>
            <w:pPr>
              <w:pStyle w:val="TableParagraph"/>
              <w:spacing w:line="440" w:lineRule="exact"/>
              <w:ind w:left="14" w:right="129"/>
              <w:jc w:val="center"/>
              <w:rPr>
                <w:b/>
                <w:sz w:val="28"/>
              </w:rPr>
            </w:pPr>
            <w:r>
              <w:rPr>
                <w:b/>
                <w:sz w:val="28"/>
              </w:rPr>
              <w:t>10-2</w:t>
            </w:r>
          </w:p>
        </w:tc>
        <w:tc>
          <w:tcPr>
            <w:tcW w:w="7792" w:type="dxa"/>
          </w:tcPr>
          <w:p>
            <w:pPr>
              <w:pStyle w:val="TableParagraph"/>
              <w:spacing w:line="440" w:lineRule="exact"/>
              <w:ind w:left="151"/>
              <w:rPr>
                <w:b/>
                <w:sz w:val="28"/>
              </w:rPr>
            </w:pPr>
            <w:r>
              <w:rPr>
                <w:b/>
                <w:sz w:val="28"/>
              </w:rPr>
              <w:t>結核病接觸者檢查時間及方式.......................................................</w:t>
            </w:r>
          </w:p>
        </w:tc>
        <w:tc>
          <w:tcPr>
            <w:tcW w:w="552" w:type="dxa"/>
          </w:tcPr>
          <w:p>
            <w:pPr>
              <w:pStyle w:val="TableParagraph"/>
              <w:spacing w:before="83"/>
              <w:ind w:right="48"/>
              <w:jc w:val="right"/>
              <w:rPr>
                <w:rFonts w:ascii="Times New Roman"/>
                <w:b/>
                <w:sz w:val="28"/>
              </w:rPr>
            </w:pPr>
            <w:r>
              <w:rPr>
                <w:rFonts w:ascii="Times New Roman"/>
                <w:b/>
                <w:w w:val="95"/>
                <w:sz w:val="28"/>
              </w:rPr>
              <w:t>141</w:t>
            </w:r>
          </w:p>
        </w:tc>
      </w:tr>
      <w:tr>
        <w:trPr>
          <w:trHeight w:val="460"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29"/>
              <w:jc w:val="center"/>
              <w:rPr>
                <w:b/>
                <w:sz w:val="28"/>
              </w:rPr>
            </w:pPr>
            <w:r>
              <w:rPr>
                <w:b/>
                <w:sz w:val="28"/>
              </w:rPr>
              <w:t>10-3</w:t>
            </w:r>
          </w:p>
        </w:tc>
        <w:tc>
          <w:tcPr>
            <w:tcW w:w="7792" w:type="dxa"/>
          </w:tcPr>
          <w:p>
            <w:pPr>
              <w:pStyle w:val="TableParagraph"/>
              <w:spacing w:line="440" w:lineRule="exact"/>
              <w:ind w:left="152"/>
              <w:rPr>
                <w:b/>
                <w:sz w:val="28"/>
              </w:rPr>
            </w:pPr>
            <w:r>
              <w:rPr>
                <w:b/>
                <w:sz w:val="28"/>
              </w:rPr>
              <w:t>LTBI 處方造成永久停藥之分年齡層肝毒性發生率......................</w:t>
            </w:r>
          </w:p>
        </w:tc>
        <w:tc>
          <w:tcPr>
            <w:tcW w:w="552" w:type="dxa"/>
          </w:tcPr>
          <w:p>
            <w:pPr>
              <w:pStyle w:val="TableParagraph"/>
              <w:spacing w:before="83"/>
              <w:ind w:right="48"/>
              <w:jc w:val="right"/>
              <w:rPr>
                <w:rFonts w:ascii="Times New Roman"/>
                <w:b/>
                <w:sz w:val="28"/>
              </w:rPr>
            </w:pPr>
            <w:r>
              <w:rPr>
                <w:rFonts w:ascii="Times New Roman"/>
                <w:b/>
                <w:w w:val="95"/>
                <w:sz w:val="28"/>
              </w:rPr>
              <w:t>142</w:t>
            </w:r>
          </w:p>
        </w:tc>
      </w:tr>
      <w:tr>
        <w:trPr>
          <w:trHeight w:val="460"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29"/>
              <w:jc w:val="center"/>
              <w:rPr>
                <w:b/>
                <w:sz w:val="28"/>
              </w:rPr>
            </w:pPr>
            <w:r>
              <w:rPr>
                <w:b/>
                <w:sz w:val="28"/>
              </w:rPr>
              <w:t>12-1</w:t>
            </w:r>
          </w:p>
        </w:tc>
        <w:tc>
          <w:tcPr>
            <w:tcW w:w="7792" w:type="dxa"/>
          </w:tcPr>
          <w:p>
            <w:pPr>
              <w:pStyle w:val="TableParagraph"/>
              <w:spacing w:line="440" w:lineRule="exact"/>
              <w:ind w:left="152"/>
              <w:rPr>
                <w:b/>
                <w:sz w:val="28"/>
              </w:rPr>
            </w:pPr>
            <w:r>
              <w:rPr>
                <w:b/>
                <w:sz w:val="28"/>
              </w:rPr>
              <w:t>MDR-TB 短期治療處方建議表......................................................</w:t>
            </w:r>
          </w:p>
        </w:tc>
        <w:tc>
          <w:tcPr>
            <w:tcW w:w="552" w:type="dxa"/>
          </w:tcPr>
          <w:p>
            <w:pPr>
              <w:pStyle w:val="TableParagraph"/>
              <w:spacing w:before="84"/>
              <w:ind w:right="48"/>
              <w:jc w:val="right"/>
              <w:rPr>
                <w:rFonts w:ascii="Times New Roman"/>
                <w:b/>
                <w:sz w:val="28"/>
              </w:rPr>
            </w:pPr>
            <w:r>
              <w:rPr>
                <w:rFonts w:ascii="Times New Roman"/>
                <w:b/>
                <w:w w:val="95"/>
                <w:sz w:val="28"/>
              </w:rPr>
              <w:t>185</w:t>
            </w:r>
          </w:p>
        </w:tc>
      </w:tr>
      <w:tr>
        <w:trPr>
          <w:trHeight w:val="459"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28"/>
              <w:jc w:val="center"/>
              <w:rPr>
                <w:b/>
                <w:sz w:val="28"/>
              </w:rPr>
            </w:pPr>
            <w:r>
              <w:rPr>
                <w:b/>
                <w:sz w:val="28"/>
              </w:rPr>
              <w:t>12-2</w:t>
            </w:r>
          </w:p>
        </w:tc>
        <w:tc>
          <w:tcPr>
            <w:tcW w:w="7792" w:type="dxa"/>
          </w:tcPr>
          <w:p>
            <w:pPr>
              <w:pStyle w:val="TableParagraph"/>
              <w:spacing w:line="440" w:lineRule="exact"/>
              <w:ind w:left="152"/>
              <w:rPr>
                <w:b/>
                <w:sz w:val="28"/>
              </w:rPr>
            </w:pPr>
            <w:r>
              <w:rPr>
                <w:b/>
                <w:sz w:val="28"/>
              </w:rPr>
              <w:t>9-12 個月 MDR-TB 短期治療處方之劑量建議表.......................</w:t>
            </w:r>
          </w:p>
        </w:tc>
        <w:tc>
          <w:tcPr>
            <w:tcW w:w="552" w:type="dxa"/>
          </w:tcPr>
          <w:p>
            <w:pPr>
              <w:pStyle w:val="TableParagraph"/>
              <w:spacing w:before="83"/>
              <w:ind w:right="48"/>
              <w:jc w:val="right"/>
              <w:rPr>
                <w:rFonts w:ascii="Times New Roman"/>
                <w:b/>
                <w:sz w:val="28"/>
              </w:rPr>
            </w:pPr>
            <w:r>
              <w:rPr>
                <w:rFonts w:ascii="Times New Roman"/>
                <w:b/>
                <w:w w:val="95"/>
                <w:sz w:val="28"/>
              </w:rPr>
              <w:t>186</w:t>
            </w:r>
          </w:p>
        </w:tc>
      </w:tr>
      <w:tr>
        <w:trPr>
          <w:trHeight w:val="460"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28"/>
              <w:jc w:val="center"/>
              <w:rPr>
                <w:b/>
                <w:sz w:val="28"/>
              </w:rPr>
            </w:pPr>
            <w:r>
              <w:rPr>
                <w:b/>
                <w:sz w:val="28"/>
              </w:rPr>
              <w:t>12-3</w:t>
            </w:r>
          </w:p>
        </w:tc>
        <w:tc>
          <w:tcPr>
            <w:tcW w:w="7792" w:type="dxa"/>
          </w:tcPr>
          <w:p>
            <w:pPr>
              <w:pStyle w:val="TableParagraph"/>
              <w:spacing w:line="440" w:lineRule="exact"/>
              <w:ind w:left="152"/>
              <w:rPr>
                <w:b/>
                <w:sz w:val="28"/>
              </w:rPr>
            </w:pPr>
            <w:r>
              <w:rPr>
                <w:b/>
                <w:sz w:val="28"/>
              </w:rPr>
              <w:t>WHO 建議用於抗藥性結核病的治療用藥....................................</w:t>
            </w:r>
          </w:p>
        </w:tc>
        <w:tc>
          <w:tcPr>
            <w:tcW w:w="552" w:type="dxa"/>
          </w:tcPr>
          <w:p>
            <w:pPr>
              <w:pStyle w:val="TableParagraph"/>
              <w:spacing w:before="83"/>
              <w:ind w:right="47"/>
              <w:jc w:val="right"/>
              <w:rPr>
                <w:rFonts w:ascii="Times New Roman"/>
                <w:b/>
                <w:sz w:val="28"/>
              </w:rPr>
            </w:pPr>
            <w:r>
              <w:rPr>
                <w:rFonts w:ascii="Times New Roman"/>
                <w:b/>
                <w:w w:val="95"/>
                <w:sz w:val="28"/>
              </w:rPr>
              <w:t>187</w:t>
            </w:r>
          </w:p>
        </w:tc>
      </w:tr>
      <w:tr>
        <w:trPr>
          <w:trHeight w:val="460"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28"/>
              <w:jc w:val="center"/>
              <w:rPr>
                <w:b/>
                <w:sz w:val="28"/>
              </w:rPr>
            </w:pPr>
            <w:r>
              <w:rPr>
                <w:b/>
                <w:sz w:val="28"/>
              </w:rPr>
              <w:t>12-4</w:t>
            </w:r>
          </w:p>
        </w:tc>
        <w:tc>
          <w:tcPr>
            <w:tcW w:w="7792" w:type="dxa"/>
          </w:tcPr>
          <w:p>
            <w:pPr>
              <w:pStyle w:val="TableParagraph"/>
              <w:spacing w:line="440" w:lineRule="exact"/>
              <w:ind w:left="152"/>
              <w:rPr>
                <w:b/>
                <w:sz w:val="28"/>
              </w:rPr>
            </w:pPr>
            <w:r>
              <w:rPr>
                <w:b/>
                <w:sz w:val="28"/>
              </w:rPr>
              <w:t>Pre-XDR/XDR-TB 治療處方建議表.............................................</w:t>
            </w:r>
          </w:p>
        </w:tc>
        <w:tc>
          <w:tcPr>
            <w:tcW w:w="552" w:type="dxa"/>
          </w:tcPr>
          <w:p>
            <w:pPr>
              <w:pStyle w:val="TableParagraph"/>
              <w:spacing w:before="84"/>
              <w:ind w:right="48"/>
              <w:jc w:val="right"/>
              <w:rPr>
                <w:rFonts w:ascii="Times New Roman"/>
                <w:b/>
                <w:sz w:val="28"/>
              </w:rPr>
            </w:pPr>
            <w:r>
              <w:rPr>
                <w:rFonts w:ascii="Times New Roman"/>
                <w:b/>
                <w:w w:val="95"/>
                <w:sz w:val="28"/>
              </w:rPr>
              <w:t>188</w:t>
            </w:r>
          </w:p>
        </w:tc>
      </w:tr>
      <w:tr>
        <w:trPr>
          <w:trHeight w:val="459"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29"/>
              <w:jc w:val="center"/>
              <w:rPr>
                <w:b/>
                <w:sz w:val="28"/>
              </w:rPr>
            </w:pPr>
            <w:r>
              <w:rPr>
                <w:b/>
                <w:sz w:val="28"/>
              </w:rPr>
              <w:t>13-1</w:t>
            </w:r>
          </w:p>
        </w:tc>
        <w:tc>
          <w:tcPr>
            <w:tcW w:w="7792" w:type="dxa"/>
          </w:tcPr>
          <w:p>
            <w:pPr>
              <w:pStyle w:val="TableParagraph"/>
              <w:spacing w:line="440" w:lineRule="exact"/>
              <w:ind w:left="152"/>
              <w:rPr>
                <w:b/>
                <w:sz w:val="28"/>
              </w:rPr>
            </w:pPr>
            <w:r>
              <w:rPr>
                <w:b/>
                <w:sz w:val="28"/>
              </w:rPr>
              <w:t>兒童建議藥物選擇...........................................................................</w:t>
            </w:r>
          </w:p>
        </w:tc>
        <w:tc>
          <w:tcPr>
            <w:tcW w:w="552" w:type="dxa"/>
          </w:tcPr>
          <w:p>
            <w:pPr>
              <w:pStyle w:val="TableParagraph"/>
              <w:spacing w:before="83"/>
              <w:ind w:right="47"/>
              <w:jc w:val="right"/>
              <w:rPr>
                <w:rFonts w:ascii="Times New Roman"/>
                <w:b/>
                <w:sz w:val="28"/>
              </w:rPr>
            </w:pPr>
            <w:r>
              <w:rPr>
                <w:rFonts w:ascii="Times New Roman"/>
                <w:b/>
                <w:w w:val="95"/>
                <w:sz w:val="28"/>
              </w:rPr>
              <w:t>192</w:t>
            </w:r>
          </w:p>
        </w:tc>
      </w:tr>
      <w:tr>
        <w:trPr>
          <w:trHeight w:val="460" w:hRule="atLeast"/>
        </w:trPr>
        <w:tc>
          <w:tcPr>
            <w:tcW w:w="365" w:type="dxa"/>
          </w:tcPr>
          <w:p>
            <w:pPr>
              <w:pStyle w:val="TableParagraph"/>
              <w:spacing w:line="440" w:lineRule="exact"/>
              <w:ind w:right="32"/>
              <w:jc w:val="right"/>
              <w:rPr>
                <w:b/>
                <w:sz w:val="28"/>
              </w:rPr>
            </w:pPr>
            <w:r>
              <w:rPr>
                <w:b/>
                <w:w w:val="99"/>
                <w:sz w:val="28"/>
              </w:rPr>
              <w:t>表</w:t>
            </w:r>
          </w:p>
        </w:tc>
        <w:tc>
          <w:tcPr>
            <w:tcW w:w="808" w:type="dxa"/>
          </w:tcPr>
          <w:p>
            <w:pPr>
              <w:pStyle w:val="TableParagraph"/>
              <w:spacing w:line="440" w:lineRule="exact"/>
              <w:ind w:left="15" w:right="128"/>
              <w:jc w:val="center"/>
              <w:rPr>
                <w:b/>
                <w:sz w:val="28"/>
              </w:rPr>
            </w:pPr>
            <w:r>
              <w:rPr>
                <w:b/>
                <w:sz w:val="28"/>
              </w:rPr>
              <w:t>13-2</w:t>
            </w:r>
          </w:p>
        </w:tc>
        <w:tc>
          <w:tcPr>
            <w:tcW w:w="7792" w:type="dxa"/>
          </w:tcPr>
          <w:p>
            <w:pPr>
              <w:pStyle w:val="TableParagraph"/>
              <w:spacing w:line="440" w:lineRule="exact"/>
              <w:ind w:left="152"/>
              <w:rPr>
                <w:b/>
                <w:sz w:val="28"/>
              </w:rPr>
            </w:pPr>
            <w:r>
              <w:rPr>
                <w:b/>
                <w:sz w:val="28"/>
              </w:rPr>
              <w:t>兒童抗結核藥物建議劑量...............................................................</w:t>
            </w:r>
          </w:p>
        </w:tc>
        <w:tc>
          <w:tcPr>
            <w:tcW w:w="552" w:type="dxa"/>
          </w:tcPr>
          <w:p>
            <w:pPr>
              <w:pStyle w:val="TableParagraph"/>
              <w:spacing w:before="83"/>
              <w:ind w:right="47"/>
              <w:jc w:val="right"/>
              <w:rPr>
                <w:rFonts w:ascii="Times New Roman"/>
                <w:b/>
                <w:sz w:val="28"/>
              </w:rPr>
            </w:pPr>
            <w:r>
              <w:rPr>
                <w:rFonts w:ascii="Times New Roman"/>
                <w:b/>
                <w:w w:val="95"/>
                <w:sz w:val="28"/>
              </w:rPr>
              <w:t>193</w:t>
            </w:r>
          </w:p>
        </w:tc>
      </w:tr>
      <w:tr>
        <w:trPr>
          <w:trHeight w:val="416" w:hRule="atLeast"/>
        </w:trPr>
        <w:tc>
          <w:tcPr>
            <w:tcW w:w="365" w:type="dxa"/>
          </w:tcPr>
          <w:p>
            <w:pPr>
              <w:pStyle w:val="TableParagraph"/>
              <w:spacing w:line="396" w:lineRule="exact"/>
              <w:ind w:right="32"/>
              <w:jc w:val="right"/>
              <w:rPr>
                <w:b/>
                <w:sz w:val="28"/>
              </w:rPr>
            </w:pPr>
            <w:r>
              <w:rPr>
                <w:b/>
                <w:w w:val="99"/>
                <w:sz w:val="28"/>
              </w:rPr>
              <w:t>表</w:t>
            </w:r>
          </w:p>
        </w:tc>
        <w:tc>
          <w:tcPr>
            <w:tcW w:w="808" w:type="dxa"/>
          </w:tcPr>
          <w:p>
            <w:pPr>
              <w:pStyle w:val="TableParagraph"/>
              <w:spacing w:line="396" w:lineRule="exact"/>
              <w:ind w:left="15" w:right="128"/>
              <w:jc w:val="center"/>
              <w:rPr>
                <w:b/>
                <w:sz w:val="28"/>
              </w:rPr>
            </w:pPr>
            <w:r>
              <w:rPr>
                <w:b/>
                <w:sz w:val="28"/>
              </w:rPr>
              <w:t>13-3</w:t>
            </w:r>
          </w:p>
        </w:tc>
        <w:tc>
          <w:tcPr>
            <w:tcW w:w="7792" w:type="dxa"/>
          </w:tcPr>
          <w:p>
            <w:pPr>
              <w:pStyle w:val="TableParagraph"/>
              <w:spacing w:line="396" w:lineRule="exact"/>
              <w:ind w:left="152"/>
              <w:rPr>
                <w:b/>
                <w:sz w:val="28"/>
              </w:rPr>
            </w:pPr>
            <w:r>
              <w:rPr>
                <w:b/>
                <w:sz w:val="28"/>
              </w:rPr>
              <w:t>副作用及處理方式...........................................................................</w:t>
            </w:r>
          </w:p>
        </w:tc>
        <w:tc>
          <w:tcPr>
            <w:tcW w:w="552" w:type="dxa"/>
          </w:tcPr>
          <w:p>
            <w:pPr>
              <w:pStyle w:val="TableParagraph"/>
              <w:spacing w:line="313" w:lineRule="exact" w:before="84"/>
              <w:ind w:right="47"/>
              <w:jc w:val="right"/>
              <w:rPr>
                <w:rFonts w:ascii="Times New Roman"/>
                <w:b/>
                <w:sz w:val="28"/>
              </w:rPr>
            </w:pPr>
            <w:r>
              <w:rPr>
                <w:rFonts w:ascii="Times New Roman"/>
                <w:b/>
                <w:w w:val="95"/>
                <w:sz w:val="28"/>
              </w:rPr>
              <w:t>194</w:t>
            </w:r>
          </w:p>
        </w:tc>
      </w:tr>
    </w:tbl>
    <w:p>
      <w:pPr>
        <w:spacing w:after="0" w:line="313" w:lineRule="exact"/>
        <w:jc w:val="right"/>
        <w:rPr>
          <w:rFonts w:ascii="Times New Roman"/>
          <w:sz w:val="28"/>
        </w:rPr>
        <w:sectPr>
          <w:pgSz w:w="12250" w:h="17190"/>
          <w:pgMar w:header="0" w:footer="819" w:top="1340" w:bottom="1020" w:left="1200" w:right="0"/>
        </w:sectPr>
      </w:pPr>
    </w:p>
    <w:p>
      <w:pPr>
        <w:spacing w:line="679" w:lineRule="exact" w:before="0"/>
        <w:ind w:left="105" w:right="1301" w:firstLine="0"/>
        <w:jc w:val="center"/>
        <w:rPr>
          <w:b/>
          <w:sz w:val="38"/>
        </w:rPr>
      </w:pPr>
      <w:r>
        <w:rPr>
          <w:b/>
          <w:sz w:val="38"/>
        </w:rPr>
        <w:t>圖目錄</w:t>
      </w:r>
    </w:p>
    <w:p>
      <w:pPr>
        <w:pStyle w:val="BodyText"/>
        <w:spacing w:before="8"/>
        <w:rPr>
          <w:b/>
          <w:sz w:val="11"/>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3"/>
        <w:gridCol w:w="7790"/>
        <w:gridCol w:w="554"/>
      </w:tblGrid>
      <w:tr>
        <w:trPr>
          <w:trHeight w:val="435" w:hRule="atLeast"/>
        </w:trPr>
        <w:tc>
          <w:tcPr>
            <w:tcW w:w="1173" w:type="dxa"/>
          </w:tcPr>
          <w:p>
            <w:pPr>
              <w:pStyle w:val="TableParagraph"/>
              <w:spacing w:line="415" w:lineRule="exact"/>
              <w:ind w:left="50"/>
              <w:rPr>
                <w:b/>
                <w:sz w:val="28"/>
              </w:rPr>
            </w:pPr>
            <w:r>
              <w:rPr>
                <w:b/>
                <w:sz w:val="28"/>
              </w:rPr>
              <w:t>圖 3-1</w:t>
            </w:r>
          </w:p>
        </w:tc>
        <w:tc>
          <w:tcPr>
            <w:tcW w:w="7790" w:type="dxa"/>
          </w:tcPr>
          <w:p>
            <w:pPr>
              <w:pStyle w:val="TableParagraph"/>
              <w:spacing w:line="415" w:lineRule="exact"/>
              <w:ind w:left="129" w:right="199"/>
              <w:jc w:val="center"/>
              <w:rPr>
                <w:b/>
                <w:sz w:val="28"/>
              </w:rPr>
            </w:pPr>
            <w:r>
              <w:rPr>
                <w:b/>
                <w:sz w:val="28"/>
              </w:rPr>
              <w:t>疑似肺結核病人之診斷步驟.........................................................</w:t>
            </w:r>
          </w:p>
        </w:tc>
        <w:tc>
          <w:tcPr>
            <w:tcW w:w="554" w:type="dxa"/>
          </w:tcPr>
          <w:p>
            <w:pPr>
              <w:pStyle w:val="TableParagraph"/>
              <w:spacing w:before="39"/>
              <w:ind w:right="48"/>
              <w:jc w:val="right"/>
              <w:rPr>
                <w:rFonts w:ascii="Times New Roman"/>
                <w:b/>
                <w:sz w:val="28"/>
              </w:rPr>
            </w:pPr>
            <w:r>
              <w:rPr>
                <w:rFonts w:ascii="Times New Roman"/>
                <w:b/>
                <w:w w:val="95"/>
                <w:sz w:val="28"/>
              </w:rPr>
              <w:t>25</w:t>
            </w:r>
          </w:p>
        </w:tc>
      </w:tr>
      <w:tr>
        <w:trPr>
          <w:trHeight w:val="499" w:hRule="atLeast"/>
        </w:trPr>
        <w:tc>
          <w:tcPr>
            <w:tcW w:w="1173" w:type="dxa"/>
          </w:tcPr>
          <w:p>
            <w:pPr>
              <w:pStyle w:val="TableParagraph"/>
              <w:spacing w:line="480" w:lineRule="exact"/>
              <w:ind w:left="50"/>
              <w:rPr>
                <w:b/>
                <w:sz w:val="28"/>
              </w:rPr>
            </w:pPr>
            <w:r>
              <w:rPr>
                <w:b/>
                <w:sz w:val="28"/>
              </w:rPr>
              <w:t>圖 5-1</w:t>
            </w:r>
          </w:p>
        </w:tc>
        <w:tc>
          <w:tcPr>
            <w:tcW w:w="7790" w:type="dxa"/>
          </w:tcPr>
          <w:p>
            <w:pPr>
              <w:pStyle w:val="TableParagraph"/>
              <w:spacing w:line="480" w:lineRule="exact"/>
              <w:ind w:left="129" w:right="199"/>
              <w:jc w:val="center"/>
              <w:rPr>
                <w:b/>
                <w:sz w:val="28"/>
              </w:rPr>
            </w:pPr>
            <w:r>
              <w:rPr>
                <w:b/>
                <w:sz w:val="28"/>
              </w:rPr>
              <w:t>抗結核藥物肝毒性處置流程.........................................................</w:t>
            </w:r>
          </w:p>
        </w:tc>
        <w:tc>
          <w:tcPr>
            <w:tcW w:w="554" w:type="dxa"/>
          </w:tcPr>
          <w:p>
            <w:pPr>
              <w:pStyle w:val="TableParagraph"/>
              <w:spacing w:before="103"/>
              <w:ind w:right="49"/>
              <w:jc w:val="right"/>
              <w:rPr>
                <w:rFonts w:ascii="Times New Roman"/>
                <w:b/>
                <w:sz w:val="28"/>
              </w:rPr>
            </w:pPr>
            <w:r>
              <w:rPr>
                <w:rFonts w:ascii="Times New Roman"/>
                <w:b/>
                <w:w w:val="95"/>
                <w:sz w:val="28"/>
              </w:rPr>
              <w:t>47</w:t>
            </w:r>
          </w:p>
        </w:tc>
      </w:tr>
      <w:tr>
        <w:trPr>
          <w:trHeight w:val="876" w:hRule="atLeast"/>
        </w:trPr>
        <w:tc>
          <w:tcPr>
            <w:tcW w:w="1173" w:type="dxa"/>
          </w:tcPr>
          <w:p>
            <w:pPr>
              <w:pStyle w:val="TableParagraph"/>
              <w:spacing w:line="508" w:lineRule="exact"/>
              <w:ind w:left="50"/>
              <w:rPr>
                <w:b/>
                <w:sz w:val="28"/>
              </w:rPr>
            </w:pPr>
            <w:r>
              <w:rPr>
                <w:b/>
                <w:sz w:val="28"/>
              </w:rPr>
              <w:t>圖 10-1</w:t>
            </w:r>
          </w:p>
        </w:tc>
        <w:tc>
          <w:tcPr>
            <w:tcW w:w="7790" w:type="dxa"/>
          </w:tcPr>
          <w:p>
            <w:pPr>
              <w:pStyle w:val="TableParagraph"/>
              <w:spacing w:line="440" w:lineRule="exact" w:before="13"/>
              <w:ind w:left="151" w:right="17" w:hanging="1"/>
              <w:rPr>
                <w:b/>
                <w:sz w:val="28"/>
              </w:rPr>
            </w:pPr>
            <w:r>
              <w:rPr>
                <w:b/>
                <w:sz w:val="28"/>
              </w:rPr>
              <w:t>潛伏結核感染之治療（Treatment of LTBI）流程（診療醫師使用） ..............................................................................................</w:t>
            </w:r>
          </w:p>
        </w:tc>
        <w:tc>
          <w:tcPr>
            <w:tcW w:w="554" w:type="dxa"/>
          </w:tcPr>
          <w:p>
            <w:pPr>
              <w:pStyle w:val="TableParagraph"/>
              <w:spacing w:before="10"/>
              <w:rPr>
                <w:b/>
                <w:sz w:val="29"/>
              </w:rPr>
            </w:pPr>
          </w:p>
          <w:p>
            <w:pPr>
              <w:pStyle w:val="TableParagraph"/>
              <w:spacing w:line="313" w:lineRule="exact"/>
              <w:ind w:right="48"/>
              <w:jc w:val="right"/>
              <w:rPr>
                <w:rFonts w:ascii="Times New Roman"/>
                <w:b/>
                <w:sz w:val="28"/>
              </w:rPr>
            </w:pPr>
            <w:r>
              <w:rPr>
                <w:rFonts w:ascii="Times New Roman"/>
                <w:b/>
                <w:w w:val="95"/>
                <w:sz w:val="28"/>
              </w:rPr>
              <w:t>143</w:t>
            </w:r>
          </w:p>
        </w:tc>
      </w:tr>
    </w:tbl>
    <w:p>
      <w:pPr>
        <w:spacing w:after="0" w:line="313" w:lineRule="exact"/>
        <w:jc w:val="right"/>
        <w:rPr>
          <w:rFonts w:ascii="Times New Roman"/>
          <w:sz w:val="28"/>
        </w:rPr>
        <w:sectPr>
          <w:pgSz w:w="12250" w:h="17190"/>
          <w:pgMar w:header="0" w:footer="819" w:top="1340" w:bottom="1100" w:left="1200" w:right="0"/>
        </w:sectPr>
      </w:pPr>
    </w:p>
    <w:p>
      <w:pPr>
        <w:pStyle w:val="BodyText"/>
        <w:spacing w:before="16"/>
        <w:rPr>
          <w:b/>
          <w:sz w:val="10"/>
        </w:rPr>
      </w:pPr>
    </w:p>
    <w:p>
      <w:pPr>
        <w:spacing w:after="0"/>
        <w:rPr>
          <w:sz w:val="10"/>
        </w:rPr>
        <w:sectPr>
          <w:footerReference w:type="default" r:id="rId11"/>
          <w:pgSz w:w="12250" w:h="17190"/>
          <w:pgMar w:footer="0" w:header="0" w:top="1640" w:bottom="280" w:left="1200" w:right="0"/>
        </w:sectPr>
      </w:pPr>
    </w:p>
    <w:p>
      <w:pPr>
        <w:pStyle w:val="BodyText"/>
        <w:spacing w:before="9"/>
        <w:rPr>
          <w:b/>
          <w:sz w:val="43"/>
        </w:rPr>
      </w:pPr>
    </w:p>
    <w:p>
      <w:pPr>
        <w:pStyle w:val="Heading6"/>
        <w:numPr>
          <w:ilvl w:val="1"/>
          <w:numId w:val="1"/>
        </w:numPr>
        <w:tabs>
          <w:tab w:pos="676" w:val="left" w:leader="none"/>
        </w:tabs>
        <w:spacing w:line="240" w:lineRule="auto" w:before="1" w:after="0"/>
        <w:ind w:left="675" w:right="0" w:hanging="516"/>
        <w:jc w:val="left"/>
      </w:pPr>
      <w:bookmarkStart w:name="1.1 病原菌" w:id="1"/>
      <w:bookmarkEnd w:id="1"/>
      <w:r>
        <w:rPr>
          <w:b w:val="0"/>
        </w:rPr>
      </w:r>
      <w:bookmarkStart w:name="1.1 病原菌" w:id="2"/>
      <w:bookmarkEnd w:id="2"/>
      <w:r>
        <w:rPr/>
        <w:t>病原菌</w:t>
      </w:r>
    </w:p>
    <w:p>
      <w:pPr>
        <w:tabs>
          <w:tab w:pos="1640" w:val="left" w:leader="none"/>
        </w:tabs>
        <w:spacing w:line="670" w:lineRule="exact" w:before="0"/>
        <w:ind w:left="160" w:right="0" w:firstLine="0"/>
        <w:jc w:val="left"/>
        <w:rPr>
          <w:b/>
          <w:sz w:val="37"/>
        </w:rPr>
      </w:pPr>
      <w:r>
        <w:rPr/>
        <w:br w:type="column"/>
      </w:r>
      <w:r>
        <w:rPr>
          <w:b/>
          <w:sz w:val="37"/>
        </w:rPr>
        <w:t>第一章</w:t>
        <w:tab/>
        <w:t>結核病的基礎知識</w:t>
      </w:r>
    </w:p>
    <w:p>
      <w:pPr>
        <w:spacing w:after="0" w:line="670" w:lineRule="exact"/>
        <w:jc w:val="left"/>
        <w:rPr>
          <w:sz w:val="37"/>
        </w:rPr>
        <w:sectPr>
          <w:footerReference w:type="default" r:id="rId12"/>
          <w:pgSz w:w="12250" w:h="17190"/>
          <w:pgMar w:footer="828" w:header="0" w:top="1360" w:bottom="1020" w:left="1200" w:right="0"/>
          <w:pgNumType w:start="1"/>
          <w:cols w:num="2" w:equalWidth="0">
            <w:col w:w="1465" w:space="1079"/>
            <w:col w:w="8506"/>
          </w:cols>
        </w:sectPr>
      </w:pPr>
    </w:p>
    <w:p>
      <w:pPr>
        <w:spacing w:line="218" w:lineRule="auto" w:before="11"/>
        <w:ind w:left="670" w:right="1325" w:firstLine="538"/>
        <w:jc w:val="both"/>
        <w:rPr>
          <w:sz w:val="24"/>
        </w:rPr>
      </w:pPr>
      <w:r>
        <w:rPr/>
        <w:pict>
          <v:group style="position:absolute;margin-left:567pt;margin-top:73.150017pt;width:45.5pt;height:151.9pt;mso-position-horizontal-relative:page;mso-position-vertical-relative:page;z-index:251659264" coordorigin="11340,1463" coordsize="910,3038">
            <v:shape style="position:absolute;left:11340;top:1463;width:910;height:3038" coordorigin="11340,1463" coordsize="910,3038" path="m12167,1463l11505,1463,11441,1476,11388,1511,11353,1564,11340,1628,11340,4336,11353,4400,11388,4453,11441,4488,11505,4501,12167,4501,12231,4488,12250,4475,12250,1489,12231,1476,12167,1463xe" filled="true" fillcolor="#a6a6a6" stroked="false">
              <v:path arrowok="t"/>
              <v:fill type="solid"/>
            </v:shape>
            <v:shape style="position:absolute;left:11340;top:1463;width:910;height:3038" type="#_x0000_t202" filled="false" stroked="false">
              <v:textbox inset="0,0,0,0">
                <w:txbxContent>
                  <w:p>
                    <w:pPr>
                      <w:spacing w:line="141" w:lineRule="auto" w:before="132"/>
                      <w:ind w:left="136" w:right="551" w:firstLine="0"/>
                      <w:jc w:val="both"/>
                      <w:rPr>
                        <w:sz w:val="22"/>
                      </w:rPr>
                    </w:pPr>
                    <w:r>
                      <w:rPr>
                        <w:sz w:val="22"/>
                      </w:rPr>
                      <w:t>第一章</w:t>
                    </w:r>
                  </w:p>
                  <w:p>
                    <w:pPr>
                      <w:spacing w:line="141" w:lineRule="auto" w:before="183"/>
                      <w:ind w:left="136" w:right="551" w:firstLine="0"/>
                      <w:jc w:val="both"/>
                      <w:rPr>
                        <w:sz w:val="22"/>
                      </w:rPr>
                    </w:pPr>
                    <w:r>
                      <w:rPr>
                        <w:sz w:val="22"/>
                      </w:rPr>
                      <w:t>結核病的基礎知識</w:t>
                    </w:r>
                  </w:p>
                </w:txbxContent>
              </v:textbox>
              <w10:wrap type="none"/>
            </v:shape>
            <w10:wrap type="none"/>
          </v:group>
        </w:pict>
      </w:r>
      <w:r>
        <w:rPr>
          <w:spacing w:val="36"/>
          <w:sz w:val="24"/>
        </w:rPr>
        <w:t>人的結核病</w:t>
      </w:r>
      <w:r>
        <w:rPr>
          <w:color w:val="FF0000"/>
          <w:spacing w:val="32"/>
          <w:sz w:val="24"/>
        </w:rPr>
        <w:t>是由成長緩慢的結核分枝桿菌群(</w:t>
      </w:r>
      <w:r>
        <w:rPr>
          <w:i/>
          <w:color w:val="FF0000"/>
          <w:spacing w:val="-5"/>
          <w:sz w:val="25"/>
        </w:rPr>
        <w:t>Mycobacterium</w:t>
      </w:r>
      <w:r>
        <w:rPr>
          <w:i/>
          <w:color w:val="FF0000"/>
          <w:spacing w:val="-24"/>
          <w:sz w:val="25"/>
        </w:rPr>
        <w:t> </w:t>
      </w:r>
      <w:r>
        <w:rPr>
          <w:i/>
          <w:color w:val="FF0000"/>
          <w:spacing w:val="-5"/>
          <w:sz w:val="25"/>
        </w:rPr>
        <w:t>tuberculosis </w:t>
      </w:r>
      <w:r>
        <w:rPr>
          <w:color w:val="FF0000"/>
          <w:spacing w:val="-3"/>
          <w:w w:val="95"/>
          <w:sz w:val="24"/>
        </w:rPr>
        <w:t>complex)</w:t>
      </w:r>
      <w:r>
        <w:rPr>
          <w:color w:val="FF0000"/>
          <w:spacing w:val="-8"/>
          <w:w w:val="95"/>
          <w:sz w:val="24"/>
        </w:rPr>
        <w:t>所引起的疾病，其中以結核分枝桿菌(</w:t>
      </w:r>
      <w:r>
        <w:rPr>
          <w:i/>
          <w:color w:val="FF0000"/>
          <w:w w:val="95"/>
          <w:sz w:val="25"/>
        </w:rPr>
        <w:t>Mycobacterium</w:t>
      </w:r>
      <w:r>
        <w:rPr>
          <w:i/>
          <w:color w:val="FF0000"/>
          <w:spacing w:val="4"/>
          <w:w w:val="95"/>
          <w:sz w:val="25"/>
        </w:rPr>
        <w:t>   </w:t>
      </w:r>
      <w:r>
        <w:rPr>
          <w:i/>
          <w:color w:val="FF0000"/>
          <w:w w:val="95"/>
          <w:sz w:val="25"/>
        </w:rPr>
        <w:t>tuberculosis</w:t>
      </w:r>
      <w:r>
        <w:rPr>
          <w:color w:val="FF0000"/>
          <w:spacing w:val="-11"/>
          <w:w w:val="95"/>
          <w:sz w:val="24"/>
        </w:rPr>
        <w:t>)最常見。</w:t>
      </w:r>
      <w:r>
        <w:rPr>
          <w:spacing w:val="2"/>
          <w:sz w:val="24"/>
        </w:rPr>
        <w:t>牛型結核菌(</w:t>
      </w:r>
      <w:r>
        <w:rPr>
          <w:i/>
          <w:sz w:val="25"/>
        </w:rPr>
        <w:t>Mycobacterium</w:t>
      </w:r>
      <w:r>
        <w:rPr>
          <w:i/>
          <w:spacing w:val="-8"/>
          <w:sz w:val="25"/>
        </w:rPr>
        <w:t> </w:t>
      </w:r>
      <w:r>
        <w:rPr>
          <w:i/>
          <w:sz w:val="25"/>
        </w:rPr>
        <w:t>bovis</w:t>
      </w:r>
      <w:r>
        <w:rPr>
          <w:spacing w:val="1"/>
          <w:sz w:val="24"/>
        </w:rPr>
        <w:t>)曾經在歐美引起許多家畜的結核病，一部分病人</w:t>
      </w:r>
      <w:r>
        <w:rPr>
          <w:sz w:val="24"/>
        </w:rPr>
        <w:t>係因飲用來自病牛的牛奶而得腸結核，再擴散至身體其他器官。由於積極撲殺病牛以</w:t>
      </w:r>
      <w:r>
        <w:rPr>
          <w:spacing w:val="35"/>
          <w:sz w:val="24"/>
        </w:rPr>
        <w:t>及牛奶消毒普遍化， 目前此菌引起人的結核病非常罕見。 非洲型結核菌</w:t>
      </w:r>
      <w:r>
        <w:rPr>
          <w:spacing w:val="35"/>
          <w:w w:val="95"/>
          <w:sz w:val="24"/>
        </w:rPr>
        <w:t>(</w:t>
      </w:r>
      <w:r>
        <w:rPr>
          <w:i/>
          <w:spacing w:val="35"/>
          <w:w w:val="95"/>
          <w:sz w:val="25"/>
        </w:rPr>
        <w:t>Mycobacterium</w:t>
      </w:r>
      <w:r>
        <w:rPr>
          <w:i/>
          <w:spacing w:val="4"/>
          <w:w w:val="95"/>
          <w:sz w:val="25"/>
        </w:rPr>
        <w:t> </w:t>
      </w:r>
      <w:r>
        <w:rPr>
          <w:i/>
          <w:w w:val="95"/>
          <w:sz w:val="25"/>
        </w:rPr>
        <w:t>africanum</w:t>
      </w:r>
      <w:r>
        <w:rPr>
          <w:spacing w:val="10"/>
          <w:w w:val="95"/>
          <w:sz w:val="24"/>
        </w:rPr>
        <w:t>)在西非較常見，此菌與結核分枝桿菌重大區別在於對</w:t>
      </w:r>
      <w:r>
        <w:rPr>
          <w:spacing w:val="10"/>
          <w:sz w:val="24"/>
        </w:rPr>
        <w:t>thiacetazone</w:t>
      </w:r>
      <w:r>
        <w:rPr>
          <w:sz w:val="24"/>
        </w:rPr>
        <w:t> 有抗藥性。卡介苗(Bacille</w:t>
      </w:r>
      <w:r>
        <w:rPr>
          <w:spacing w:val="-18"/>
          <w:sz w:val="24"/>
        </w:rPr>
        <w:t> </w:t>
      </w:r>
      <w:r>
        <w:rPr>
          <w:sz w:val="24"/>
        </w:rPr>
        <w:t>Calmette–Guérin,</w:t>
      </w:r>
      <w:r>
        <w:rPr>
          <w:spacing w:val="-18"/>
          <w:sz w:val="24"/>
        </w:rPr>
        <w:t> </w:t>
      </w:r>
      <w:r>
        <w:rPr>
          <w:sz w:val="24"/>
        </w:rPr>
        <w:t>BCG)是將原本強毒的牛型</w:t>
      </w:r>
      <w:r>
        <w:rPr>
          <w:spacing w:val="-2"/>
          <w:sz w:val="24"/>
        </w:rPr>
        <w:t>結核菌，接種在含有牛膽汁及甘油 </w:t>
      </w:r>
      <w:r>
        <w:rPr>
          <w:sz w:val="24"/>
        </w:rPr>
        <w:t>glycerine</w:t>
      </w:r>
      <w:r>
        <w:rPr>
          <w:spacing w:val="1"/>
          <w:sz w:val="24"/>
        </w:rPr>
        <w:t>之馬鈴薯培養基，經 </w:t>
      </w:r>
      <w:r>
        <w:rPr>
          <w:sz w:val="24"/>
        </w:rPr>
        <w:t>13</w:t>
      </w:r>
      <w:r>
        <w:rPr>
          <w:spacing w:val="1"/>
          <w:sz w:val="24"/>
        </w:rPr>
        <w:t> 年間，繼代培養230</w:t>
      </w:r>
      <w:r>
        <w:rPr>
          <w:spacing w:val="4"/>
          <w:sz w:val="24"/>
        </w:rPr>
        <w:t> 代後作成弱毒菌株。</w:t>
      </w:r>
    </w:p>
    <w:p>
      <w:pPr>
        <w:pStyle w:val="BodyText"/>
        <w:spacing w:line="223" w:lineRule="auto" w:before="15"/>
        <w:ind w:left="670" w:right="1301" w:firstLine="538"/>
        <w:jc w:val="both"/>
      </w:pPr>
      <w:r>
        <w:rPr>
          <w:spacing w:val="1"/>
        </w:rPr>
        <w:t>結核分枝桿菌是長 </w:t>
      </w:r>
      <w:r>
        <w:rPr/>
        <w:t>1~10 </w:t>
      </w:r>
      <w:r>
        <w:rPr>
          <w:spacing w:val="-5"/>
        </w:rPr>
        <w:t>μm</w:t>
      </w:r>
      <w:r>
        <w:rPr>
          <w:spacing w:val="3"/>
        </w:rPr>
        <w:t>，寬 </w:t>
      </w:r>
      <w:r>
        <w:rPr/>
        <w:t>0.2~0.7 μm</w:t>
      </w:r>
      <w:r>
        <w:rPr>
          <w:spacing w:val="-3"/>
        </w:rPr>
        <w:t>而略為彎曲的細長桿菌，無鞭毛、</w:t>
      </w:r>
      <w:r>
        <w:rPr>
          <w:spacing w:val="-15"/>
        </w:rPr>
        <w:t>無芽胞、無莢膜，有時呈現多形性，如近乎球形或長鏈狀。其細胞壁富於脂質而會妨礙</w:t>
      </w:r>
      <w:r>
        <w:rPr>
          <w:spacing w:val="-17"/>
        </w:rPr>
        <w:t>色素的通過，因而不易染色。染色時要以添加媒染劑之色素溶液，加溫染色。結核分枝</w:t>
      </w:r>
      <w:r>
        <w:rPr>
          <w:spacing w:val="-14"/>
        </w:rPr>
        <w:t>桿菌的染色一般推薦 </w:t>
      </w:r>
      <w:r>
        <w:rPr/>
        <w:t>Ziehl-Neelsen</w:t>
      </w:r>
      <w:r>
        <w:rPr>
          <w:spacing w:val="-5"/>
        </w:rPr>
        <w:t> 法，染色標本中常可見到濃染的顆粒。若增加染</w:t>
      </w:r>
      <w:r>
        <w:rPr>
          <w:spacing w:val="-10"/>
        </w:rPr>
        <w:t>劑之色素濃度，不必加溫也可染菌，如</w:t>
      </w:r>
      <w:r>
        <w:rPr/>
        <w:t>Kinyoun</w:t>
      </w:r>
      <w:r>
        <w:rPr>
          <w:spacing w:val="-8"/>
        </w:rPr>
        <w:t>法。分枝桿菌一旦染色，不易被強酸脫色，故又稱耐酸性桿菌(acid-fast </w:t>
      </w:r>
      <w:r>
        <w:rPr/>
        <w:t>bacilli)。</w:t>
      </w:r>
    </w:p>
    <w:p>
      <w:pPr>
        <w:pStyle w:val="BodyText"/>
        <w:spacing w:line="223" w:lineRule="auto"/>
        <w:ind w:left="670" w:right="1301" w:firstLine="538"/>
        <w:jc w:val="both"/>
      </w:pPr>
      <w:r>
        <w:rPr>
          <w:spacing w:val="2"/>
        </w:rPr>
        <w:t>結核分枝桿菌屬於偏性好氣菌(</w:t>
      </w:r>
      <w:r>
        <w:rPr/>
        <w:t>strict aerobes</w:t>
      </w:r>
      <w:r>
        <w:rPr>
          <w:spacing w:val="1"/>
        </w:rPr>
        <w:t>)，發育最宜溫度為 </w:t>
      </w:r>
      <w:r>
        <w:rPr/>
        <w:t>37°C</w:t>
      </w:r>
      <w:r>
        <w:rPr>
          <w:spacing w:val="1"/>
        </w:rPr>
        <w:t>，最宜酸鹼度pH為</w:t>
      </w:r>
      <w:r>
        <w:rPr>
          <w:spacing w:val="-5"/>
        </w:rPr>
        <w:t>6.4~7.0</w:t>
      </w:r>
      <w:r>
        <w:rPr>
          <w:spacing w:val="-11"/>
        </w:rPr>
        <w:t>。自臨床檢體培養結核分枝桿菌，一般常使用以全卵為基礎的固態培</w:t>
      </w:r>
      <w:r>
        <w:rPr>
          <w:spacing w:val="-21"/>
        </w:rPr>
        <w:t>養基，如：</w:t>
      </w:r>
      <w:r>
        <w:rPr/>
        <w:t>Löwenstein-Jensen (LJ</w:t>
      </w:r>
      <w:r>
        <w:rPr>
          <w:spacing w:val="-12"/>
        </w:rPr>
        <w:t>)培養基。結核分枝桿菌的分裂速度很慢，大約每 </w:t>
      </w:r>
      <w:r>
        <w:rPr/>
        <w:t>20 </w:t>
      </w:r>
      <w:r>
        <w:rPr>
          <w:spacing w:val="-9"/>
        </w:rPr>
        <w:t>小時分裂一次。痰中結核分枝桿菌在此培養基中孵養發育，經 </w:t>
      </w:r>
      <w:r>
        <w:rPr/>
        <w:t>3~8</w:t>
      </w:r>
      <w:r>
        <w:rPr>
          <w:spacing w:val="6"/>
        </w:rPr>
        <w:t> 週形成 </w:t>
      </w:r>
      <w:r>
        <w:rPr/>
        <w:t>R</w:t>
      </w:r>
      <w:r>
        <w:rPr>
          <w:spacing w:val="-6"/>
        </w:rPr>
        <w:t>型菌落。近年來液態培養基、不含蛋基的瓊脂平板培養基也常用來檢出結核分枝桿菌。</w:t>
      </w:r>
    </w:p>
    <w:p>
      <w:pPr>
        <w:pStyle w:val="BodyText"/>
        <w:spacing w:line="223" w:lineRule="auto"/>
        <w:ind w:left="670" w:right="1356" w:firstLine="538"/>
        <w:jc w:val="both"/>
      </w:pPr>
      <w:r>
        <w:rPr/>
        <w:t>構成結核分枝桿菌性狀特徵的成分是脂質，佔乾燥菌體重量之40%。細胞壁成分呈示具增強免疫反應能力特性等生物活性，脂質佔其60%。結核菌素活性物質是蛋白質。結核分枝桿菌對外界抵抗力甚強，在陰暗處結核分枝桿菌可生存2~3 個月不死。</w:t>
      </w:r>
    </w:p>
    <w:p>
      <w:pPr>
        <w:pStyle w:val="BodyText"/>
        <w:rPr>
          <w:sz w:val="19"/>
        </w:rPr>
      </w:pPr>
    </w:p>
    <w:p>
      <w:pPr>
        <w:pStyle w:val="Heading6"/>
        <w:numPr>
          <w:ilvl w:val="1"/>
          <w:numId w:val="1"/>
        </w:numPr>
        <w:tabs>
          <w:tab w:pos="676" w:val="left" w:leader="none"/>
        </w:tabs>
        <w:spacing w:line="457" w:lineRule="exact" w:before="1" w:after="0"/>
        <w:ind w:left="675" w:right="0" w:hanging="516"/>
        <w:jc w:val="both"/>
      </w:pPr>
      <w:bookmarkStart w:name="1.2 傳染途徑" w:id="3"/>
      <w:bookmarkEnd w:id="3"/>
      <w:r>
        <w:rPr>
          <w:b w:val="0"/>
        </w:rPr>
      </w:r>
      <w:bookmarkStart w:name="1.2 傳染途徑" w:id="4"/>
      <w:bookmarkEnd w:id="4"/>
      <w:r>
        <w:rPr/>
        <w:t>傳染途徑</w:t>
      </w:r>
    </w:p>
    <w:p>
      <w:pPr>
        <w:pStyle w:val="BodyText"/>
        <w:spacing w:line="223" w:lineRule="auto" w:before="19"/>
        <w:ind w:left="670" w:right="1358" w:firstLine="538"/>
        <w:jc w:val="both"/>
      </w:pPr>
      <w:r>
        <w:rPr>
          <w:spacing w:val="5"/>
        </w:rPr>
        <w:t>結核病的傳染方式過去曾有飛沬傳染(</w:t>
      </w:r>
      <w:r>
        <w:rPr/>
        <w:t>droplet</w:t>
      </w:r>
      <w:r>
        <w:rPr>
          <w:spacing w:val="3"/>
        </w:rPr>
        <w:t>)、塵埃(</w:t>
      </w:r>
      <w:r>
        <w:rPr/>
        <w:t>dust</w:t>
      </w:r>
      <w:r>
        <w:rPr>
          <w:spacing w:val="4"/>
        </w:rPr>
        <w:t>)、及飛沫核</w:t>
      </w:r>
      <w:r>
        <w:rPr/>
        <w:t>(droplet nuclei)傳染等學說，而以飛沫核傳染論最為人所接受。帶菌的結核病人常在吐痰或藉</w:t>
      </w:r>
      <w:r>
        <w:rPr>
          <w:spacing w:val="1"/>
        </w:rPr>
        <w:t>在公共場所講話、咳嗽、唱歌或大笑時產生的飛沫排出結核分枝桿菌。這些飛沫在塵</w:t>
      </w:r>
      <w:r>
        <w:rPr>
          <w:spacing w:val="-4"/>
        </w:rPr>
        <w:t>埃中，乾燥後飛沫殘核飛揚飄浮在空中，直徑小於 </w:t>
      </w:r>
      <w:r>
        <w:rPr/>
        <w:t>5 μ 的飛沫殘核便可經由呼吸道到</w:t>
      </w:r>
      <w:r>
        <w:rPr>
          <w:spacing w:val="-3"/>
        </w:rPr>
        <w:t>達正常的肺胞，造成感染。近年來常常使用空氣傳染(</w:t>
      </w:r>
      <w:r>
        <w:rPr/>
        <w:t>air-borne infection)</w:t>
      </w:r>
      <w:r>
        <w:rPr>
          <w:spacing w:val="-3"/>
        </w:rPr>
        <w:t>一詞，強調</w:t>
      </w:r>
      <w:r>
        <w:rPr>
          <w:spacing w:val="1"/>
        </w:rPr>
        <w:t>即使離開感染源甚遠，也可能受到感染，不能掉以輕心。然而結核病感染的另一特徵是感染很難發生，因為結核分枝桿菌很不容易到達肺的末梢部位。流行感冒或麻疹病</w:t>
      </w:r>
    </w:p>
    <w:p>
      <w:pPr>
        <w:spacing w:after="0" w:line="223" w:lineRule="auto"/>
        <w:jc w:val="both"/>
        <w:sectPr>
          <w:type w:val="continuous"/>
          <w:pgSz w:w="12250" w:h="17190"/>
          <w:pgMar w:top="1500" w:bottom="280" w:left="1200" w:right="0"/>
        </w:sectPr>
      </w:pPr>
    </w:p>
    <w:p>
      <w:pPr>
        <w:pStyle w:val="BodyText"/>
        <w:spacing w:line="223" w:lineRule="auto" w:before="45"/>
        <w:ind w:left="670" w:right="1361"/>
        <w:jc w:val="both"/>
      </w:pPr>
      <w:r>
        <w:rPr/>
        <w:t>毒一旦附著在呼吸道上皮就會發生感染，但結核分枝桿菌並非如此。傳染最常發生在較親密的接觸者，常常發生在親近的人，或居住在同房屋者。結核病通常不會經由衣服或食器傳染。直接吸入病人咳出的飛沫也是傳染途徑之一。飲用未經適當消毒之牛奶亦可能得到腸結核，再擴散至身體其他器官，但目前幾乎沒有這種情況發生。</w:t>
      </w:r>
    </w:p>
    <w:p>
      <w:pPr>
        <w:pStyle w:val="BodyText"/>
        <w:spacing w:before="2"/>
        <w:rPr>
          <w:sz w:val="20"/>
        </w:rPr>
      </w:pPr>
    </w:p>
    <w:p>
      <w:pPr>
        <w:pStyle w:val="Heading6"/>
        <w:numPr>
          <w:ilvl w:val="1"/>
          <w:numId w:val="1"/>
        </w:numPr>
        <w:tabs>
          <w:tab w:pos="676" w:val="left" w:leader="none"/>
        </w:tabs>
        <w:spacing w:line="453" w:lineRule="exact" w:before="0" w:after="0"/>
        <w:ind w:left="675" w:right="0" w:hanging="516"/>
        <w:jc w:val="left"/>
      </w:pPr>
      <w:bookmarkStart w:name="1.3 結核病的自然史" w:id="5"/>
      <w:bookmarkEnd w:id="5"/>
      <w:r>
        <w:rPr>
          <w:b w:val="0"/>
        </w:rPr>
      </w:r>
      <w:bookmarkStart w:name="1.3 結核病的自然史" w:id="6"/>
      <w:bookmarkEnd w:id="6"/>
      <w:r>
        <w:rPr/>
        <w:t>結核病的自然史</w:t>
      </w:r>
    </w:p>
    <w:p>
      <w:pPr>
        <w:pStyle w:val="BodyText"/>
        <w:spacing w:line="435" w:lineRule="exact"/>
        <w:ind w:left="1153"/>
      </w:pPr>
      <w:r>
        <w:rPr/>
        <w:t>瞭解結核病的自然史，對臨床診斷及治療評估很有幫助。</w:t>
      </w:r>
    </w:p>
    <w:p>
      <w:pPr>
        <w:pStyle w:val="Heading7"/>
        <w:numPr>
          <w:ilvl w:val="2"/>
          <w:numId w:val="1"/>
        </w:numPr>
        <w:tabs>
          <w:tab w:pos="930" w:val="left" w:leader="none"/>
        </w:tabs>
        <w:spacing w:line="436" w:lineRule="exact" w:before="162" w:after="0"/>
        <w:ind w:left="930" w:right="0" w:hanging="659"/>
        <w:jc w:val="left"/>
      </w:pPr>
      <w:bookmarkStart w:name="1.3.1 感染與發病" w:id="7"/>
      <w:bookmarkEnd w:id="7"/>
      <w:r>
        <w:rPr>
          <w:b w:val="0"/>
        </w:rPr>
      </w:r>
      <w:bookmarkStart w:name="1.3.1 感染與發病" w:id="8"/>
      <w:bookmarkEnd w:id="8"/>
      <w:r>
        <w:rPr>
          <w:spacing w:val="2"/>
        </w:rPr>
        <w:t>感染與發病</w:t>
      </w:r>
    </w:p>
    <w:p>
      <w:pPr>
        <w:pStyle w:val="BodyText"/>
        <w:spacing w:line="220" w:lineRule="auto" w:before="20"/>
        <w:ind w:left="926" w:right="1357" w:firstLine="480"/>
        <w:jc w:val="right"/>
      </w:pPr>
      <w:r>
        <w:rPr/>
        <w:t>結核分枝桿菌感染者只有 10~20</w:t>
      </w:r>
      <w:r>
        <w:rPr>
          <w:spacing w:val="-3"/>
        </w:rPr>
        <w:t>% 會發病，其餘的人都平安無事度過一生，因</w:t>
      </w:r>
      <w:r>
        <w:rPr>
          <w:spacing w:val="-12"/>
        </w:rPr>
        <w:t>此「感染與發病不同」這是向來的常識。但是嚴密思考「怎樣才算發病」這問題，並</w:t>
      </w:r>
      <w:r>
        <w:rPr>
          <w:spacing w:val="-11"/>
        </w:rPr>
        <w:t>不容易下定義。習慣上大都以「臨床上或胸部影像可以診斷」或「胸部影像異常而臨</w:t>
      </w:r>
      <w:r>
        <w:rPr>
          <w:spacing w:val="-12"/>
        </w:rPr>
        <w:t>床上有活動性」為發病的定義。然而由於耐酸菌檢查、影像診斷技術的進步，例如以</w:t>
      </w:r>
      <w:r>
        <w:rPr/>
        <w:t>前傳統胸部 X</w:t>
      </w:r>
      <w:r>
        <w:rPr>
          <w:spacing w:val="-4"/>
        </w:rPr>
        <w:t> 光未能發現的微小異常變化，若以電腦斷層檢查會呈現可能需要治療</w:t>
      </w:r>
      <w:r>
        <w:rPr>
          <w:spacing w:val="-5"/>
        </w:rPr>
        <w:t>的病灶。與以前相比，感染與發病的間距已較狹小。近年</w:t>
      </w:r>
      <w:r>
        <w:rPr/>
        <w:t>WHO</w:t>
      </w:r>
      <w:r>
        <w:rPr>
          <w:spacing w:val="3"/>
        </w:rPr>
        <w:t>認為胸部 </w:t>
      </w:r>
      <w:r>
        <w:rPr/>
        <w:t>X</w:t>
      </w:r>
      <w:r>
        <w:rPr>
          <w:spacing w:val="2"/>
        </w:rPr>
        <w:t> 光診斷</w:t>
      </w:r>
      <w:r>
        <w:rPr>
          <w:spacing w:val="-9"/>
        </w:rPr>
        <w:t>的信賴度不高，因而將結核個案定義如下：一</w:t>
      </w:r>
      <w:r>
        <w:rPr>
          <w:rFonts w:ascii="標楷體" w:eastAsia="標楷體" w:hint="eastAsia"/>
          <w:spacing w:val="-15"/>
        </w:rPr>
        <w:t>、</w:t>
      </w:r>
      <w:r>
        <w:rPr>
          <w:spacing w:val="-6"/>
        </w:rPr>
        <w:t>疑似結核個案：呈現暗示結核病症狀與病徵之任何人，尤其是長期咳嗽</w:t>
      </w:r>
      <w:r>
        <w:rPr/>
        <w:t>（超過三週</w:t>
      </w:r>
      <w:r>
        <w:rPr>
          <w:spacing w:val="-22"/>
        </w:rPr>
        <w:t>）</w:t>
      </w:r>
      <w:r>
        <w:rPr>
          <w:spacing w:val="-17"/>
        </w:rPr>
        <w:t>；二</w:t>
      </w:r>
      <w:r>
        <w:rPr>
          <w:rFonts w:ascii="標楷體" w:eastAsia="標楷體" w:hint="eastAsia"/>
          <w:spacing w:val="-11"/>
        </w:rPr>
        <w:t>、</w:t>
      </w:r>
      <w:r>
        <w:rPr>
          <w:spacing w:val="-6"/>
        </w:rPr>
        <w:t>結核病個案：細菌學證實或由</w:t>
      </w:r>
      <w:r>
        <w:rPr>
          <w:spacing w:val="1"/>
        </w:rPr>
        <w:t>醫師診斷之病人</w:t>
      </w:r>
      <w:r>
        <w:rPr>
          <w:spacing w:val="4"/>
        </w:rPr>
        <w:t>（</w:t>
      </w:r>
      <w:r>
        <w:rPr/>
        <w:t>任何給藥治療的病人都要記錄為個案，用藥試試看絕不可作為診</w:t>
      </w:r>
      <w:r>
        <w:rPr>
          <w:spacing w:val="3"/>
        </w:rPr>
        <w:t>斷的方法</w:t>
      </w:r>
      <w:r>
        <w:rPr/>
        <w:t>）；三</w:t>
      </w:r>
      <w:r>
        <w:rPr>
          <w:rFonts w:ascii="標楷體" w:eastAsia="標楷體" w:hint="eastAsia"/>
        </w:rPr>
        <w:t>、</w:t>
      </w:r>
      <w:r>
        <w:rPr/>
        <w:t>確診結核個案：結核分枝桿菌培養陽性之病人</w:t>
      </w:r>
      <w:r>
        <w:rPr>
          <w:spacing w:val="4"/>
        </w:rPr>
        <w:t>（</w:t>
      </w:r>
      <w:r>
        <w:rPr>
          <w:spacing w:val="1"/>
        </w:rPr>
        <w:t>在不能例行培養</w:t>
      </w:r>
      <w:r>
        <w:rPr>
          <w:spacing w:val="-20"/>
        </w:rPr>
        <w:t>結核分枝桿菌之國家，痰塗片耐酸菌染色結果兩次陽性者，亦可考慮為〝確診〞個案</w:t>
      </w:r>
      <w:r>
        <w:rPr>
          <w:spacing w:val="-148"/>
        </w:rPr>
        <w:t>）。</w:t>
      </w:r>
      <w:r>
        <w:rPr/>
        <w:t>雖然感染後不易發病，但是有些人發病的危險性較高。例如乳幼兒、青春期男</w:t>
      </w:r>
    </w:p>
    <w:p>
      <w:pPr>
        <w:pStyle w:val="BodyText"/>
        <w:spacing w:line="220" w:lineRule="auto" w:before="24"/>
        <w:ind w:left="926" w:right="1301"/>
        <w:jc w:val="both"/>
      </w:pPr>
      <w:r>
        <w:rPr/>
        <w:t>女、罹患糖尿病、矽肺症、慢性腎衰竭進行洗腎者、接受胃切除、腸改道手術、器官移植者、吸毒成癮者、愛滋病人、長期使用類固醇、抗癌藥、免疫抑制劑或接受</w:t>
      </w:r>
      <w:r>
        <w:rPr>
          <w:spacing w:val="-11"/>
        </w:rPr>
        <w:t>放射線治療者、有精神壓力、多量吸菸者、感染後一年之內，被多量排菌者傳染者、</w:t>
      </w:r>
      <w:r>
        <w:rPr>
          <w:spacing w:val="1"/>
        </w:rPr>
        <w:t>因密切接觸而感染者，以及胸部Ｘ光片上有纖維鈣化病灶者，發病的危險性較高。</w:t>
      </w:r>
    </w:p>
    <w:p>
      <w:pPr>
        <w:pStyle w:val="Heading7"/>
        <w:numPr>
          <w:ilvl w:val="2"/>
          <w:numId w:val="1"/>
        </w:numPr>
        <w:tabs>
          <w:tab w:pos="930" w:val="left" w:leader="none"/>
        </w:tabs>
        <w:spacing w:line="437" w:lineRule="exact" w:before="181" w:after="0"/>
        <w:ind w:left="930" w:right="0" w:hanging="659"/>
        <w:jc w:val="both"/>
      </w:pPr>
      <w:bookmarkStart w:name="1.3.2 初次感染病灶(Primary focus)" w:id="9"/>
      <w:bookmarkEnd w:id="9"/>
      <w:r>
        <w:rPr>
          <w:b w:val="0"/>
        </w:rPr>
      </w:r>
      <w:bookmarkStart w:name="1.3.2 初次感染病灶(Primary focus)" w:id="10"/>
      <w:bookmarkEnd w:id="10"/>
      <w:r>
        <w:rPr>
          <w:spacing w:val="3"/>
        </w:rPr>
        <w:t>初次感染病灶</w:t>
      </w:r>
      <w:r>
        <w:rPr/>
        <w:t>(Primary</w:t>
      </w:r>
      <w:r>
        <w:rPr>
          <w:spacing w:val="5"/>
        </w:rPr>
        <w:t> </w:t>
      </w:r>
      <w:r>
        <w:rPr/>
        <w:t>focus)</w:t>
      </w:r>
    </w:p>
    <w:p>
      <w:pPr>
        <w:pStyle w:val="BodyText"/>
        <w:spacing w:line="223" w:lineRule="auto" w:before="17"/>
        <w:ind w:left="926" w:right="1380" w:firstLine="483"/>
        <w:jc w:val="both"/>
      </w:pPr>
      <w:r>
        <w:rPr/>
        <w:t>首次受到結核分枝桿菌感染就叫初次感染。通常含結核分枝桿菌的飛沫核被吸</w:t>
      </w:r>
      <w:r>
        <w:rPr>
          <w:spacing w:val="-5"/>
        </w:rPr>
        <w:t>入後，經氣道到達肺末梢部位。在胸膜下之肺泡定著而成立感染。結核分枝桿菌在感染部位被嗜中性球及肺泡巨噬細胞吞噬而造成滲出性病灶，就是初次感染病灶。</w:t>
      </w:r>
    </w:p>
    <w:p>
      <w:pPr>
        <w:pStyle w:val="BodyText"/>
        <w:spacing w:line="223" w:lineRule="auto"/>
        <w:ind w:left="926" w:right="1358" w:firstLine="475"/>
        <w:jc w:val="both"/>
      </w:pPr>
      <w:r>
        <w:rPr>
          <w:spacing w:val="-6"/>
        </w:rPr>
        <w:t>滲出性病灶的中心部分迅即發生乾酪性壞死，病灶周邊的巨噬細胞受結核分枝桿</w:t>
      </w:r>
      <w:r>
        <w:rPr/>
        <w:t>菌細胞壁成分的抗原之非特異性刺激，分化成類上皮細胞及 Langhans</w:t>
      </w:r>
      <w:r>
        <w:rPr>
          <w:spacing w:val="7"/>
        </w:rPr>
        <w:t> 氏巨細胞而</w:t>
      </w:r>
      <w:r>
        <w:rPr>
          <w:spacing w:val="-11"/>
        </w:rPr>
        <w:t>形成肉芽組織，即所謂結核結節。死菌亦會形成結核結節，結節內被感染的巨噬細胞</w:t>
      </w:r>
      <w:r>
        <w:rPr>
          <w:spacing w:val="-13"/>
        </w:rPr>
        <w:t>死滅後，其周圍纖維化，中心部可見乾酪化。這是宿主受到結核分枝桿菌感染後初期</w:t>
      </w:r>
      <w:r>
        <w:rPr/>
        <w:t>的抗菌活動。結核分枝桿菌在沒有空氣的乾酪組織中不會增殖，但繼續生存。肉</w:t>
      </w:r>
      <w:r>
        <w:rPr>
          <w:spacing w:val="-14"/>
        </w:rPr>
        <w:t>芽組織最後轉化為膠原纖維，病灶被膜包住，即所謂增殖性反應。初次感染原發病灶在</w:t>
      </w:r>
    </w:p>
    <w:p>
      <w:pPr>
        <w:spacing w:after="0" w:line="223" w:lineRule="auto"/>
        <w:jc w:val="both"/>
        <w:sectPr>
          <w:pgSz w:w="12250" w:h="17190"/>
          <w:pgMar w:header="0" w:footer="828" w:top="1460" w:bottom="1020" w:left="1200" w:right="0"/>
        </w:sectPr>
      </w:pPr>
    </w:p>
    <w:p>
      <w:pPr>
        <w:pStyle w:val="BodyText"/>
        <w:spacing w:line="223" w:lineRule="auto" w:before="45"/>
        <w:ind w:left="926" w:right="1358"/>
      </w:pPr>
      <w:r>
        <w:rPr/>
        <w:pict>
          <v:group style="position:absolute;margin-left:567pt;margin-top:.123696pt;width:45.5pt;height:151.9pt;mso-position-horizontal-relative:page;mso-position-vertical-relative:paragraph;z-index:251661312" coordorigin="11340,2" coordsize="910,3038">
            <v:shape style="position:absolute;left:11340;top:2;width:910;height:3038" coordorigin="11340,2" coordsize="910,3038" path="m12167,2l11505,2,11441,15,11388,51,11353,103,11340,168,11340,2875,11353,2939,11388,2992,11441,3027,11505,3040,12167,3040,12231,3027,12250,3015,12250,28,12231,15,12167,2xe" filled="true" fillcolor="#a6a6a6" stroked="false">
              <v:path arrowok="t"/>
              <v:fill type="solid"/>
            </v:shape>
            <v:shape style="position:absolute;left:11340;top:2;width:910;height:3038" type="#_x0000_t202" filled="false" stroked="false">
              <v:textbox inset="0,0,0,0">
                <w:txbxContent>
                  <w:p>
                    <w:pPr>
                      <w:spacing w:line="141" w:lineRule="auto" w:before="132"/>
                      <w:ind w:left="136" w:right="551" w:firstLine="0"/>
                      <w:jc w:val="both"/>
                      <w:rPr>
                        <w:sz w:val="22"/>
                      </w:rPr>
                    </w:pPr>
                    <w:r>
                      <w:rPr>
                        <w:sz w:val="22"/>
                      </w:rPr>
                      <w:t>第一章</w:t>
                    </w:r>
                  </w:p>
                  <w:p>
                    <w:pPr>
                      <w:spacing w:line="141" w:lineRule="auto" w:before="183"/>
                      <w:ind w:left="136" w:right="551" w:firstLine="0"/>
                      <w:jc w:val="both"/>
                      <w:rPr>
                        <w:sz w:val="22"/>
                      </w:rPr>
                    </w:pPr>
                    <w:r>
                      <w:rPr>
                        <w:sz w:val="22"/>
                      </w:rPr>
                      <w:t>結核病的基礎知識</w:t>
                    </w:r>
                  </w:p>
                </w:txbxContent>
              </v:textbox>
              <w10:wrap type="none"/>
            </v:shape>
            <w10:wrap type="none"/>
          </v:group>
        </w:pict>
      </w:r>
      <w:r>
        <w:rPr>
          <w:spacing w:val="-24"/>
        </w:rPr>
        <w:t>數月後，開始有鈣質沈著。乾酪物質次第失去水分成白堊狀，數年後成石狀。大部分的病</w:t>
      </w:r>
      <w:r>
        <w:rPr>
          <w:spacing w:val="-12"/>
        </w:rPr>
        <w:t>人幾乎沒有或只有很輕微的症狀。</w:t>
      </w:r>
    </w:p>
    <w:p>
      <w:pPr>
        <w:pStyle w:val="Heading7"/>
        <w:numPr>
          <w:ilvl w:val="2"/>
          <w:numId w:val="1"/>
        </w:numPr>
        <w:tabs>
          <w:tab w:pos="930" w:val="left" w:leader="none"/>
        </w:tabs>
        <w:spacing w:line="435" w:lineRule="exact" w:before="173" w:after="0"/>
        <w:ind w:left="930" w:right="0" w:hanging="659"/>
        <w:jc w:val="left"/>
      </w:pPr>
      <w:bookmarkStart w:name="1.3.3 結核免疫，結核菌素過敏反應" w:id="11"/>
      <w:bookmarkEnd w:id="11"/>
      <w:r>
        <w:rPr>
          <w:b w:val="0"/>
        </w:rPr>
      </w:r>
      <w:bookmarkStart w:name="1.3.3 結核免疫，結核菌素過敏反應" w:id="12"/>
      <w:bookmarkEnd w:id="12"/>
      <w:r>
        <w:rPr>
          <w:spacing w:val="3"/>
        </w:rPr>
        <w:t>結核免疫，結核菌素過敏反應</w:t>
      </w:r>
    </w:p>
    <w:p>
      <w:pPr>
        <w:pStyle w:val="BodyText"/>
        <w:spacing w:line="218" w:lineRule="auto" w:before="23"/>
        <w:ind w:left="926" w:right="1298" w:firstLine="502"/>
        <w:jc w:val="both"/>
      </w:pPr>
      <w:r>
        <w:rPr/>
        <w:t>結核免疫包括非特異性自然抵抗及感染後之特異獲得性免疫。參與免疫反應的</w:t>
      </w:r>
      <w:r>
        <w:rPr>
          <w:spacing w:val="6"/>
        </w:rPr>
        <w:t>細胞非常複雜，包括對結核分枝桿菌具特異性反應之 </w:t>
      </w:r>
      <w:r>
        <w:rPr/>
        <w:t>T</w:t>
      </w:r>
      <w:r>
        <w:rPr>
          <w:spacing w:val="10"/>
        </w:rPr>
        <w:t> 淋巴細胞</w:t>
      </w:r>
      <w:r>
        <w:rPr>
          <w:color w:val="FF0000"/>
        </w:rPr>
        <w:t>(</w:t>
      </w:r>
      <w:r>
        <w:rPr>
          <w:i/>
          <w:color w:val="FF0000"/>
          <w:sz w:val="25"/>
        </w:rPr>
        <w:t>M.tuberculosis </w:t>
      </w:r>
      <w:r>
        <w:rPr>
          <w:color w:val="FF0000"/>
        </w:rPr>
        <w:t>specific T </w:t>
      </w:r>
      <w:r>
        <w:rPr>
          <w:color w:val="FF0000"/>
          <w:spacing w:val="-12"/>
        </w:rPr>
        <w:t>cell)</w:t>
      </w:r>
      <w:r>
        <w:rPr>
          <w:spacing w:val="-9"/>
        </w:rPr>
        <w:t>，及作用功能非特異性之細胞，例如自然殺手細胞</w:t>
      </w:r>
      <w:r>
        <w:rPr>
          <w:color w:val="FF0000"/>
        </w:rPr>
        <w:t>(natural killer </w:t>
      </w:r>
      <w:r>
        <w:rPr>
          <w:color w:val="FF0000"/>
          <w:spacing w:val="-8"/>
        </w:rPr>
        <w:t>cell)</w:t>
      </w:r>
      <w:r>
        <w:rPr/>
        <w:t>、</w:t>
      </w:r>
      <w:r>
        <w:rPr>
          <w:spacing w:val="-5"/>
        </w:rPr>
        <w:t>巨噬細胞、</w:t>
      </w:r>
      <w:r>
        <w:rPr/>
        <w:t>γ/δ T</w:t>
      </w:r>
      <w:r>
        <w:rPr>
          <w:spacing w:val="-4"/>
        </w:rPr>
        <w:t> 細胞等。自然抵抗藉助於吞噬細胞之吞噬、體液的分解酶、炎症作用，因人種、性別、年齡而有差異，與發生獲得免疫之能力亦有關連。</w:t>
      </w:r>
    </w:p>
    <w:p>
      <w:pPr>
        <w:pStyle w:val="BodyText"/>
        <w:spacing w:line="220" w:lineRule="auto" w:before="12"/>
        <w:ind w:left="926" w:right="1357" w:firstLine="480"/>
        <w:jc w:val="both"/>
      </w:pPr>
      <w:r>
        <w:rPr>
          <w:spacing w:val="-9"/>
        </w:rPr>
        <w:t>獲得免疫之機轉甚為複雜。先是來自結核分枝桿菌、</w:t>
      </w:r>
      <w:r>
        <w:rPr/>
        <w:t>BCG</w:t>
      </w:r>
      <w:r>
        <w:rPr>
          <w:spacing w:val="-2"/>
        </w:rPr>
        <w:t>或已吞噬結核分枝桿菌</w:t>
      </w:r>
      <w:r>
        <w:rPr>
          <w:spacing w:val="-1"/>
        </w:rPr>
        <w:t>的巨噬細胞之抗原情報，傳達至 </w:t>
      </w:r>
      <w:r>
        <w:rPr/>
        <w:t>T</w:t>
      </w:r>
      <w:r>
        <w:rPr>
          <w:spacing w:val="7"/>
        </w:rPr>
        <w:t> 淋巴球，致敏 </w:t>
      </w:r>
      <w:r>
        <w:rPr/>
        <w:t>T</w:t>
      </w:r>
      <w:r>
        <w:rPr>
          <w:spacing w:val="-1"/>
        </w:rPr>
        <w:t> 細胞成記憶細胞，在淋巴結旁皮</w:t>
      </w:r>
      <w:r>
        <w:rPr>
          <w:spacing w:val="-12"/>
        </w:rPr>
        <w:t>質領域待機，若再遭遇結核分枝桿菌則活性化、增殖、釋放各種細胞激素，將巨噬細胞聚集、活化。活化巨噬細胞可增強阻止增殖或殺菌的能力。初次感染引起之獲得免疫通常伴隨致敏 T</w:t>
      </w:r>
      <w:r>
        <w:rPr/>
        <w:t> 淋巴球引起的遲延型結核菌素過敏症，兩者皆持續多年。</w:t>
      </w:r>
    </w:p>
    <w:p>
      <w:pPr>
        <w:pStyle w:val="Heading7"/>
        <w:numPr>
          <w:ilvl w:val="2"/>
          <w:numId w:val="1"/>
        </w:numPr>
        <w:tabs>
          <w:tab w:pos="930" w:val="left" w:leader="none"/>
        </w:tabs>
        <w:spacing w:line="435" w:lineRule="exact" w:before="182" w:after="0"/>
        <w:ind w:left="930" w:right="0" w:hanging="659"/>
        <w:jc w:val="both"/>
      </w:pPr>
      <w:bookmarkStart w:name="1.3.4 初次感染結核病的進展" w:id="13"/>
      <w:bookmarkEnd w:id="13"/>
      <w:r>
        <w:rPr>
          <w:b w:val="0"/>
        </w:rPr>
      </w:r>
      <w:bookmarkStart w:name="1.3.4 初次感染結核病的進展" w:id="14"/>
      <w:bookmarkEnd w:id="14"/>
      <w:r>
        <w:rPr>
          <w:spacing w:val="2"/>
        </w:rPr>
        <w:t>初次感染結核病的進展</w:t>
      </w:r>
    </w:p>
    <w:p>
      <w:pPr>
        <w:pStyle w:val="BodyText"/>
        <w:spacing w:line="220" w:lineRule="auto" w:before="20"/>
        <w:ind w:left="926" w:right="1357" w:firstLine="480"/>
        <w:jc w:val="both"/>
      </w:pPr>
      <w:r>
        <w:rPr>
          <w:spacing w:val="-7"/>
        </w:rPr>
        <w:t>初次感染時在胸膜下的初次感染原發病灶會形成滲出性病變，但在免疫成立前比</w:t>
      </w:r>
      <w:r>
        <w:rPr>
          <w:spacing w:val="-11"/>
        </w:rPr>
        <w:t>較早期，含結核分枝桿菌之一部分巨噬細胞會沿著淋巴管移行至肺門淋巴結，於此亦</w:t>
      </w:r>
      <w:r>
        <w:rPr/>
        <w:t>發生病變，即初感染淋巴結</w:t>
      </w:r>
      <w:r>
        <w:rPr>
          <w:color w:val="FF0000"/>
        </w:rPr>
        <w:t>(lymph node)</w:t>
      </w:r>
      <w:r>
        <w:rPr/>
        <w:t>。初次感染病灶和初感染淋巴結合稱為初感染變化群(primary complex)。初感染變化群之病灶，一般經由包被化、鈣化等過</w:t>
      </w:r>
      <w:r>
        <w:rPr>
          <w:spacing w:val="-11"/>
        </w:rPr>
        <w:t>程而治癒。大部分的人沒有發病而平安渡過一生。一部分的結核分枝桿菌經淋巴管或</w:t>
      </w:r>
      <w:r>
        <w:rPr>
          <w:spacing w:val="-10"/>
        </w:rPr>
        <w:t>血流到達易受攻擊的肺尖部。在此部位，有些結核分枝桿菌也會避過宿主細胞性免疫</w:t>
      </w:r>
      <w:r>
        <w:rPr/>
        <w:t>而繼續生存。</w:t>
      </w:r>
    </w:p>
    <w:p>
      <w:pPr>
        <w:pStyle w:val="BodyText"/>
        <w:spacing w:line="220" w:lineRule="auto" w:before="14"/>
        <w:ind w:left="897" w:right="1355" w:firstLine="480"/>
        <w:jc w:val="both"/>
      </w:pPr>
      <w:r>
        <w:rPr/>
        <w:t>初次感染結核，有些人在初次感染肺原發病灶、肺門淋巴結或兩者，會繼續造成進行性病變(progressive primary tuberculosis)。通常在感染兩個月後而結核菌素反應陽轉起五個月後發生以下臨床病況：</w:t>
      </w:r>
    </w:p>
    <w:p>
      <w:pPr>
        <w:pStyle w:val="ListParagraph"/>
        <w:numPr>
          <w:ilvl w:val="3"/>
          <w:numId w:val="1"/>
        </w:numPr>
        <w:tabs>
          <w:tab w:pos="1834" w:val="left" w:leader="none"/>
        </w:tabs>
        <w:spacing w:line="220" w:lineRule="auto" w:before="18" w:after="0"/>
        <w:ind w:left="1833" w:right="1356" w:hanging="369"/>
        <w:jc w:val="both"/>
        <w:rPr>
          <w:sz w:val="24"/>
        </w:rPr>
      </w:pPr>
      <w:r>
        <w:rPr>
          <w:spacing w:val="4"/>
          <w:sz w:val="24"/>
        </w:rPr>
        <w:t>初感染變化群之一，或兩者都比較顯著，在臨床上可以診斷，例如肺門淋</w:t>
      </w:r>
      <w:r>
        <w:rPr>
          <w:spacing w:val="2"/>
          <w:sz w:val="24"/>
        </w:rPr>
        <w:t>巴結腫脹，雙極性浸潤等。</w:t>
      </w:r>
    </w:p>
    <w:p>
      <w:pPr>
        <w:pStyle w:val="ListParagraph"/>
        <w:numPr>
          <w:ilvl w:val="3"/>
          <w:numId w:val="1"/>
        </w:numPr>
        <w:tabs>
          <w:tab w:pos="1834" w:val="left" w:leader="none"/>
        </w:tabs>
        <w:spacing w:line="220" w:lineRule="auto" w:before="16" w:after="0"/>
        <w:ind w:left="1833" w:right="1356" w:hanging="369"/>
        <w:jc w:val="both"/>
        <w:rPr>
          <w:sz w:val="24"/>
        </w:rPr>
      </w:pPr>
      <w:r>
        <w:rPr>
          <w:spacing w:val="4"/>
          <w:sz w:val="24"/>
        </w:rPr>
        <w:t>初感染原發病灶本身嚴重崩毀，發生支氣管內散播，形成滲透性很強的空</w:t>
      </w:r>
      <w:r>
        <w:rPr>
          <w:spacing w:val="2"/>
          <w:sz w:val="24"/>
        </w:rPr>
        <w:t>洞性結核，叫作原發肺癆(</w:t>
      </w:r>
      <w:r>
        <w:rPr>
          <w:sz w:val="24"/>
        </w:rPr>
        <w:t>primary</w:t>
      </w:r>
      <w:r>
        <w:rPr>
          <w:spacing w:val="3"/>
          <w:sz w:val="24"/>
        </w:rPr>
        <w:t> </w:t>
      </w:r>
      <w:r>
        <w:rPr>
          <w:sz w:val="24"/>
        </w:rPr>
        <w:t>pthisis)。</w:t>
      </w:r>
    </w:p>
    <w:p>
      <w:pPr>
        <w:pStyle w:val="ListParagraph"/>
        <w:numPr>
          <w:ilvl w:val="3"/>
          <w:numId w:val="1"/>
        </w:numPr>
        <w:tabs>
          <w:tab w:pos="1834" w:val="left" w:leader="none"/>
        </w:tabs>
        <w:spacing w:line="220" w:lineRule="auto" w:before="16" w:after="0"/>
        <w:ind w:left="1833" w:right="1338" w:hanging="369"/>
        <w:jc w:val="both"/>
        <w:rPr>
          <w:sz w:val="24"/>
        </w:rPr>
      </w:pPr>
      <w:r>
        <w:rPr>
          <w:spacing w:val="4"/>
          <w:sz w:val="24"/>
        </w:rPr>
        <w:t>淋巴結腫得很大，壓迫或破壞支氣管壁，造成肺塌陷，或阻塞性肺氣腫、</w:t>
      </w:r>
      <w:r>
        <w:rPr>
          <w:spacing w:val="21"/>
          <w:sz w:val="24"/>
        </w:rPr>
        <w:t>或阻塞性肺炎、或經支氣管而散播至其他肺野，這種現象稱為上結核</w:t>
      </w:r>
      <w:r>
        <w:rPr>
          <w:spacing w:val="-3"/>
          <w:sz w:val="24"/>
        </w:rPr>
        <w:t>(epituberculosis</w:t>
      </w:r>
      <w:r>
        <w:rPr>
          <w:spacing w:val="2"/>
          <w:sz w:val="24"/>
        </w:rPr>
        <w:t>)，胸部 </w:t>
      </w:r>
      <w:r>
        <w:rPr>
          <w:sz w:val="24"/>
        </w:rPr>
        <w:t>X</w:t>
      </w:r>
      <w:r>
        <w:rPr>
          <w:spacing w:val="3"/>
          <w:sz w:val="24"/>
        </w:rPr>
        <w:t> 光影像可見淋巴結腫大以及肺浸潤或類似大葉</w:t>
      </w:r>
      <w:r>
        <w:rPr>
          <w:spacing w:val="2"/>
          <w:sz w:val="24"/>
        </w:rPr>
        <w:t>性肺炎的陰影。臨床上有時可見頸部淋巴結腫大。</w:t>
      </w:r>
    </w:p>
    <w:p>
      <w:pPr>
        <w:pStyle w:val="ListParagraph"/>
        <w:numPr>
          <w:ilvl w:val="3"/>
          <w:numId w:val="1"/>
        </w:numPr>
        <w:tabs>
          <w:tab w:pos="1834" w:val="left" w:leader="none"/>
        </w:tabs>
        <w:spacing w:line="425" w:lineRule="exact" w:before="0" w:after="0"/>
        <w:ind w:left="1833" w:right="0" w:hanging="369"/>
        <w:jc w:val="both"/>
        <w:rPr>
          <w:sz w:val="24"/>
        </w:rPr>
      </w:pPr>
      <w:r>
        <w:rPr>
          <w:spacing w:val="3"/>
          <w:sz w:val="24"/>
        </w:rPr>
        <w:t>延續初次感染病灶，肺末梢部位小病灶有時會引發胸膜炎及胸腔積液。</w:t>
      </w:r>
    </w:p>
    <w:p>
      <w:pPr>
        <w:pStyle w:val="ListParagraph"/>
        <w:numPr>
          <w:ilvl w:val="3"/>
          <w:numId w:val="1"/>
        </w:numPr>
        <w:tabs>
          <w:tab w:pos="1834" w:val="left" w:leader="none"/>
        </w:tabs>
        <w:spacing w:line="431" w:lineRule="exact" w:before="0" w:after="0"/>
        <w:ind w:left="1833" w:right="0" w:hanging="369"/>
        <w:jc w:val="both"/>
        <w:rPr>
          <w:sz w:val="24"/>
        </w:rPr>
      </w:pPr>
      <w:r>
        <w:rPr>
          <w:spacing w:val="8"/>
          <w:sz w:val="24"/>
        </w:rPr>
        <w:t>淋巴結病灶持續進展，結核分枝桿菌進入血流中而發生粟粒結核(</w:t>
      </w:r>
      <w:r>
        <w:rPr>
          <w:sz w:val="24"/>
        </w:rPr>
        <w:t>miliary</w:t>
      </w:r>
    </w:p>
    <w:p>
      <w:pPr>
        <w:spacing w:after="0" w:line="431" w:lineRule="exact"/>
        <w:jc w:val="both"/>
        <w:rPr>
          <w:sz w:val="24"/>
        </w:rPr>
        <w:sectPr>
          <w:pgSz w:w="12250" w:h="17190"/>
          <w:pgMar w:header="0" w:footer="828" w:top="1460" w:bottom="1040" w:left="1200" w:right="0"/>
        </w:sectPr>
      </w:pPr>
    </w:p>
    <w:p>
      <w:pPr>
        <w:pStyle w:val="BodyText"/>
        <w:spacing w:line="431" w:lineRule="exact" w:before="20"/>
        <w:ind w:left="1833"/>
      </w:pPr>
      <w:r>
        <w:rPr/>
        <w:t>tuberculosis)。</w:t>
      </w:r>
    </w:p>
    <w:p>
      <w:pPr>
        <w:pStyle w:val="ListParagraph"/>
        <w:numPr>
          <w:ilvl w:val="3"/>
          <w:numId w:val="1"/>
        </w:numPr>
        <w:tabs>
          <w:tab w:pos="1834" w:val="left" w:leader="none"/>
        </w:tabs>
        <w:spacing w:line="220" w:lineRule="auto" w:before="15" w:after="0"/>
        <w:ind w:left="1833" w:right="1357" w:hanging="369"/>
        <w:jc w:val="left"/>
        <w:rPr>
          <w:sz w:val="24"/>
        </w:rPr>
      </w:pPr>
      <w:r>
        <w:rPr>
          <w:spacing w:val="-9"/>
          <w:sz w:val="24"/>
        </w:rPr>
        <w:t>同樣以血行性散播至肺外器官，如骨髓、肝、腎、脾及中樞神經系統，形成</w:t>
      </w:r>
      <w:r>
        <w:rPr>
          <w:spacing w:val="2"/>
          <w:sz w:val="24"/>
        </w:rPr>
        <w:t>肺外結核。</w:t>
      </w:r>
    </w:p>
    <w:p>
      <w:pPr>
        <w:pStyle w:val="Heading7"/>
        <w:numPr>
          <w:ilvl w:val="2"/>
          <w:numId w:val="1"/>
        </w:numPr>
        <w:tabs>
          <w:tab w:pos="942" w:val="left" w:leader="none"/>
        </w:tabs>
        <w:spacing w:line="437" w:lineRule="exact" w:before="176" w:after="0"/>
        <w:ind w:left="942" w:right="0" w:hanging="671"/>
        <w:jc w:val="left"/>
      </w:pPr>
      <w:bookmarkStart w:name="1.3.5 後初次感染(Post-primary infection)" w:id="15"/>
      <w:bookmarkEnd w:id="15"/>
      <w:r>
        <w:rPr>
          <w:b w:val="0"/>
        </w:rPr>
      </w:r>
      <w:bookmarkStart w:name="1.3.5 後初次感染(Post-primary infection)" w:id="16"/>
      <w:bookmarkEnd w:id="16"/>
      <w:r>
        <w:rPr>
          <w:spacing w:val="2"/>
        </w:rPr>
        <w:t>後初次感染(</w:t>
      </w:r>
      <w:r>
        <w:rPr/>
        <w:t>Post-primary</w:t>
      </w:r>
      <w:r>
        <w:rPr>
          <w:spacing w:val="5"/>
        </w:rPr>
        <w:t> </w:t>
      </w:r>
      <w:r>
        <w:rPr/>
        <w:t>infection)</w:t>
      </w:r>
    </w:p>
    <w:p>
      <w:pPr>
        <w:pStyle w:val="BodyText"/>
        <w:spacing w:line="223" w:lineRule="auto" w:before="18"/>
        <w:ind w:left="926" w:right="1301" w:firstLine="483"/>
        <w:jc w:val="both"/>
      </w:pPr>
      <w:r>
        <w:rPr>
          <w:spacing w:val="2"/>
        </w:rPr>
        <w:t>人體在感染後 </w:t>
      </w:r>
      <w:r>
        <w:rPr/>
        <w:t>4~8</w:t>
      </w:r>
      <w:r>
        <w:rPr>
          <w:spacing w:val="2"/>
        </w:rPr>
        <w:t> 週，由於結核分枝桿菌成分之致敏而成立免疫。但是結核</w:t>
      </w:r>
      <w:r>
        <w:rPr/>
        <w:t>分枝桿菌可能不會自宿主完全根除。少數結核分枝桿菌常常潛伏著，沒有被殺死， 也不會增殖或引起活動性結核病。部分病人還是有可能發展臨床上活動性結核病。某些病人由於結核分枝桿菌及宿主防禦機轉之間微妙的平衡終於打破，常常在多年</w:t>
      </w:r>
      <w:r>
        <w:rPr>
          <w:spacing w:val="-12"/>
        </w:rPr>
        <w:t>以後，潛伏性病灶會變成活動性。在初次感染後隔一段時間病灶再活動起來的病人， 稱為得到再活動性結核(reactivation </w:t>
      </w:r>
      <w:r>
        <w:rPr/>
        <w:t>tuberculosis)。</w:t>
      </w:r>
    </w:p>
    <w:p>
      <w:pPr>
        <w:pStyle w:val="BodyText"/>
        <w:spacing w:line="223" w:lineRule="auto"/>
        <w:ind w:left="926" w:right="1241" w:firstLine="483"/>
        <w:jc w:val="both"/>
      </w:pPr>
      <w:r>
        <w:rPr>
          <w:spacing w:val="1"/>
        </w:rPr>
        <w:t>後初次感染結核由於免疫學反應與初次感染結核不同，因而病程頗不相同。大</w:t>
      </w:r>
      <w:r>
        <w:rPr/>
        <w:t>體說來，初次感染者因結核分枝桿菌進入人體時，人體毫不設防，因此發生的病理</w:t>
      </w:r>
      <w:r>
        <w:rPr>
          <w:spacing w:val="-5"/>
        </w:rPr>
        <w:t>變化波及全身的機會較多。而後初次感染(再活動性結核)由於細胞性免疫機轉運作， </w:t>
      </w:r>
      <w:r>
        <w:rPr>
          <w:spacing w:val="-12"/>
        </w:rPr>
        <w:t>病變較常侷限於肺，發生淋巴性或血行性播散的情況較少。肺局部病變也不太相同， </w:t>
      </w:r>
      <w:r>
        <w:rPr/>
        <w:t>成人型慢性結核病，基本上是初次感染時即潛伏冬眠在體內的菌之發病。意即殘存</w:t>
      </w:r>
      <w:r>
        <w:rPr>
          <w:spacing w:val="-4"/>
        </w:rPr>
        <w:t>的結核分枝桿菌醒過來開始增生。通常，自肺尖部(S¹，S²</w:t>
      </w:r>
      <w:r>
        <w:rPr>
          <w:spacing w:val="-1"/>
        </w:rPr>
        <w:t>) 或下肺葉的上肺段</w:t>
      </w:r>
      <w:r>
        <w:rPr/>
        <w:t>（S6） 進展者多。</w:t>
      </w:r>
    </w:p>
    <w:p>
      <w:pPr>
        <w:pStyle w:val="BodyText"/>
        <w:spacing w:line="223" w:lineRule="auto"/>
        <w:ind w:left="926" w:right="1301" w:firstLine="483"/>
        <w:jc w:val="both"/>
      </w:pPr>
      <w:r>
        <w:rPr>
          <w:spacing w:val="-10"/>
        </w:rPr>
        <w:t>宿主免疫功能正常時，以結核分枝桿菌體蛋白為抗原之遲延型過敏反應的結果， </w:t>
      </w:r>
      <w:r>
        <w:rPr>
          <w:spacing w:val="-15"/>
        </w:rPr>
        <w:t>導致組織的乾酪性壞死。這些乾酪物質液化後從所屬誘導支氣管排出，而形成空洞。</w:t>
      </w:r>
      <w:r>
        <w:rPr>
          <w:spacing w:val="-20"/>
        </w:rPr>
        <w:t>結核分枝桿菌在開放性空洞內非常容易增殖。由於大量排菌，因此不但會傳染別人， </w:t>
      </w:r>
      <w:r>
        <w:rPr/>
        <w:t>也是自身健康組織受到感染的重要來源。肺內活動性病灶經支氣管以階梯式向健康</w:t>
      </w:r>
      <w:r>
        <w:rPr>
          <w:spacing w:val="-15"/>
        </w:rPr>
        <w:t>肺組織進展。在肺部，一般自背側上方向前下方，自一側向對側擴展，逐漸嚴重。喉</w:t>
      </w:r>
      <w:r>
        <w:rPr/>
        <w:t>頭結核、支氣管結核、腸結核也都是支氣管播散所致。又成人的粟粒結核是疾病晚期蔓延，經血流散布所致。</w:t>
      </w:r>
    </w:p>
    <w:p>
      <w:pPr>
        <w:pStyle w:val="BodyText"/>
        <w:spacing w:line="223" w:lineRule="auto"/>
        <w:ind w:left="926" w:right="1358" w:firstLine="483"/>
        <w:jc w:val="both"/>
      </w:pPr>
      <w:r>
        <w:rPr/>
        <w:t>初次感染後隨即發病的初次感染結核，以及因內因性再活化所致之後初感染結核，並不是本質上不同，而是時間相差、局部之菌量或菌之毒力，與人體細胞性免疫能力之間的平衡不同。接種卡介苗後，可以阻止初次感染變化群之後的淋巴管及血行性進展，尤其是阻止胸膜炎、粟粒結核、腦膜炎等。</w:t>
      </w:r>
    </w:p>
    <w:p>
      <w:pPr>
        <w:pStyle w:val="BodyText"/>
        <w:spacing w:line="223" w:lineRule="auto"/>
        <w:ind w:left="926" w:right="1357" w:firstLine="487"/>
        <w:jc w:val="both"/>
      </w:pPr>
      <w:r>
        <w:rPr>
          <w:spacing w:val="3"/>
        </w:rPr>
        <w:t>人的結核病因外來再感染(</w:t>
      </w:r>
      <w:r>
        <w:rPr/>
        <w:t>reinfection)</w:t>
      </w:r>
      <w:r>
        <w:rPr>
          <w:spacing w:val="4"/>
        </w:rPr>
        <w:t>的機會過去都認為很低，但是如果菌暴</w:t>
      </w:r>
      <w:r>
        <w:rPr>
          <w:spacing w:val="-3"/>
        </w:rPr>
        <w:t>露量很多或免疫功能顯著受抑制時，如 </w:t>
      </w:r>
      <w:r>
        <w:rPr/>
        <w:t>HIV</w:t>
      </w:r>
      <w:r>
        <w:rPr>
          <w:spacing w:val="-7"/>
        </w:rPr>
        <w:t> 感染者，也可重新得另一次感染而再發</w:t>
      </w:r>
      <w:r>
        <w:rPr/>
        <w:t>病。近幾年由於分子生物學的發達，已有不少報告證實再感染並不是像以前所想的那樣稀少。</w:t>
      </w:r>
    </w:p>
    <w:p>
      <w:pPr>
        <w:pStyle w:val="BodyText"/>
        <w:spacing w:before="2"/>
        <w:rPr>
          <w:sz w:val="31"/>
        </w:rPr>
      </w:pPr>
    </w:p>
    <w:p>
      <w:pPr>
        <w:pStyle w:val="Heading7"/>
        <w:numPr>
          <w:ilvl w:val="2"/>
          <w:numId w:val="1"/>
        </w:numPr>
        <w:tabs>
          <w:tab w:pos="942" w:val="left" w:leader="none"/>
        </w:tabs>
        <w:spacing w:line="240" w:lineRule="auto" w:before="0" w:after="0"/>
        <w:ind w:left="942" w:right="0" w:hanging="671"/>
        <w:jc w:val="left"/>
      </w:pPr>
      <w:bookmarkStart w:name="1.3.6 結核病灶治癒過程形態學變化" w:id="17"/>
      <w:bookmarkEnd w:id="17"/>
      <w:r>
        <w:rPr>
          <w:b w:val="0"/>
        </w:rPr>
      </w:r>
      <w:bookmarkStart w:name="1.3.6 結核病灶治癒過程形態學變化" w:id="18"/>
      <w:bookmarkEnd w:id="18"/>
      <w:r>
        <w:rPr>
          <w:spacing w:val="3"/>
        </w:rPr>
        <w:t>結核病灶治癒過程形態學變化</w:t>
      </w:r>
    </w:p>
    <w:p>
      <w:pPr>
        <w:spacing w:after="0" w:line="240" w:lineRule="auto"/>
        <w:jc w:val="left"/>
        <w:sectPr>
          <w:pgSz w:w="12250" w:h="17190"/>
          <w:pgMar w:header="0" w:footer="828" w:top="1460" w:bottom="1020" w:left="1200" w:right="0"/>
        </w:sectPr>
      </w:pPr>
    </w:p>
    <w:p>
      <w:pPr>
        <w:pStyle w:val="BodyText"/>
        <w:spacing w:line="223" w:lineRule="auto" w:before="45"/>
        <w:ind w:left="926" w:right="1357" w:firstLine="487"/>
        <w:jc w:val="both"/>
      </w:pPr>
      <w:r>
        <w:rPr/>
        <w:pict>
          <v:group style="position:absolute;margin-left:567pt;margin-top:.123696pt;width:45.5pt;height:151.9pt;mso-position-horizontal-relative:page;mso-position-vertical-relative:paragraph;z-index:251663360" coordorigin="11340,2" coordsize="910,3038">
            <v:shape style="position:absolute;left:11340;top:2;width:910;height:3038" coordorigin="11340,2" coordsize="910,3038" path="m12167,2l11505,2,11441,15,11388,51,11353,103,11340,168,11340,2875,11353,2939,11388,2992,11441,3027,11505,3040,12167,3040,12231,3027,12250,3015,12250,28,12231,15,12167,2xe" filled="true" fillcolor="#a6a6a6" stroked="false">
              <v:path arrowok="t"/>
              <v:fill type="solid"/>
            </v:shape>
            <v:shape style="position:absolute;left:11340;top:2;width:910;height:3038" type="#_x0000_t202" filled="false" stroked="false">
              <v:textbox inset="0,0,0,0">
                <w:txbxContent>
                  <w:p>
                    <w:pPr>
                      <w:spacing w:line="141" w:lineRule="auto" w:before="132"/>
                      <w:ind w:left="136" w:right="551" w:firstLine="0"/>
                      <w:jc w:val="both"/>
                      <w:rPr>
                        <w:sz w:val="22"/>
                      </w:rPr>
                    </w:pPr>
                    <w:r>
                      <w:rPr>
                        <w:sz w:val="22"/>
                      </w:rPr>
                      <w:t>第一章</w:t>
                    </w:r>
                  </w:p>
                  <w:p>
                    <w:pPr>
                      <w:spacing w:line="141" w:lineRule="auto" w:before="183"/>
                      <w:ind w:left="136" w:right="551" w:firstLine="0"/>
                      <w:jc w:val="both"/>
                      <w:rPr>
                        <w:sz w:val="22"/>
                      </w:rPr>
                    </w:pPr>
                    <w:r>
                      <w:rPr>
                        <w:sz w:val="22"/>
                      </w:rPr>
                      <w:t>結核病的基礎知識</w:t>
                    </w:r>
                  </w:p>
                </w:txbxContent>
              </v:textbox>
              <w10:wrap type="none"/>
            </v:shape>
            <w10:wrap type="none"/>
          </v:group>
        </w:pict>
      </w:r>
      <w:r>
        <w:rPr/>
        <w:t>結核病的治癒過程中，其形態變化包括消退、纖維化、包被化及鈣化等四種方式。通常這種方式都混合進行。空洞性結核，如果其引流支氣管閉鎖，而壞死物質殘留著，嗣後乾酪病灶被包被，即為閉鎖性治癒。若壞死物質完全排出之後，空洞壁只剩下膠原纖維但空洞仍在者稱為開放性治癒(open negative)。有些空洞閉鎖後成為結締組織塊，即是瘢痕性治癒。不過，以上所述皆只是形態學上的治癒過程，若沒有給予殺菌性抗結核藥物治療，在治癒病灶內部之結核分枝桿菌仍然可以繼續生存，伺機再發病。</w:t>
      </w:r>
    </w:p>
    <w:p>
      <w:pPr>
        <w:pStyle w:val="Heading7"/>
        <w:numPr>
          <w:ilvl w:val="2"/>
          <w:numId w:val="1"/>
        </w:numPr>
        <w:tabs>
          <w:tab w:pos="942" w:val="left" w:leader="none"/>
        </w:tabs>
        <w:spacing w:line="435" w:lineRule="exact" w:before="170" w:after="0"/>
        <w:ind w:left="942" w:right="0" w:hanging="671"/>
        <w:jc w:val="both"/>
      </w:pPr>
      <w:bookmarkStart w:name="1.3.7 孩童結核病的時序表" w:id="19"/>
      <w:bookmarkEnd w:id="19"/>
      <w:r>
        <w:rPr>
          <w:b w:val="0"/>
        </w:rPr>
      </w:r>
      <w:bookmarkStart w:name="1.3.7 孩童結核病的時序表" w:id="20"/>
      <w:bookmarkEnd w:id="20"/>
      <w:r>
        <w:rPr>
          <w:spacing w:val="3"/>
        </w:rPr>
        <w:t>孩童結核病的時序表</w:t>
      </w:r>
    </w:p>
    <w:p>
      <w:pPr>
        <w:pStyle w:val="BodyText"/>
        <w:spacing w:line="220" w:lineRule="auto" w:before="20"/>
        <w:ind w:left="931" w:right="1297" w:firstLine="492"/>
        <w:jc w:val="both"/>
      </w:pPr>
      <w:r>
        <w:rPr>
          <w:spacing w:val="7"/>
        </w:rPr>
        <w:t>感染後 </w:t>
      </w:r>
      <w:r>
        <w:rPr/>
        <w:t>2</w:t>
      </w:r>
      <w:r>
        <w:rPr>
          <w:spacing w:val="6"/>
        </w:rPr>
        <w:t> 至  </w:t>
      </w:r>
      <w:r>
        <w:rPr/>
        <w:t>8  週，主要的病灶是初感染結核複合群、結核菌素反應陽轉及結</w:t>
      </w:r>
      <w:r>
        <w:rPr>
          <w:spacing w:val="-10"/>
        </w:rPr>
        <w:t>節性紅斑。</w:t>
      </w:r>
      <w:r>
        <w:rPr/>
        <w:t>3</w:t>
      </w:r>
      <w:r>
        <w:rPr>
          <w:spacing w:val="-15"/>
        </w:rPr>
        <w:t> 個月時，血行性散播、發生粟粒性結核、結核性腦膜炎。</w:t>
      </w:r>
      <w:r>
        <w:rPr/>
        <w:t>3 至 6</w:t>
      </w:r>
      <w:r>
        <w:rPr>
          <w:spacing w:val="-10"/>
        </w:rPr>
        <w:t> 個月， </w:t>
      </w:r>
      <w:r>
        <w:rPr>
          <w:spacing w:val="-2"/>
        </w:rPr>
        <w:t>發生肋膜炎及肋膜腔積液。</w:t>
      </w:r>
      <w:r>
        <w:rPr/>
        <w:t>3 至 9</w:t>
      </w:r>
      <w:r>
        <w:rPr>
          <w:spacing w:val="-6"/>
        </w:rPr>
        <w:t>  個月，自腫大的淋巴結直接散播、引發支氣管內</w:t>
      </w:r>
      <w:r>
        <w:rPr>
          <w:spacing w:val="4"/>
        </w:rPr>
        <w:t>結核、導致肺分葉萎陷。</w:t>
      </w:r>
      <w:r>
        <w:rPr/>
        <w:t>1</w:t>
      </w:r>
      <w:r>
        <w:rPr>
          <w:spacing w:val="5"/>
        </w:rPr>
        <w:t> 至 </w:t>
      </w:r>
      <w:r>
        <w:rPr/>
        <w:t>3</w:t>
      </w:r>
      <w:r>
        <w:rPr>
          <w:spacing w:val="4"/>
        </w:rPr>
        <w:t>  年初感染群消散，發生骨關節結核及肺部後初感染病灶。</w:t>
      </w:r>
      <w:r>
        <w:rPr/>
        <w:t>5</w:t>
      </w:r>
      <w:r>
        <w:rPr>
          <w:spacing w:val="5"/>
        </w:rPr>
        <w:t> 至 </w:t>
      </w:r>
      <w:r>
        <w:rPr/>
        <w:t>7</w:t>
      </w:r>
      <w:r>
        <w:rPr>
          <w:spacing w:val="2"/>
        </w:rPr>
        <w:t>  年，腎結核發生。其後因再活動或新感染而發生肺部後初感染病</w:t>
      </w:r>
      <w:r>
        <w:rPr>
          <w:spacing w:val="4"/>
        </w:rPr>
        <w:t>灶。</w:t>
      </w:r>
    </w:p>
    <w:p>
      <w:pPr>
        <w:pStyle w:val="BodyText"/>
        <w:spacing w:before="14"/>
        <w:rPr>
          <w:sz w:val="20"/>
        </w:rPr>
      </w:pPr>
    </w:p>
    <w:p>
      <w:pPr>
        <w:pStyle w:val="Heading6"/>
        <w:numPr>
          <w:ilvl w:val="1"/>
          <w:numId w:val="1"/>
        </w:numPr>
        <w:tabs>
          <w:tab w:pos="676" w:val="left" w:leader="none"/>
        </w:tabs>
        <w:spacing w:line="456" w:lineRule="exact" w:before="1" w:after="0"/>
        <w:ind w:left="675" w:right="0" w:hanging="516"/>
        <w:jc w:val="both"/>
      </w:pPr>
      <w:bookmarkStart w:name="1.4 結語" w:id="21"/>
      <w:bookmarkEnd w:id="21"/>
      <w:r>
        <w:rPr>
          <w:b w:val="0"/>
        </w:rPr>
      </w:r>
      <w:bookmarkStart w:name="1.4 結語" w:id="22"/>
      <w:bookmarkEnd w:id="22"/>
      <w:r>
        <w:rPr/>
        <w:t>結語</w:t>
      </w:r>
    </w:p>
    <w:p>
      <w:pPr>
        <w:pStyle w:val="BodyText"/>
        <w:spacing w:line="220" w:lineRule="auto" w:before="21"/>
        <w:ind w:left="670" w:right="1355" w:firstLine="482"/>
        <w:jc w:val="both"/>
      </w:pPr>
      <w:r>
        <w:rPr>
          <w:spacing w:val="-4"/>
        </w:rPr>
        <w:t>結核病是可治癒的疾病，然而這古老的疾病仍然危害人類。防癆工作最重要的是找出病人徹底治療，</w:t>
      </w:r>
      <w:r>
        <w:rPr>
          <w:color w:val="FF0000"/>
          <w:spacing w:val="-4"/>
        </w:rPr>
        <w:t>同時更進一步，防範疾病於未然！</w:t>
      </w:r>
      <w:r>
        <w:rPr>
          <w:spacing w:val="-4"/>
        </w:rPr>
        <w:t>要達到目標有許多措施，但看診醫</w:t>
      </w:r>
      <w:r>
        <w:rPr>
          <w:spacing w:val="-5"/>
        </w:rPr>
        <w:t>師及其他醫療工作者，若能對結核病有充分的了解，對診斷與治療定有幫助。</w:t>
      </w:r>
    </w:p>
    <w:p>
      <w:pPr>
        <w:spacing w:after="0" w:line="220" w:lineRule="auto"/>
        <w:jc w:val="both"/>
        <w:sectPr>
          <w:pgSz w:w="12250" w:h="17190"/>
          <w:pgMar w:header="0" w:footer="828" w:top="1460" w:bottom="1040" w:left="1200" w:right="0"/>
        </w:sectPr>
      </w:pPr>
    </w:p>
    <w:p>
      <w:pPr>
        <w:pStyle w:val="Heading6"/>
        <w:spacing w:before="20"/>
        <w:ind w:left="160"/>
      </w:pPr>
      <w:r>
        <w:rPr/>
        <w:t>參考文獻</w:t>
      </w:r>
    </w:p>
    <w:p>
      <w:pPr>
        <w:pStyle w:val="ListParagraph"/>
        <w:numPr>
          <w:ilvl w:val="0"/>
          <w:numId w:val="2"/>
        </w:numPr>
        <w:tabs>
          <w:tab w:pos="952" w:val="left" w:leader="none"/>
        </w:tabs>
        <w:spacing w:line="225" w:lineRule="auto" w:before="19" w:after="0"/>
        <w:ind w:left="951" w:right="1360" w:hanging="351"/>
        <w:jc w:val="left"/>
        <w:rPr>
          <w:sz w:val="23"/>
        </w:rPr>
      </w:pPr>
      <w:r>
        <w:rPr>
          <w:sz w:val="23"/>
        </w:rPr>
        <w:t>Wayne LG. Kubica GP. The mycobacteria. In: Sneath PHA, et al., eds. Bergey’s Manual</w:t>
      </w:r>
      <w:r>
        <w:rPr>
          <w:spacing w:val="24"/>
          <w:sz w:val="23"/>
        </w:rPr>
        <w:t> </w:t>
      </w:r>
      <w:r>
        <w:rPr>
          <w:sz w:val="23"/>
        </w:rPr>
        <w:t>of</w:t>
      </w:r>
      <w:r>
        <w:rPr>
          <w:spacing w:val="24"/>
          <w:sz w:val="23"/>
        </w:rPr>
        <w:t> </w:t>
      </w:r>
      <w:r>
        <w:rPr>
          <w:sz w:val="23"/>
        </w:rPr>
        <w:t>Systemic</w:t>
      </w:r>
      <w:r>
        <w:rPr>
          <w:spacing w:val="25"/>
          <w:sz w:val="23"/>
        </w:rPr>
        <w:t> </w:t>
      </w:r>
      <w:r>
        <w:rPr>
          <w:sz w:val="23"/>
        </w:rPr>
        <w:t>Bacteriology.</w:t>
      </w:r>
      <w:r>
        <w:rPr>
          <w:spacing w:val="24"/>
          <w:sz w:val="23"/>
        </w:rPr>
        <w:t> </w:t>
      </w:r>
      <w:r>
        <w:rPr>
          <w:sz w:val="23"/>
        </w:rPr>
        <w:t>Baltimore:</w:t>
      </w:r>
      <w:r>
        <w:rPr>
          <w:spacing w:val="24"/>
          <w:sz w:val="23"/>
        </w:rPr>
        <w:t> </w:t>
      </w:r>
      <w:r>
        <w:rPr>
          <w:sz w:val="23"/>
        </w:rPr>
        <w:t>Williams</w:t>
      </w:r>
      <w:r>
        <w:rPr>
          <w:spacing w:val="24"/>
          <w:sz w:val="23"/>
        </w:rPr>
        <w:t> </w:t>
      </w:r>
      <w:r>
        <w:rPr>
          <w:sz w:val="23"/>
        </w:rPr>
        <w:t>and</w:t>
      </w:r>
      <w:r>
        <w:rPr>
          <w:spacing w:val="24"/>
          <w:sz w:val="23"/>
        </w:rPr>
        <w:t> </w:t>
      </w:r>
      <w:r>
        <w:rPr>
          <w:sz w:val="23"/>
        </w:rPr>
        <w:t>Wilkins;</w:t>
      </w:r>
      <w:r>
        <w:rPr>
          <w:spacing w:val="24"/>
          <w:sz w:val="23"/>
        </w:rPr>
        <w:t> </w:t>
      </w:r>
      <w:r>
        <w:rPr>
          <w:sz w:val="23"/>
        </w:rPr>
        <w:t>1989.</w:t>
      </w:r>
      <w:r>
        <w:rPr>
          <w:spacing w:val="25"/>
          <w:sz w:val="23"/>
        </w:rPr>
        <w:t> </w:t>
      </w:r>
      <w:r>
        <w:rPr>
          <w:sz w:val="23"/>
        </w:rPr>
        <w:t>p.1435</w:t>
      </w:r>
    </w:p>
    <w:p>
      <w:pPr>
        <w:spacing w:line="397" w:lineRule="exact" w:before="0"/>
        <w:ind w:left="951" w:right="0" w:firstLine="0"/>
        <w:jc w:val="left"/>
        <w:rPr>
          <w:sz w:val="23"/>
        </w:rPr>
      </w:pPr>
      <w:r>
        <w:rPr>
          <w:sz w:val="23"/>
        </w:rPr>
        <w:t>-57.</w:t>
      </w:r>
    </w:p>
    <w:p>
      <w:pPr>
        <w:pStyle w:val="ListParagraph"/>
        <w:numPr>
          <w:ilvl w:val="0"/>
          <w:numId w:val="2"/>
        </w:numPr>
        <w:tabs>
          <w:tab w:pos="952" w:val="left" w:leader="none"/>
        </w:tabs>
        <w:spacing w:line="225" w:lineRule="auto" w:before="8" w:after="0"/>
        <w:ind w:left="951" w:right="1359" w:hanging="351"/>
        <w:jc w:val="both"/>
        <w:rPr>
          <w:sz w:val="23"/>
        </w:rPr>
      </w:pPr>
      <w:r>
        <w:rPr>
          <w:sz w:val="23"/>
        </w:rPr>
        <w:t>Nardell EA. Piessens WF. Transmission of Tuberculosis. In: Reichman LB., Hershfield ES. Eds. Tuberculosis: a Comprehensive International Approach. 2nd ed. New York: Marcel Decker, Inc; 2000. p. 215</w:t>
      </w:r>
      <w:r>
        <w:rPr>
          <w:spacing w:val="33"/>
          <w:sz w:val="23"/>
        </w:rPr>
        <w:t> </w:t>
      </w:r>
      <w:r>
        <w:rPr>
          <w:sz w:val="23"/>
        </w:rPr>
        <w:t>-40.</w:t>
      </w:r>
    </w:p>
    <w:p>
      <w:pPr>
        <w:pStyle w:val="ListParagraph"/>
        <w:numPr>
          <w:ilvl w:val="0"/>
          <w:numId w:val="2"/>
        </w:numPr>
        <w:tabs>
          <w:tab w:pos="952" w:val="left" w:leader="none"/>
        </w:tabs>
        <w:spacing w:line="225" w:lineRule="auto" w:before="7" w:after="0"/>
        <w:ind w:left="951" w:right="1361" w:hanging="351"/>
        <w:jc w:val="both"/>
        <w:rPr>
          <w:sz w:val="23"/>
        </w:rPr>
      </w:pPr>
      <w:r>
        <w:rPr>
          <w:sz w:val="23"/>
        </w:rPr>
        <w:t>Grange JM. Immunophysiology and Immunopathology. In: Davis PDO, ed. Clinical Tuberculosis, 3rd ed. London: Arnold; 2003. p. 88</w:t>
      </w:r>
      <w:r>
        <w:rPr>
          <w:spacing w:val="45"/>
          <w:sz w:val="23"/>
        </w:rPr>
        <w:t> </w:t>
      </w:r>
      <w:r>
        <w:rPr>
          <w:sz w:val="23"/>
        </w:rPr>
        <w:t>–104.</w:t>
      </w:r>
    </w:p>
    <w:p>
      <w:pPr>
        <w:pStyle w:val="ListParagraph"/>
        <w:numPr>
          <w:ilvl w:val="0"/>
          <w:numId w:val="2"/>
        </w:numPr>
        <w:tabs>
          <w:tab w:pos="952" w:val="left" w:leader="none"/>
        </w:tabs>
        <w:spacing w:line="397" w:lineRule="exact" w:before="0" w:after="0"/>
        <w:ind w:left="951" w:right="0" w:hanging="352"/>
        <w:jc w:val="both"/>
        <w:rPr>
          <w:sz w:val="23"/>
        </w:rPr>
      </w:pPr>
      <w:r>
        <w:rPr>
          <w:sz w:val="23"/>
        </w:rPr>
        <w:t>Wallgren A. The time table of the tuberculosis. Tubercle 1948;29: 245</w:t>
      </w:r>
      <w:r>
        <w:rPr>
          <w:spacing w:val="55"/>
          <w:sz w:val="23"/>
        </w:rPr>
        <w:t> </w:t>
      </w:r>
      <w:r>
        <w:rPr>
          <w:sz w:val="23"/>
        </w:rPr>
        <w:t>–51.</w:t>
      </w:r>
    </w:p>
    <w:p>
      <w:pPr>
        <w:pStyle w:val="ListParagraph"/>
        <w:numPr>
          <w:ilvl w:val="0"/>
          <w:numId w:val="2"/>
        </w:numPr>
        <w:tabs>
          <w:tab w:pos="952" w:val="left" w:leader="none"/>
        </w:tabs>
        <w:spacing w:line="225" w:lineRule="auto" w:before="7" w:after="0"/>
        <w:ind w:left="951" w:right="1358" w:hanging="351"/>
        <w:jc w:val="both"/>
        <w:rPr>
          <w:sz w:val="23"/>
        </w:rPr>
      </w:pPr>
      <w:r>
        <w:rPr>
          <w:sz w:val="23"/>
        </w:rPr>
        <w:t>Davies PDO. Respiratory Tuberculosis. In Davies PDO, ed. Clinical Tuberculosis, 3rd ed. London; Arnold; 2003, p. 107</w:t>
      </w:r>
      <w:r>
        <w:rPr>
          <w:spacing w:val="27"/>
          <w:sz w:val="23"/>
        </w:rPr>
        <w:t> </w:t>
      </w:r>
      <w:r>
        <w:rPr>
          <w:sz w:val="23"/>
        </w:rPr>
        <w:t>-24.</w:t>
      </w:r>
    </w:p>
    <w:p>
      <w:pPr>
        <w:spacing w:after="0" w:line="225" w:lineRule="auto"/>
        <w:jc w:val="both"/>
        <w:rPr>
          <w:sz w:val="23"/>
        </w:rPr>
        <w:sectPr>
          <w:pgSz w:w="12250" w:h="17190"/>
          <w:pgMar w:header="0" w:footer="828" w:top="1440" w:bottom="1020" w:left="1200" w:right="0"/>
        </w:sectPr>
      </w:pPr>
    </w:p>
    <w:p>
      <w:pPr>
        <w:pStyle w:val="Heading1"/>
        <w:tabs>
          <w:tab w:pos="3999" w:val="left" w:leader="none"/>
        </w:tabs>
        <w:ind w:left="2520"/>
      </w:pPr>
      <w:r>
        <w:rPr/>
        <w:pict>
          <v:group style="position:absolute;margin-left:567pt;margin-top:5.5298pt;width:45.5pt;height:163.550pt;mso-position-horizontal-relative:page;mso-position-vertical-relative:paragraph;z-index:251665408" coordorigin="11340,111" coordsize="910,3271">
            <v:shape style="position:absolute;left:11340;top:110;width:910;height:3271" coordorigin="11340,111" coordsize="910,3271" path="m12167,111l11505,111,11441,124,11388,159,11353,212,11340,276,11340,3216,11353,3281,11388,3333,11441,3369,11505,3382,12167,3382,12231,3369,12250,3356,12250,136,12231,124,12167,111xe" filled="true" fillcolor="#a6a6a6" stroked="false">
              <v:path arrowok="t"/>
              <v:fill type="solid"/>
            </v:shape>
            <v:shape style="position:absolute;left:11340;top:110;width:910;height:3271" type="#_x0000_t202" filled="false" stroked="false">
              <v:textbox inset="0,0,0,0">
                <w:txbxContent>
                  <w:p>
                    <w:pPr>
                      <w:spacing w:line="146" w:lineRule="auto" w:before="126"/>
                      <w:ind w:left="136" w:right="551" w:firstLine="0"/>
                      <w:jc w:val="both"/>
                      <w:rPr>
                        <w:sz w:val="22"/>
                      </w:rPr>
                    </w:pPr>
                    <w:r>
                      <w:rPr>
                        <w:sz w:val="22"/>
                      </w:rPr>
                      <w:t>第二章</w:t>
                    </w:r>
                  </w:p>
                  <w:p>
                    <w:pPr>
                      <w:spacing w:line="141" w:lineRule="auto" w:before="175"/>
                      <w:ind w:left="136" w:right="551" w:firstLine="0"/>
                      <w:jc w:val="both"/>
                      <w:rPr>
                        <w:sz w:val="22"/>
                      </w:rPr>
                    </w:pPr>
                    <w:r>
                      <w:rPr>
                        <w:sz w:val="22"/>
                      </w:rPr>
                      <w:t>結核病的分類與定義</w:t>
                    </w:r>
                  </w:p>
                </w:txbxContent>
              </v:textbox>
              <w10:wrap type="none"/>
            </v:shape>
            <w10:wrap type="none"/>
          </v:group>
        </w:pict>
      </w:r>
      <w:r>
        <w:rPr/>
        <w:t>第二章</w:t>
        <w:tab/>
        <w:t>結核病的分類與定義</w:t>
      </w:r>
    </w:p>
    <w:p>
      <w:pPr>
        <w:pStyle w:val="BodyText"/>
        <w:spacing w:line="220" w:lineRule="auto" w:before="177"/>
        <w:ind w:left="160" w:right="1369" w:firstLine="480"/>
        <w:jc w:val="both"/>
      </w:pPr>
      <w:r>
        <w:rPr/>
        <w:t>為結核 (tuberculosis, TB) 個案下定義之目的包括：(1)病人的登記 (Registration) 與通報 (Notification)；(2)評估結核疫情之演變，尤其是細菌學確診之結核個案之流行趨勢； (3)以標準化之處方治療結核病人；(4)針對治療結果進行世代分析 (Cohort analysis) 以評估結核病防治成效。</w:t>
      </w:r>
    </w:p>
    <w:p>
      <w:pPr>
        <w:pStyle w:val="BodyText"/>
        <w:spacing w:before="8"/>
        <w:rPr>
          <w:sz w:val="16"/>
        </w:rPr>
      </w:pPr>
    </w:p>
    <w:p>
      <w:pPr>
        <w:pStyle w:val="Heading6"/>
        <w:numPr>
          <w:ilvl w:val="1"/>
          <w:numId w:val="3"/>
        </w:numPr>
        <w:tabs>
          <w:tab w:pos="636" w:val="left" w:leader="none"/>
        </w:tabs>
        <w:spacing w:line="445" w:lineRule="exact" w:before="0" w:after="0"/>
        <w:ind w:left="636" w:right="0" w:hanging="476"/>
        <w:jc w:val="left"/>
      </w:pPr>
      <w:bookmarkStart w:name="2.1 個案定義" w:id="23"/>
      <w:bookmarkEnd w:id="23"/>
      <w:r>
        <w:rPr>
          <w:b w:val="0"/>
        </w:rPr>
      </w:r>
      <w:bookmarkStart w:name="2.1 個案定義" w:id="24"/>
      <w:bookmarkEnd w:id="24"/>
      <w:r>
        <w:rPr/>
        <w:t>個案定義</w:t>
      </w:r>
    </w:p>
    <w:p>
      <w:pPr>
        <w:pStyle w:val="ListParagraph"/>
        <w:numPr>
          <w:ilvl w:val="0"/>
          <w:numId w:val="4"/>
        </w:numPr>
        <w:tabs>
          <w:tab w:pos="632" w:val="left" w:leader="none"/>
        </w:tabs>
        <w:spacing w:line="410" w:lineRule="exact" w:before="0" w:after="0"/>
        <w:ind w:left="631" w:right="0" w:hanging="361"/>
        <w:jc w:val="left"/>
        <w:rPr>
          <w:sz w:val="24"/>
        </w:rPr>
      </w:pPr>
      <w:r>
        <w:rPr>
          <w:spacing w:val="9"/>
          <w:sz w:val="24"/>
        </w:rPr>
        <w:t>疑似個案 (</w:t>
      </w:r>
      <w:r>
        <w:rPr>
          <w:sz w:val="24"/>
        </w:rPr>
        <w:t>presumptive TB)：有疑似結核病症狀或徵候之病人。</w:t>
      </w:r>
    </w:p>
    <w:p>
      <w:pPr>
        <w:pStyle w:val="ListParagraph"/>
        <w:numPr>
          <w:ilvl w:val="0"/>
          <w:numId w:val="4"/>
        </w:numPr>
        <w:tabs>
          <w:tab w:pos="632" w:val="left" w:leader="none"/>
        </w:tabs>
        <w:spacing w:line="408" w:lineRule="exact" w:before="0" w:after="0"/>
        <w:ind w:left="631" w:right="0" w:hanging="361"/>
        <w:jc w:val="left"/>
        <w:rPr>
          <w:sz w:val="24"/>
        </w:rPr>
      </w:pPr>
      <w:r>
        <w:rPr>
          <w:spacing w:val="11"/>
          <w:sz w:val="24"/>
        </w:rPr>
        <w:t>結核個案 </w:t>
      </w:r>
      <w:r>
        <w:rPr>
          <w:sz w:val="24"/>
        </w:rPr>
        <w:t>(TB</w:t>
      </w:r>
      <w:r>
        <w:rPr>
          <w:spacing w:val="-4"/>
          <w:sz w:val="24"/>
        </w:rPr>
        <w:t> </w:t>
      </w:r>
      <w:r>
        <w:rPr>
          <w:sz w:val="24"/>
        </w:rPr>
        <w:t>case)：包含細菌學確診與臨床診斷之結核個案。</w:t>
      </w:r>
    </w:p>
    <w:p>
      <w:pPr>
        <w:pStyle w:val="ListParagraph"/>
        <w:numPr>
          <w:ilvl w:val="1"/>
          <w:numId w:val="4"/>
        </w:numPr>
        <w:tabs>
          <w:tab w:pos="1109" w:val="left" w:leader="none"/>
        </w:tabs>
        <w:spacing w:line="220" w:lineRule="auto" w:before="9" w:after="0"/>
        <w:ind w:left="1093" w:right="1367" w:hanging="492"/>
        <w:jc w:val="left"/>
        <w:rPr>
          <w:sz w:val="24"/>
        </w:rPr>
      </w:pPr>
      <w:r>
        <w:rPr>
          <w:spacing w:val="4"/>
          <w:sz w:val="24"/>
        </w:rPr>
        <w:t>細菌學確診之結核個案 (</w:t>
      </w:r>
      <w:r>
        <w:rPr>
          <w:sz w:val="24"/>
        </w:rPr>
        <w:t>bacteriologically</w:t>
      </w:r>
      <w:r>
        <w:rPr>
          <w:spacing w:val="42"/>
          <w:sz w:val="24"/>
        </w:rPr>
        <w:t> </w:t>
      </w:r>
      <w:r>
        <w:rPr>
          <w:sz w:val="24"/>
        </w:rPr>
        <w:t>confirmed</w:t>
      </w:r>
      <w:r>
        <w:rPr>
          <w:spacing w:val="42"/>
          <w:sz w:val="24"/>
        </w:rPr>
        <w:t> </w:t>
      </w:r>
      <w:r>
        <w:rPr>
          <w:sz w:val="24"/>
        </w:rPr>
        <w:t>TB</w:t>
      </w:r>
      <w:r>
        <w:rPr>
          <w:spacing w:val="42"/>
          <w:sz w:val="24"/>
        </w:rPr>
        <w:t> </w:t>
      </w:r>
      <w:r>
        <w:rPr>
          <w:sz w:val="24"/>
        </w:rPr>
        <w:t>case</w:t>
      </w:r>
      <w:r>
        <w:rPr>
          <w:spacing w:val="3"/>
          <w:sz w:val="24"/>
        </w:rPr>
        <w:t>)：結核病人痰或</w:t>
      </w:r>
      <w:r>
        <w:rPr>
          <w:spacing w:val="5"/>
          <w:sz w:val="24"/>
        </w:rPr>
        <w:t>其他臨床檢體</w:t>
      </w:r>
    </w:p>
    <w:p>
      <w:pPr>
        <w:pStyle w:val="ListParagraph"/>
        <w:numPr>
          <w:ilvl w:val="2"/>
          <w:numId w:val="4"/>
        </w:numPr>
        <w:tabs>
          <w:tab w:pos="1852" w:val="left" w:leader="none"/>
        </w:tabs>
        <w:spacing w:line="220" w:lineRule="auto" w:before="0" w:after="0"/>
        <w:ind w:left="1851" w:right="1355" w:hanging="756"/>
        <w:jc w:val="both"/>
        <w:rPr>
          <w:sz w:val="24"/>
        </w:rPr>
      </w:pPr>
      <w:r>
        <w:rPr>
          <w:spacing w:val="3"/>
          <w:sz w:val="24"/>
        </w:rPr>
        <w:t>結核分枝桿菌群 (</w:t>
      </w:r>
      <w:r>
        <w:rPr>
          <w:i/>
          <w:sz w:val="25"/>
        </w:rPr>
        <w:t>Mycobacterium</w:t>
      </w:r>
      <w:r>
        <w:rPr>
          <w:i/>
          <w:spacing w:val="-2"/>
          <w:sz w:val="25"/>
        </w:rPr>
        <w:t> </w:t>
      </w:r>
      <w:r>
        <w:rPr>
          <w:i/>
          <w:sz w:val="25"/>
        </w:rPr>
        <w:t>tuberculosis</w:t>
      </w:r>
      <w:r>
        <w:rPr>
          <w:i/>
          <w:spacing w:val="-2"/>
          <w:sz w:val="25"/>
        </w:rPr>
        <w:t> </w:t>
      </w:r>
      <w:r>
        <w:rPr>
          <w:sz w:val="24"/>
        </w:rPr>
        <w:t>complex)</w:t>
      </w:r>
      <w:r>
        <w:rPr>
          <w:spacing w:val="3"/>
          <w:sz w:val="24"/>
        </w:rPr>
        <w:t> 培養陽性：包</w:t>
      </w:r>
      <w:r>
        <w:rPr>
          <w:spacing w:val="5"/>
          <w:sz w:val="24"/>
        </w:rPr>
        <w:t>含塗片耐酸性染色鏡檢 </w:t>
      </w:r>
      <w:r>
        <w:rPr>
          <w:sz w:val="24"/>
        </w:rPr>
        <w:t>(smear</w:t>
      </w:r>
      <w:r>
        <w:rPr>
          <w:spacing w:val="20"/>
          <w:sz w:val="24"/>
        </w:rPr>
        <w:t> </w:t>
      </w:r>
      <w:r>
        <w:rPr>
          <w:sz w:val="24"/>
        </w:rPr>
        <w:t>for</w:t>
      </w:r>
      <w:r>
        <w:rPr>
          <w:spacing w:val="20"/>
          <w:sz w:val="24"/>
        </w:rPr>
        <w:t> </w:t>
      </w:r>
      <w:r>
        <w:rPr>
          <w:sz w:val="24"/>
        </w:rPr>
        <w:t>acid-fast</w:t>
      </w:r>
      <w:r>
        <w:rPr>
          <w:spacing w:val="21"/>
          <w:sz w:val="24"/>
        </w:rPr>
        <w:t> </w:t>
      </w:r>
      <w:r>
        <w:rPr>
          <w:sz w:val="24"/>
        </w:rPr>
        <w:t>bacilli</w:t>
      </w:r>
      <w:r>
        <w:rPr>
          <w:color w:val="FF0000"/>
          <w:sz w:val="24"/>
        </w:rPr>
        <w:t>，簡稱塗片</w:t>
      </w:r>
      <w:r>
        <w:rPr>
          <w:spacing w:val="8"/>
          <w:sz w:val="24"/>
        </w:rPr>
        <w:t>) 陽性，或</w:t>
      </w:r>
      <w:r>
        <w:rPr>
          <w:spacing w:val="1"/>
          <w:sz w:val="24"/>
        </w:rPr>
        <w:t>結核分枝桿菌核酸增幅檢驗 (</w:t>
      </w:r>
      <w:r>
        <w:rPr>
          <w:sz w:val="24"/>
        </w:rPr>
        <w:t>nucleic</w:t>
      </w:r>
      <w:r>
        <w:rPr>
          <w:spacing w:val="28"/>
          <w:sz w:val="24"/>
        </w:rPr>
        <w:t> </w:t>
      </w:r>
      <w:r>
        <w:rPr>
          <w:sz w:val="24"/>
        </w:rPr>
        <w:t>acid</w:t>
      </w:r>
      <w:r>
        <w:rPr>
          <w:spacing w:val="29"/>
          <w:sz w:val="24"/>
        </w:rPr>
        <w:t> </w:t>
      </w:r>
      <w:r>
        <w:rPr>
          <w:sz w:val="24"/>
        </w:rPr>
        <w:t>amplification</w:t>
      </w:r>
      <w:r>
        <w:rPr>
          <w:spacing w:val="29"/>
          <w:sz w:val="24"/>
        </w:rPr>
        <w:t> </w:t>
      </w:r>
      <w:r>
        <w:rPr>
          <w:sz w:val="24"/>
        </w:rPr>
        <w:t>test,</w:t>
      </w:r>
      <w:r>
        <w:rPr>
          <w:spacing w:val="41"/>
          <w:sz w:val="24"/>
        </w:rPr>
        <w:t> </w:t>
      </w:r>
      <w:r>
        <w:rPr>
          <w:sz w:val="24"/>
        </w:rPr>
        <w:t>NAA</w:t>
      </w:r>
      <w:r>
        <w:rPr>
          <w:spacing w:val="29"/>
          <w:sz w:val="24"/>
        </w:rPr>
        <w:t> </w:t>
      </w:r>
      <w:r>
        <w:rPr>
          <w:spacing w:val="2"/>
          <w:sz w:val="24"/>
        </w:rPr>
        <w:t>test) </w:t>
      </w:r>
      <w:r>
        <w:rPr>
          <w:spacing w:val="5"/>
          <w:sz w:val="24"/>
        </w:rPr>
        <w:t>陽性，或 </w:t>
      </w:r>
      <w:r>
        <w:rPr>
          <w:sz w:val="24"/>
        </w:rPr>
        <w:t>Xpert</w:t>
      </w:r>
      <w:r>
        <w:rPr>
          <w:spacing w:val="5"/>
          <w:sz w:val="24"/>
        </w:rPr>
        <w:t> </w:t>
      </w:r>
      <w:r>
        <w:rPr>
          <w:sz w:val="24"/>
        </w:rPr>
        <w:t>MTB/RMP 陽性，且結核分枝桿菌群培養陽性；或</w:t>
      </w:r>
    </w:p>
    <w:p>
      <w:pPr>
        <w:pStyle w:val="ListParagraph"/>
        <w:numPr>
          <w:ilvl w:val="2"/>
          <w:numId w:val="4"/>
        </w:numPr>
        <w:tabs>
          <w:tab w:pos="1840" w:val="left" w:leader="none"/>
        </w:tabs>
        <w:spacing w:line="402" w:lineRule="exact" w:before="0" w:after="0"/>
        <w:ind w:left="1839" w:right="0" w:hanging="745"/>
        <w:jc w:val="both"/>
        <w:rPr>
          <w:sz w:val="24"/>
        </w:rPr>
      </w:pPr>
      <w:r>
        <w:rPr>
          <w:sz w:val="24"/>
        </w:rPr>
        <w:t>塗片耐酸性染色鏡檢陽性，且NAA</w:t>
      </w:r>
      <w:r>
        <w:rPr>
          <w:spacing w:val="-1"/>
          <w:sz w:val="24"/>
        </w:rPr>
        <w:t> </w:t>
      </w:r>
      <w:r>
        <w:rPr>
          <w:sz w:val="24"/>
        </w:rPr>
        <w:t>test</w:t>
      </w:r>
      <w:r>
        <w:rPr>
          <w:spacing w:val="14"/>
          <w:sz w:val="24"/>
        </w:rPr>
        <w:t> 陽性。</w:t>
      </w:r>
    </w:p>
    <w:p>
      <w:pPr>
        <w:pStyle w:val="ListParagraph"/>
        <w:numPr>
          <w:ilvl w:val="1"/>
          <w:numId w:val="4"/>
        </w:numPr>
        <w:tabs>
          <w:tab w:pos="1094" w:val="left" w:leader="none"/>
        </w:tabs>
        <w:spacing w:line="220" w:lineRule="auto" w:before="0" w:after="0"/>
        <w:ind w:left="1093" w:right="1298" w:hanging="492"/>
        <w:jc w:val="both"/>
        <w:rPr>
          <w:sz w:val="24"/>
        </w:rPr>
      </w:pPr>
      <w:r>
        <w:rPr>
          <w:spacing w:val="4"/>
          <w:sz w:val="24"/>
        </w:rPr>
        <w:t>臨床診斷之結核個案 (</w:t>
      </w:r>
      <w:r>
        <w:rPr>
          <w:color w:val="0D0D0D"/>
          <w:sz w:val="24"/>
        </w:rPr>
        <w:t>clinically</w:t>
      </w:r>
      <w:r>
        <w:rPr>
          <w:color w:val="0D0D0D"/>
          <w:spacing w:val="-2"/>
          <w:sz w:val="24"/>
        </w:rPr>
        <w:t> </w:t>
      </w:r>
      <w:r>
        <w:rPr>
          <w:color w:val="0D0D0D"/>
          <w:sz w:val="24"/>
        </w:rPr>
        <w:t>diagnosed</w:t>
      </w:r>
      <w:r>
        <w:rPr>
          <w:color w:val="0D0D0D"/>
          <w:spacing w:val="-3"/>
          <w:sz w:val="24"/>
        </w:rPr>
        <w:t> </w:t>
      </w:r>
      <w:r>
        <w:rPr>
          <w:color w:val="0D0D0D"/>
          <w:sz w:val="24"/>
        </w:rPr>
        <w:t>TB</w:t>
      </w:r>
      <w:r>
        <w:rPr>
          <w:color w:val="0D0D0D"/>
          <w:spacing w:val="-2"/>
          <w:sz w:val="24"/>
        </w:rPr>
        <w:t> </w:t>
      </w:r>
      <w:r>
        <w:rPr>
          <w:color w:val="0D0D0D"/>
          <w:sz w:val="24"/>
        </w:rPr>
        <w:t>case)</w:t>
      </w:r>
      <w:r>
        <w:rPr>
          <w:sz w:val="24"/>
        </w:rPr>
        <w:t>：非細菌學確診之結核個案， </w:t>
      </w:r>
      <w:r>
        <w:rPr>
          <w:spacing w:val="2"/>
          <w:sz w:val="24"/>
        </w:rPr>
        <w:t>但醫師以胸部 </w:t>
      </w:r>
      <w:r>
        <w:rPr>
          <w:sz w:val="24"/>
        </w:rPr>
        <w:t>X 光、病理及其他臨床證據診斷為結核病，並決定施予一完整療程之抗結核藥物治療。</w:t>
      </w:r>
    </w:p>
    <w:p>
      <w:pPr>
        <w:pStyle w:val="ListParagraph"/>
        <w:numPr>
          <w:ilvl w:val="0"/>
          <w:numId w:val="4"/>
        </w:numPr>
        <w:tabs>
          <w:tab w:pos="632" w:val="left" w:leader="none"/>
        </w:tabs>
        <w:spacing w:line="220" w:lineRule="auto" w:before="6" w:after="0"/>
        <w:ind w:left="631" w:right="1331" w:hanging="360"/>
        <w:jc w:val="both"/>
        <w:rPr>
          <w:sz w:val="24"/>
        </w:rPr>
      </w:pPr>
      <w:r>
        <w:rPr>
          <w:spacing w:val="6"/>
          <w:sz w:val="24"/>
        </w:rPr>
        <w:t>細菌學確診之結核個案與臨床診斷之結核個案， 以結核部位 (</w:t>
      </w:r>
      <w:r>
        <w:rPr>
          <w:spacing w:val="2"/>
          <w:sz w:val="24"/>
        </w:rPr>
        <w:t>Site</w:t>
      </w:r>
      <w:r>
        <w:rPr>
          <w:spacing w:val="53"/>
          <w:sz w:val="24"/>
        </w:rPr>
        <w:t> </w:t>
      </w:r>
      <w:r>
        <w:rPr>
          <w:sz w:val="24"/>
        </w:rPr>
        <w:t>of</w:t>
      </w:r>
      <w:r>
        <w:rPr>
          <w:spacing w:val="53"/>
          <w:sz w:val="24"/>
        </w:rPr>
        <w:t> </w:t>
      </w:r>
      <w:r>
        <w:rPr>
          <w:sz w:val="24"/>
        </w:rPr>
        <w:t>tuberculosis disease</w:t>
      </w:r>
      <w:r>
        <w:rPr>
          <w:spacing w:val="5"/>
          <w:sz w:val="24"/>
        </w:rPr>
        <w:t>)，結核病史，藥物感受性試驗 (</w:t>
      </w:r>
      <w:r>
        <w:rPr>
          <w:sz w:val="24"/>
        </w:rPr>
        <w:t>Drug</w:t>
      </w:r>
      <w:r>
        <w:rPr>
          <w:spacing w:val="54"/>
          <w:sz w:val="24"/>
        </w:rPr>
        <w:t> </w:t>
      </w:r>
      <w:r>
        <w:rPr>
          <w:sz w:val="24"/>
        </w:rPr>
        <w:t>susceptibility</w:t>
      </w:r>
      <w:r>
        <w:rPr>
          <w:spacing w:val="51"/>
          <w:sz w:val="24"/>
        </w:rPr>
        <w:t> </w:t>
      </w:r>
      <w:r>
        <w:rPr>
          <w:spacing w:val="-4"/>
          <w:sz w:val="24"/>
        </w:rPr>
        <w:t>testing</w:t>
      </w:r>
      <w:r>
        <w:rPr>
          <w:spacing w:val="1"/>
          <w:sz w:val="24"/>
        </w:rPr>
        <w:t>) ， 及是否感染</w:t>
      </w:r>
      <w:r>
        <w:rPr>
          <w:sz w:val="24"/>
        </w:rPr>
        <w:t>HIV，進一步分類。</w:t>
      </w:r>
    </w:p>
    <w:p>
      <w:pPr>
        <w:pStyle w:val="Heading6"/>
        <w:numPr>
          <w:ilvl w:val="1"/>
          <w:numId w:val="3"/>
        </w:numPr>
        <w:tabs>
          <w:tab w:pos="636" w:val="left" w:leader="none"/>
        </w:tabs>
        <w:spacing w:line="445" w:lineRule="exact" w:before="282" w:after="0"/>
        <w:ind w:left="636" w:right="0" w:hanging="476"/>
        <w:jc w:val="both"/>
      </w:pPr>
      <w:bookmarkStart w:name="2.2 結核部位(Site of tuberculosis disease)：肺" w:id="25"/>
      <w:bookmarkEnd w:id="25"/>
      <w:r>
        <w:rPr>
          <w:b w:val="0"/>
        </w:rPr>
      </w:r>
      <w:bookmarkStart w:name="2.2 結核部位(Site of tuberculosis disease)：肺" w:id="26"/>
      <w:bookmarkEnd w:id="26"/>
      <w:r>
        <w:rPr/>
        <w:t>結核部位(</w:t>
      </w:r>
      <w:r>
        <w:rPr/>
        <w:t>Site</w:t>
      </w:r>
      <w:r>
        <w:rPr>
          <w:spacing w:val="-2"/>
        </w:rPr>
        <w:t> </w:t>
      </w:r>
      <w:r>
        <w:rPr/>
        <w:t>of tuberculosis disease)：肺結核與肺外結核</w:t>
      </w:r>
    </w:p>
    <w:p>
      <w:pPr>
        <w:pStyle w:val="ListParagraph"/>
        <w:numPr>
          <w:ilvl w:val="0"/>
          <w:numId w:val="5"/>
        </w:numPr>
        <w:tabs>
          <w:tab w:pos="638" w:val="left" w:leader="none"/>
        </w:tabs>
        <w:spacing w:line="410" w:lineRule="exact" w:before="0" w:after="0"/>
        <w:ind w:left="637" w:right="0" w:hanging="367"/>
        <w:jc w:val="both"/>
        <w:rPr>
          <w:sz w:val="24"/>
        </w:rPr>
      </w:pPr>
      <w:r>
        <w:rPr>
          <w:spacing w:val="2"/>
          <w:sz w:val="24"/>
        </w:rPr>
        <w:t>肺結核意指肺之結核。</w:t>
      </w:r>
    </w:p>
    <w:p>
      <w:pPr>
        <w:pStyle w:val="ListParagraph"/>
        <w:numPr>
          <w:ilvl w:val="0"/>
          <w:numId w:val="5"/>
        </w:numPr>
        <w:tabs>
          <w:tab w:pos="638" w:val="left" w:leader="none"/>
        </w:tabs>
        <w:spacing w:line="220" w:lineRule="auto" w:before="9" w:after="0"/>
        <w:ind w:left="637" w:right="1345" w:hanging="366"/>
        <w:jc w:val="both"/>
        <w:rPr>
          <w:sz w:val="24"/>
        </w:rPr>
      </w:pPr>
      <w:r>
        <w:rPr>
          <w:spacing w:val="2"/>
          <w:sz w:val="24"/>
        </w:rPr>
        <w:t>肺外結核包括結核性腦膜炎、心包膜結核、腹膜結核、脊椎結核、脊椎以外之骨與關節結核、腸結核、生殖泌尿系統結核，淋巴結核、皮膚結核；胸腔內之肺門、或縱膈</w:t>
      </w:r>
      <w:r>
        <w:rPr>
          <w:spacing w:val="-7"/>
          <w:sz w:val="24"/>
        </w:rPr>
        <w:t>腔淋巴結核、或單純之結核肋膜積液屬肺外結核。診斷肺外結核應盡可能以肺外組織之檢體進行結核分枝桿菌細菌學（塗片、NAA、Xpert</w:t>
      </w:r>
      <w:r>
        <w:rPr>
          <w:spacing w:val="-8"/>
          <w:sz w:val="24"/>
        </w:rPr>
        <w:t> </w:t>
      </w:r>
      <w:r>
        <w:rPr>
          <w:sz w:val="24"/>
        </w:rPr>
        <w:t>MTB/RMP、培養）及病理檢查。</w:t>
      </w:r>
    </w:p>
    <w:p>
      <w:pPr>
        <w:pStyle w:val="ListParagraph"/>
        <w:numPr>
          <w:ilvl w:val="0"/>
          <w:numId w:val="5"/>
        </w:numPr>
        <w:tabs>
          <w:tab w:pos="638" w:val="left" w:leader="none"/>
        </w:tabs>
        <w:spacing w:line="220" w:lineRule="auto" w:before="8" w:after="0"/>
        <w:ind w:left="637" w:right="1363" w:hanging="366"/>
        <w:jc w:val="both"/>
        <w:rPr>
          <w:sz w:val="24"/>
        </w:rPr>
      </w:pPr>
      <w:r>
        <w:rPr>
          <w:spacing w:val="2"/>
          <w:sz w:val="24"/>
        </w:rPr>
        <w:t>一個同時罹患肺結核與肺外結核之病人應歸類為肺結核個案，粟粒性結核有肺之病灶歸類為肺結核。一個同時罹患多部位肺外結核之病人其歸類以其最嚴重者為主。</w:t>
      </w:r>
    </w:p>
    <w:p>
      <w:pPr>
        <w:pStyle w:val="Heading6"/>
        <w:numPr>
          <w:ilvl w:val="1"/>
          <w:numId w:val="3"/>
        </w:numPr>
        <w:tabs>
          <w:tab w:pos="636" w:val="left" w:leader="none"/>
        </w:tabs>
        <w:spacing w:line="442" w:lineRule="exact" w:before="279" w:after="0"/>
        <w:ind w:left="636" w:right="0" w:hanging="476"/>
        <w:jc w:val="left"/>
      </w:pPr>
      <w:bookmarkStart w:name="2.3 結核病史" w:id="27"/>
      <w:bookmarkEnd w:id="27"/>
      <w:r>
        <w:rPr>
          <w:b w:val="0"/>
        </w:rPr>
      </w:r>
      <w:bookmarkStart w:name="2.3 結核病史" w:id="28"/>
      <w:bookmarkEnd w:id="28"/>
      <w:r>
        <w:rPr/>
        <w:t>結核病史</w:t>
      </w:r>
    </w:p>
    <w:p>
      <w:pPr>
        <w:pStyle w:val="BodyText"/>
        <w:spacing w:line="218" w:lineRule="auto" w:before="12"/>
        <w:ind w:left="622" w:right="1304" w:firstLine="480"/>
      </w:pPr>
      <w:r>
        <w:rPr>
          <w:spacing w:val="-7"/>
        </w:rPr>
        <w:t>治療結核病人時，應詳問病人之過去治療史。曾經接受抗結核藥物治療的病人，抗</w:t>
      </w:r>
      <w:r>
        <w:rPr>
          <w:spacing w:val="-8"/>
        </w:rPr>
        <w:t>藥結核之比例大於未曾接受治療者。正確的過去治療史，對診斷與治療結核非常重要。</w:t>
      </w:r>
    </w:p>
    <w:p>
      <w:pPr>
        <w:spacing w:after="0" w:line="218" w:lineRule="auto"/>
        <w:sectPr>
          <w:pgSz w:w="12250" w:h="17190"/>
          <w:pgMar w:header="0" w:footer="828" w:top="1360" w:bottom="1040" w:left="1200" w:right="0"/>
        </w:sectPr>
      </w:pPr>
    </w:p>
    <w:p>
      <w:pPr>
        <w:pStyle w:val="Heading7"/>
        <w:spacing w:before="14"/>
        <w:ind w:left="160"/>
        <w:jc w:val="left"/>
      </w:pPr>
      <w:r>
        <w:rPr/>
        <w:t>結核個案之類別：</w:t>
      </w:r>
    </w:p>
    <w:p>
      <w:pPr>
        <w:pStyle w:val="ListParagraph"/>
        <w:numPr>
          <w:ilvl w:val="2"/>
          <w:numId w:val="3"/>
        </w:numPr>
        <w:tabs>
          <w:tab w:pos="632" w:val="left" w:leader="none"/>
        </w:tabs>
        <w:spacing w:line="220" w:lineRule="auto" w:before="39" w:after="0"/>
        <w:ind w:left="631" w:right="1354" w:hanging="360"/>
        <w:jc w:val="left"/>
        <w:rPr>
          <w:sz w:val="24"/>
        </w:rPr>
      </w:pPr>
      <w:r>
        <w:rPr>
          <w:spacing w:val="2"/>
          <w:sz w:val="24"/>
        </w:rPr>
        <w:t>新病人 </w:t>
      </w:r>
      <w:r>
        <w:rPr>
          <w:sz w:val="24"/>
        </w:rPr>
        <w:t>(New</w:t>
      </w:r>
      <w:r>
        <w:rPr>
          <w:spacing w:val="27"/>
          <w:sz w:val="24"/>
        </w:rPr>
        <w:t> </w:t>
      </w:r>
      <w:r>
        <w:rPr>
          <w:spacing w:val="-3"/>
          <w:sz w:val="24"/>
        </w:rPr>
        <w:t>patient)：不曾接受抗結核藥治療、或曾接受少於四週抗結核藥治療之病</w:t>
      </w:r>
      <w:r>
        <w:rPr>
          <w:spacing w:val="-4"/>
          <w:sz w:val="24"/>
        </w:rPr>
        <w:t>人。</w:t>
      </w:r>
    </w:p>
    <w:p>
      <w:pPr>
        <w:pStyle w:val="ListParagraph"/>
        <w:numPr>
          <w:ilvl w:val="2"/>
          <w:numId w:val="3"/>
        </w:numPr>
        <w:tabs>
          <w:tab w:pos="632" w:val="left" w:leader="none"/>
        </w:tabs>
        <w:spacing w:line="220" w:lineRule="auto" w:before="4" w:after="0"/>
        <w:ind w:left="631" w:right="1356" w:hanging="360"/>
        <w:jc w:val="left"/>
        <w:rPr>
          <w:sz w:val="24"/>
        </w:rPr>
      </w:pPr>
      <w:r>
        <w:rPr>
          <w:spacing w:val="2"/>
          <w:sz w:val="24"/>
        </w:rPr>
        <w:t>曾經接受治療病人 </w:t>
      </w:r>
      <w:r>
        <w:rPr>
          <w:sz w:val="24"/>
        </w:rPr>
        <w:t>(Previously</w:t>
      </w:r>
      <w:r>
        <w:rPr>
          <w:spacing w:val="19"/>
          <w:sz w:val="24"/>
        </w:rPr>
        <w:t> </w:t>
      </w:r>
      <w:r>
        <w:rPr>
          <w:sz w:val="24"/>
        </w:rPr>
        <w:t>treated</w:t>
      </w:r>
      <w:r>
        <w:rPr>
          <w:spacing w:val="18"/>
          <w:sz w:val="24"/>
        </w:rPr>
        <w:t> </w:t>
      </w:r>
      <w:r>
        <w:rPr>
          <w:sz w:val="24"/>
        </w:rPr>
        <w:t>patient</w:t>
      </w:r>
      <w:r>
        <w:rPr>
          <w:spacing w:val="1"/>
          <w:sz w:val="24"/>
        </w:rPr>
        <w:t>)：曾接受四週以上抗結核藥治療之病</w:t>
      </w:r>
      <w:r>
        <w:rPr>
          <w:sz w:val="24"/>
        </w:rPr>
        <w:t>人。</w:t>
      </w:r>
    </w:p>
    <w:p>
      <w:pPr>
        <w:pStyle w:val="ListParagraph"/>
        <w:numPr>
          <w:ilvl w:val="3"/>
          <w:numId w:val="3"/>
        </w:numPr>
        <w:tabs>
          <w:tab w:pos="1124" w:val="left" w:leader="none"/>
        </w:tabs>
        <w:spacing w:line="220" w:lineRule="auto" w:before="4" w:after="0"/>
        <w:ind w:left="1123" w:right="1350" w:hanging="501"/>
        <w:jc w:val="both"/>
        <w:rPr>
          <w:sz w:val="24"/>
        </w:rPr>
      </w:pPr>
      <w:r>
        <w:rPr>
          <w:spacing w:val="8"/>
          <w:sz w:val="24"/>
        </w:rPr>
        <w:t>復發 (</w:t>
      </w:r>
      <w:r>
        <w:rPr>
          <w:sz w:val="24"/>
        </w:rPr>
        <w:t>Recurrent</w:t>
      </w:r>
      <w:r>
        <w:rPr>
          <w:spacing w:val="43"/>
          <w:sz w:val="24"/>
        </w:rPr>
        <w:t> </w:t>
      </w:r>
      <w:r>
        <w:rPr>
          <w:spacing w:val="5"/>
          <w:sz w:val="24"/>
        </w:rPr>
        <w:t>TB</w:t>
      </w:r>
      <w:r>
        <w:rPr>
          <w:spacing w:val="7"/>
          <w:sz w:val="24"/>
        </w:rPr>
        <w:t>)：曾接受一個完整療程之抗結核藥治療，並經醫師宣告治</w:t>
      </w:r>
      <w:r>
        <w:rPr>
          <w:spacing w:val="4"/>
          <w:sz w:val="24"/>
        </w:rPr>
        <w:t>癒或完成治療而再次診斷為結核病之病人，包含：可能是前次治療殘存的結核分</w:t>
      </w:r>
      <w:r>
        <w:rPr>
          <w:spacing w:val="1"/>
          <w:sz w:val="24"/>
        </w:rPr>
        <w:t>枝桿菌再度活化 (</w:t>
      </w:r>
      <w:r>
        <w:rPr>
          <w:sz w:val="24"/>
        </w:rPr>
        <w:t>relapse</w:t>
      </w:r>
      <w:r>
        <w:rPr>
          <w:spacing w:val="-2"/>
          <w:sz w:val="24"/>
        </w:rPr>
        <w:t>) 或因再度感染 </w:t>
      </w:r>
      <w:r>
        <w:rPr>
          <w:sz w:val="24"/>
        </w:rPr>
        <w:t>(re-infection</w:t>
      </w:r>
      <w:r>
        <w:rPr>
          <w:spacing w:val="-4"/>
          <w:sz w:val="24"/>
        </w:rPr>
        <w:t>) 而發病。</w:t>
      </w:r>
    </w:p>
    <w:p>
      <w:pPr>
        <w:pStyle w:val="ListParagraph"/>
        <w:numPr>
          <w:ilvl w:val="3"/>
          <w:numId w:val="3"/>
        </w:numPr>
        <w:tabs>
          <w:tab w:pos="1124" w:val="left" w:leader="none"/>
        </w:tabs>
        <w:spacing w:line="220" w:lineRule="auto" w:before="6" w:after="0"/>
        <w:ind w:left="1123" w:right="1362" w:hanging="501"/>
        <w:jc w:val="both"/>
        <w:rPr>
          <w:sz w:val="24"/>
        </w:rPr>
      </w:pPr>
      <w:r>
        <w:rPr>
          <w:spacing w:val="4"/>
          <w:sz w:val="24"/>
        </w:rPr>
        <w:t>失落再治 (</w:t>
      </w:r>
      <w:r>
        <w:rPr>
          <w:sz w:val="24"/>
        </w:rPr>
        <w:t>Treatment</w:t>
      </w:r>
      <w:r>
        <w:rPr>
          <w:spacing w:val="43"/>
          <w:sz w:val="24"/>
        </w:rPr>
        <w:t> </w:t>
      </w:r>
      <w:r>
        <w:rPr>
          <w:sz w:val="24"/>
        </w:rPr>
        <w:t>after</w:t>
      </w:r>
      <w:r>
        <w:rPr>
          <w:spacing w:val="43"/>
          <w:sz w:val="24"/>
        </w:rPr>
        <w:t> </w:t>
      </w:r>
      <w:r>
        <w:rPr>
          <w:sz w:val="24"/>
        </w:rPr>
        <w:t>loss</w:t>
      </w:r>
      <w:r>
        <w:rPr>
          <w:spacing w:val="42"/>
          <w:sz w:val="24"/>
        </w:rPr>
        <w:t> </w:t>
      </w:r>
      <w:r>
        <w:rPr>
          <w:sz w:val="24"/>
        </w:rPr>
        <w:t>to</w:t>
      </w:r>
      <w:r>
        <w:rPr>
          <w:spacing w:val="41"/>
          <w:sz w:val="24"/>
        </w:rPr>
        <w:t> </w:t>
      </w:r>
      <w:r>
        <w:rPr>
          <w:sz w:val="24"/>
        </w:rPr>
        <w:t>follow-up)：中斷治療兩個月以上再回來接</w:t>
      </w:r>
      <w:r>
        <w:rPr>
          <w:spacing w:val="2"/>
          <w:sz w:val="24"/>
        </w:rPr>
        <w:t>受治療之病人。</w:t>
      </w:r>
    </w:p>
    <w:p>
      <w:pPr>
        <w:pStyle w:val="ListParagraph"/>
        <w:numPr>
          <w:ilvl w:val="3"/>
          <w:numId w:val="3"/>
        </w:numPr>
        <w:tabs>
          <w:tab w:pos="1124" w:val="left" w:leader="none"/>
        </w:tabs>
        <w:spacing w:line="220" w:lineRule="auto" w:before="4" w:after="0"/>
        <w:ind w:left="1123" w:right="1356" w:hanging="501"/>
        <w:jc w:val="both"/>
        <w:rPr>
          <w:sz w:val="24"/>
        </w:rPr>
      </w:pPr>
      <w:r>
        <w:rPr>
          <w:spacing w:val="5"/>
          <w:sz w:val="24"/>
        </w:rPr>
        <w:t>失敗再治 (</w:t>
      </w:r>
      <w:r>
        <w:rPr>
          <w:sz w:val="24"/>
        </w:rPr>
        <w:t>Treatment</w:t>
      </w:r>
      <w:r>
        <w:rPr>
          <w:spacing w:val="41"/>
          <w:sz w:val="24"/>
        </w:rPr>
        <w:t> </w:t>
      </w:r>
      <w:r>
        <w:rPr>
          <w:sz w:val="24"/>
        </w:rPr>
        <w:t>after</w:t>
      </w:r>
      <w:r>
        <w:rPr>
          <w:spacing w:val="40"/>
          <w:sz w:val="24"/>
        </w:rPr>
        <w:t> </w:t>
      </w:r>
      <w:r>
        <w:rPr>
          <w:spacing w:val="2"/>
          <w:sz w:val="24"/>
        </w:rPr>
        <w:t>failure</w:t>
      </w:r>
      <w:r>
        <w:rPr>
          <w:spacing w:val="3"/>
          <w:sz w:val="24"/>
        </w:rPr>
        <w:t>)：治療滿四個月後依然痰培養陽性，或者治療前培養陰性、治療二個月後變成培養陽性的病人。</w:t>
      </w:r>
    </w:p>
    <w:p>
      <w:pPr>
        <w:pStyle w:val="ListParagraph"/>
        <w:numPr>
          <w:ilvl w:val="3"/>
          <w:numId w:val="3"/>
        </w:numPr>
        <w:tabs>
          <w:tab w:pos="1124" w:val="left" w:leader="none"/>
        </w:tabs>
        <w:spacing w:line="220" w:lineRule="auto" w:before="4" w:after="0"/>
        <w:ind w:left="1123" w:right="1361" w:hanging="501"/>
        <w:jc w:val="both"/>
        <w:rPr>
          <w:sz w:val="24"/>
        </w:rPr>
      </w:pPr>
      <w:r>
        <w:rPr>
          <w:spacing w:val="6"/>
          <w:sz w:val="24"/>
        </w:rPr>
        <w:t>其他曾接受抗結核藥物治療 (</w:t>
      </w:r>
      <w:r>
        <w:rPr>
          <w:sz w:val="24"/>
        </w:rPr>
        <w:t>other</w:t>
      </w:r>
      <w:r>
        <w:rPr>
          <w:spacing w:val="40"/>
          <w:sz w:val="24"/>
        </w:rPr>
        <w:t> </w:t>
      </w:r>
      <w:r>
        <w:rPr>
          <w:sz w:val="24"/>
        </w:rPr>
        <w:t>previously</w:t>
      </w:r>
      <w:r>
        <w:rPr>
          <w:spacing w:val="41"/>
          <w:sz w:val="24"/>
        </w:rPr>
        <w:t> </w:t>
      </w:r>
      <w:r>
        <w:rPr>
          <w:sz w:val="24"/>
        </w:rPr>
        <w:t>treated</w:t>
      </w:r>
      <w:r>
        <w:rPr>
          <w:spacing w:val="42"/>
          <w:sz w:val="24"/>
        </w:rPr>
        <w:t> </w:t>
      </w:r>
      <w:r>
        <w:rPr>
          <w:spacing w:val="2"/>
          <w:sz w:val="24"/>
        </w:rPr>
        <w:t>patients</w:t>
      </w:r>
      <w:r>
        <w:rPr>
          <w:spacing w:val="3"/>
          <w:sz w:val="24"/>
        </w:rPr>
        <w:t>)：曾接受過抗</w:t>
      </w:r>
      <w:r>
        <w:rPr>
          <w:spacing w:val="2"/>
          <w:sz w:val="24"/>
        </w:rPr>
        <w:t>結核藥物治療，但最近一次結核病治療結果不明。</w:t>
      </w:r>
    </w:p>
    <w:p>
      <w:pPr>
        <w:pStyle w:val="ListParagraph"/>
        <w:numPr>
          <w:ilvl w:val="2"/>
          <w:numId w:val="3"/>
        </w:numPr>
        <w:tabs>
          <w:tab w:pos="638" w:val="left" w:leader="none"/>
        </w:tabs>
        <w:spacing w:line="220" w:lineRule="auto" w:before="4" w:after="0"/>
        <w:ind w:left="637" w:right="1358" w:hanging="366"/>
        <w:jc w:val="left"/>
        <w:rPr>
          <w:sz w:val="24"/>
        </w:rPr>
      </w:pPr>
      <w:r>
        <w:rPr>
          <w:spacing w:val="2"/>
          <w:sz w:val="24"/>
        </w:rPr>
        <w:t>病人過去結核病治療史不明 (</w:t>
      </w:r>
      <w:r>
        <w:rPr>
          <w:sz w:val="24"/>
        </w:rPr>
        <w:t>patients</w:t>
      </w:r>
      <w:r>
        <w:rPr>
          <w:spacing w:val="19"/>
          <w:sz w:val="24"/>
        </w:rPr>
        <w:t> </w:t>
      </w:r>
      <w:r>
        <w:rPr>
          <w:sz w:val="24"/>
        </w:rPr>
        <w:t>with</w:t>
      </w:r>
      <w:r>
        <w:rPr>
          <w:spacing w:val="19"/>
          <w:sz w:val="24"/>
        </w:rPr>
        <w:t> </w:t>
      </w:r>
      <w:r>
        <w:rPr>
          <w:sz w:val="24"/>
        </w:rPr>
        <w:t>unknown</w:t>
      </w:r>
      <w:r>
        <w:rPr>
          <w:spacing w:val="19"/>
          <w:sz w:val="24"/>
        </w:rPr>
        <w:t> </w:t>
      </w:r>
      <w:r>
        <w:rPr>
          <w:sz w:val="24"/>
        </w:rPr>
        <w:t>history</w:t>
      </w:r>
      <w:r>
        <w:rPr>
          <w:spacing w:val="20"/>
          <w:sz w:val="24"/>
        </w:rPr>
        <w:t> </w:t>
      </w:r>
      <w:r>
        <w:rPr>
          <w:sz w:val="24"/>
        </w:rPr>
        <w:t>of</w:t>
      </w:r>
      <w:r>
        <w:rPr>
          <w:spacing w:val="18"/>
          <w:sz w:val="24"/>
        </w:rPr>
        <w:t> </w:t>
      </w:r>
      <w:r>
        <w:rPr>
          <w:sz w:val="24"/>
        </w:rPr>
        <w:t>TB</w:t>
      </w:r>
      <w:r>
        <w:rPr>
          <w:spacing w:val="20"/>
          <w:sz w:val="24"/>
        </w:rPr>
        <w:t> </w:t>
      </w:r>
      <w:r>
        <w:rPr>
          <w:sz w:val="24"/>
        </w:rPr>
        <w:t>treatment</w:t>
      </w:r>
      <w:r>
        <w:rPr>
          <w:spacing w:val="1"/>
          <w:sz w:val="24"/>
        </w:rPr>
        <w:t>)：不</w:t>
      </w:r>
      <w:r>
        <w:rPr>
          <w:spacing w:val="2"/>
          <w:sz w:val="24"/>
        </w:rPr>
        <w:t>符上述新病人或曾經治療之病人分類者。</w:t>
      </w:r>
    </w:p>
    <w:p>
      <w:pPr>
        <w:pStyle w:val="ListParagraph"/>
        <w:numPr>
          <w:ilvl w:val="2"/>
          <w:numId w:val="3"/>
        </w:numPr>
        <w:tabs>
          <w:tab w:pos="638" w:val="left" w:leader="none"/>
        </w:tabs>
        <w:spacing w:line="220" w:lineRule="auto" w:before="4" w:after="0"/>
        <w:ind w:left="637" w:right="1358" w:hanging="366"/>
        <w:jc w:val="left"/>
        <w:rPr>
          <w:sz w:val="24"/>
        </w:rPr>
      </w:pPr>
      <w:r>
        <w:rPr>
          <w:spacing w:val="3"/>
          <w:sz w:val="24"/>
        </w:rPr>
        <w:t>慢性病人</w:t>
      </w:r>
      <w:r>
        <w:rPr>
          <w:sz w:val="24"/>
        </w:rPr>
        <w:t>（Chronic</w:t>
      </w:r>
      <w:r>
        <w:rPr>
          <w:spacing w:val="44"/>
          <w:sz w:val="24"/>
        </w:rPr>
        <w:t> </w:t>
      </w:r>
      <w:r>
        <w:rPr>
          <w:spacing w:val="2"/>
          <w:sz w:val="24"/>
        </w:rPr>
        <w:t>case）：對大多數一線、二線藥物抗藥，致無法選用足夠有效藥</w:t>
      </w:r>
      <w:r>
        <w:rPr>
          <w:spacing w:val="3"/>
          <w:sz w:val="24"/>
        </w:rPr>
        <w:t>物治療的結核病人；或因嚴重藥物副作用無法接受治療的病人。</w:t>
      </w:r>
    </w:p>
    <w:p>
      <w:pPr>
        <w:pStyle w:val="Heading7"/>
        <w:spacing w:line="432" w:lineRule="exact" w:before="140"/>
        <w:ind w:left="160"/>
        <w:jc w:val="left"/>
      </w:pPr>
      <w:r>
        <w:rPr/>
        <w:t>註解：</w:t>
      </w:r>
    </w:p>
    <w:p>
      <w:pPr>
        <w:pStyle w:val="BodyText"/>
        <w:spacing w:line="225" w:lineRule="auto" w:before="10"/>
        <w:ind w:left="160" w:right="1362"/>
        <w:jc w:val="both"/>
      </w:pPr>
      <w:r>
        <w:rPr/>
        <w:t>失敗：治療滿四個月後痰塗片耐酸性染色鏡檢陽性，或者治療前痰塗片陰性、治療二個月後變成塗片陽性，可能培養陽性，但也可能為死菌或 NTM。此類疑似治療失敗的病人， 應進行抗藥結核之快速分子檢驗(Line probe assay 或 Xpert MTB/RMP test)。</w:t>
      </w:r>
    </w:p>
    <w:p>
      <w:pPr>
        <w:pStyle w:val="BodyText"/>
        <w:spacing w:before="4"/>
        <w:rPr>
          <w:sz w:val="19"/>
        </w:rPr>
      </w:pPr>
    </w:p>
    <w:p>
      <w:pPr>
        <w:pStyle w:val="Heading6"/>
        <w:numPr>
          <w:ilvl w:val="1"/>
          <w:numId w:val="3"/>
        </w:numPr>
        <w:tabs>
          <w:tab w:pos="636" w:val="left" w:leader="none"/>
        </w:tabs>
        <w:spacing w:line="439" w:lineRule="exact" w:before="0" w:after="0"/>
        <w:ind w:left="636" w:right="0" w:hanging="476"/>
        <w:jc w:val="both"/>
      </w:pPr>
      <w:bookmarkStart w:name="2.4 藥物感受性試驗" w:id="29"/>
      <w:bookmarkEnd w:id="29"/>
      <w:r>
        <w:rPr>
          <w:b w:val="0"/>
        </w:rPr>
      </w:r>
      <w:bookmarkStart w:name="2.4 藥物感受性試驗" w:id="30"/>
      <w:bookmarkEnd w:id="30"/>
      <w:r>
        <w:rPr/>
        <w:t>藥物感受性試驗</w:t>
      </w:r>
    </w:p>
    <w:p>
      <w:pPr>
        <w:pStyle w:val="BodyText"/>
        <w:spacing w:line="218" w:lineRule="auto" w:before="10"/>
        <w:ind w:left="633" w:right="1343" w:firstLine="488"/>
        <w:jc w:val="both"/>
      </w:pPr>
      <w:r>
        <w:rPr>
          <w:w w:val="95"/>
        </w:rPr>
        <w:t>培養陽性之檢體，皆應進行菌種鑑定。其結果為結核分枝桿菌群(</w:t>
      </w:r>
      <w:r>
        <w:rPr>
          <w:i/>
          <w:w w:val="95"/>
          <w:sz w:val="25"/>
        </w:rPr>
        <w:t>Mycobacterium </w:t>
      </w:r>
      <w:r>
        <w:rPr>
          <w:i/>
          <w:sz w:val="25"/>
        </w:rPr>
        <w:t>tuberculosis </w:t>
      </w:r>
      <w:r>
        <w:rPr/>
        <w:t>complex)者，皆應進行藥物感受性試驗(Drug susceptibility testing)。藥物感受性試驗應於通過藥物感受性試驗能力試驗(proficiency testing)之實驗室進行，未通過能力試驗之實驗室，其藥物感受性試驗結果不一定正確。</w:t>
      </w:r>
    </w:p>
    <w:p>
      <w:pPr>
        <w:pStyle w:val="Heading7"/>
        <w:spacing w:line="425" w:lineRule="exact" w:before="137"/>
        <w:ind w:left="160"/>
        <w:jc w:val="left"/>
      </w:pPr>
      <w:r>
        <w:rPr/>
        <w:t>結核個案依藥物感受性試驗結果分類：</w:t>
      </w:r>
    </w:p>
    <w:p>
      <w:pPr>
        <w:pStyle w:val="ListParagraph"/>
        <w:numPr>
          <w:ilvl w:val="0"/>
          <w:numId w:val="6"/>
        </w:numPr>
        <w:tabs>
          <w:tab w:pos="632" w:val="left" w:leader="none"/>
        </w:tabs>
        <w:spacing w:line="409" w:lineRule="exact" w:before="0" w:after="0"/>
        <w:ind w:left="631" w:right="0" w:hanging="361"/>
        <w:jc w:val="left"/>
        <w:rPr>
          <w:sz w:val="24"/>
        </w:rPr>
      </w:pPr>
      <w:r>
        <w:rPr>
          <w:sz w:val="24"/>
        </w:rPr>
        <w:t>單一抗藥</w:t>
      </w:r>
      <w:r>
        <w:rPr>
          <w:color w:val="FF0000"/>
          <w:spacing w:val="19"/>
          <w:sz w:val="24"/>
        </w:rPr>
        <w:t>結核 </w:t>
      </w:r>
      <w:r>
        <w:rPr>
          <w:sz w:val="24"/>
        </w:rPr>
        <w:t>(Mono-resistant TB)：對一種抗結核藥抗藥。</w:t>
      </w:r>
    </w:p>
    <w:p>
      <w:pPr>
        <w:pStyle w:val="ListParagraph"/>
        <w:numPr>
          <w:ilvl w:val="0"/>
          <w:numId w:val="6"/>
        </w:numPr>
        <w:tabs>
          <w:tab w:pos="628" w:val="left" w:leader="none"/>
        </w:tabs>
        <w:spacing w:line="223" w:lineRule="auto" w:before="7" w:after="0"/>
        <w:ind w:left="627" w:right="1355" w:hanging="357"/>
        <w:jc w:val="left"/>
        <w:rPr>
          <w:sz w:val="24"/>
        </w:rPr>
      </w:pPr>
      <w:r>
        <w:rPr>
          <w:spacing w:val="13"/>
          <w:sz w:val="24"/>
        </w:rPr>
        <w:t>多種抗藥</w:t>
      </w:r>
      <w:r>
        <w:rPr>
          <w:color w:val="FF0000"/>
          <w:spacing w:val="9"/>
          <w:sz w:val="24"/>
        </w:rPr>
        <w:t>結核 </w:t>
      </w:r>
      <w:r>
        <w:rPr>
          <w:sz w:val="24"/>
        </w:rPr>
        <w:t>(Poly-resistant</w:t>
      </w:r>
      <w:r>
        <w:rPr>
          <w:spacing w:val="35"/>
          <w:sz w:val="24"/>
        </w:rPr>
        <w:t> </w:t>
      </w:r>
      <w:r>
        <w:rPr>
          <w:spacing w:val="7"/>
          <w:sz w:val="24"/>
        </w:rPr>
        <w:t>TB</w:t>
      </w:r>
      <w:r>
        <w:rPr>
          <w:spacing w:val="9"/>
          <w:sz w:val="24"/>
        </w:rPr>
        <w:t>)：對兩種或兩種以上抗結核藥抗藥，但非同時對isoniazid</w:t>
      </w:r>
      <w:r>
        <w:rPr>
          <w:spacing w:val="25"/>
          <w:sz w:val="24"/>
        </w:rPr>
        <w:t> 及</w:t>
      </w:r>
      <w:r>
        <w:rPr>
          <w:spacing w:val="-3"/>
          <w:sz w:val="24"/>
        </w:rPr>
        <w:t>rifampin 抗藥。</w:t>
      </w:r>
    </w:p>
    <w:p>
      <w:pPr>
        <w:pStyle w:val="ListParagraph"/>
        <w:numPr>
          <w:ilvl w:val="0"/>
          <w:numId w:val="6"/>
        </w:numPr>
        <w:tabs>
          <w:tab w:pos="632" w:val="left" w:leader="none"/>
        </w:tabs>
        <w:spacing w:line="403" w:lineRule="exact" w:before="0" w:after="0"/>
        <w:ind w:left="631" w:right="0" w:hanging="361"/>
        <w:jc w:val="left"/>
        <w:rPr>
          <w:sz w:val="24"/>
        </w:rPr>
      </w:pPr>
      <w:r>
        <w:rPr>
          <w:sz w:val="24"/>
        </w:rPr>
        <w:t>多重抗藥</w:t>
      </w:r>
      <w:r>
        <w:rPr>
          <w:color w:val="FF0000"/>
          <w:sz w:val="24"/>
        </w:rPr>
        <w:t>結核</w:t>
      </w:r>
      <w:r>
        <w:rPr>
          <w:sz w:val="24"/>
        </w:rPr>
        <w:t>（Multidrug-resistant</w:t>
      </w:r>
      <w:r>
        <w:rPr>
          <w:spacing w:val="26"/>
          <w:sz w:val="24"/>
        </w:rPr>
        <w:t> </w:t>
      </w:r>
      <w:r>
        <w:rPr>
          <w:sz w:val="24"/>
        </w:rPr>
        <w:t>TB</w:t>
      </w:r>
      <w:r>
        <w:rPr>
          <w:spacing w:val="12"/>
          <w:sz w:val="24"/>
        </w:rPr>
        <w:t>, </w:t>
      </w:r>
      <w:r>
        <w:rPr>
          <w:sz w:val="24"/>
        </w:rPr>
        <w:t>MDR-TB）</w:t>
      </w:r>
      <w:r>
        <w:rPr>
          <w:spacing w:val="11"/>
          <w:sz w:val="24"/>
        </w:rPr>
        <w:t>：至少對 </w:t>
      </w:r>
      <w:r>
        <w:rPr>
          <w:sz w:val="24"/>
        </w:rPr>
        <w:t>isoniazid</w:t>
      </w:r>
      <w:r>
        <w:rPr>
          <w:spacing w:val="36"/>
          <w:sz w:val="24"/>
        </w:rPr>
        <w:t> 及 </w:t>
      </w:r>
      <w:r>
        <w:rPr>
          <w:sz w:val="24"/>
        </w:rPr>
        <w:t>rifampin</w:t>
      </w:r>
    </w:p>
    <w:p>
      <w:pPr>
        <w:pStyle w:val="BodyText"/>
        <w:spacing w:line="425" w:lineRule="exact"/>
        <w:ind w:left="631"/>
      </w:pPr>
      <w:r>
        <w:rPr/>
        <w:t>抗藥。</w:t>
      </w:r>
    </w:p>
    <w:p>
      <w:pPr>
        <w:spacing w:after="0" w:line="425" w:lineRule="exact"/>
        <w:sectPr>
          <w:pgSz w:w="12250" w:h="17190"/>
          <w:pgMar w:header="0" w:footer="828" w:top="1460" w:bottom="1020" w:left="1200" w:right="0"/>
        </w:sectPr>
      </w:pPr>
    </w:p>
    <w:p>
      <w:pPr>
        <w:pStyle w:val="ListParagraph"/>
        <w:numPr>
          <w:ilvl w:val="0"/>
          <w:numId w:val="6"/>
        </w:numPr>
        <w:tabs>
          <w:tab w:pos="632" w:val="left" w:leader="none"/>
        </w:tabs>
        <w:spacing w:line="223" w:lineRule="auto" w:before="45" w:after="0"/>
        <w:ind w:left="631" w:right="1359" w:hanging="360"/>
        <w:jc w:val="both"/>
        <w:rPr>
          <w:color w:val="FF0000"/>
          <w:sz w:val="24"/>
        </w:rPr>
      </w:pPr>
      <w:r>
        <w:rPr/>
        <w:pict>
          <v:group style="position:absolute;margin-left:567pt;margin-top:.523496pt;width:45.5pt;height:163.550pt;mso-position-horizontal-relative:page;mso-position-vertical-relative:paragraph;z-index:251667456" coordorigin="11340,10" coordsize="910,3271">
            <v:shape style="position:absolute;left:11340;top:10;width:910;height:3271" coordorigin="11340,10" coordsize="910,3271" path="m12167,10l11505,10,11441,23,11388,59,11353,111,11340,176,11340,3116,11353,3180,11388,3233,11441,3268,11505,3281,12167,3281,12231,3268,12250,3256,12250,36,12231,23,12167,10xe" filled="true" fillcolor="#a6a6a6" stroked="false">
              <v:path arrowok="t"/>
              <v:fill type="solid"/>
            </v:shape>
            <v:shape style="position:absolute;left:11340;top:10;width:910;height:3271" type="#_x0000_t202" filled="false" stroked="false">
              <v:textbox inset="0,0,0,0">
                <w:txbxContent>
                  <w:p>
                    <w:pPr>
                      <w:spacing w:line="146" w:lineRule="auto" w:before="126"/>
                      <w:ind w:left="136" w:right="551" w:firstLine="0"/>
                      <w:jc w:val="both"/>
                      <w:rPr>
                        <w:sz w:val="22"/>
                      </w:rPr>
                    </w:pPr>
                    <w:r>
                      <w:rPr>
                        <w:sz w:val="22"/>
                      </w:rPr>
                      <w:t>第二章</w:t>
                    </w:r>
                  </w:p>
                  <w:p>
                    <w:pPr>
                      <w:spacing w:line="141" w:lineRule="auto" w:before="175"/>
                      <w:ind w:left="136" w:right="551" w:firstLine="0"/>
                      <w:jc w:val="both"/>
                      <w:rPr>
                        <w:sz w:val="22"/>
                      </w:rPr>
                    </w:pPr>
                    <w:r>
                      <w:rPr>
                        <w:sz w:val="22"/>
                      </w:rPr>
                      <w:t>結核病的分類與定義</w:t>
                    </w:r>
                  </w:p>
                </w:txbxContent>
              </v:textbox>
              <w10:wrap type="none"/>
            </v:shape>
            <w10:wrap type="none"/>
          </v:group>
        </w:pict>
      </w:r>
      <w:r>
        <w:rPr>
          <w:color w:val="FF0000"/>
          <w:spacing w:val="-9"/>
          <w:sz w:val="24"/>
        </w:rPr>
        <w:t>前驅廣泛抗藥結核</w:t>
      </w:r>
      <w:r>
        <w:rPr>
          <w:color w:val="FF0000"/>
          <w:sz w:val="24"/>
        </w:rPr>
        <w:t>（</w:t>
      </w:r>
      <w:r>
        <w:rPr>
          <w:color w:val="FF0000"/>
          <w:spacing w:val="-1"/>
          <w:sz w:val="24"/>
        </w:rPr>
        <w:t>P</w:t>
      </w:r>
      <w:r>
        <w:rPr>
          <w:color w:val="FF0000"/>
          <w:sz w:val="24"/>
        </w:rPr>
        <w:t>re</w:t>
      </w:r>
      <w:r>
        <w:rPr>
          <w:color w:val="FF0000"/>
          <w:spacing w:val="-1"/>
          <w:sz w:val="24"/>
        </w:rPr>
        <w:t>-</w:t>
      </w:r>
      <w:r>
        <w:rPr>
          <w:color w:val="FF0000"/>
          <w:sz w:val="24"/>
        </w:rPr>
        <w:t>ext</w:t>
      </w:r>
      <w:r>
        <w:rPr>
          <w:color w:val="FF0000"/>
          <w:spacing w:val="-1"/>
          <w:sz w:val="24"/>
        </w:rPr>
        <w:t>e</w:t>
      </w:r>
      <w:r>
        <w:rPr>
          <w:color w:val="FF0000"/>
          <w:sz w:val="24"/>
        </w:rPr>
        <w:t>n</w:t>
      </w:r>
      <w:r>
        <w:rPr>
          <w:color w:val="FF0000"/>
          <w:spacing w:val="-1"/>
          <w:sz w:val="24"/>
        </w:rPr>
        <w:t>s</w:t>
      </w:r>
      <w:r>
        <w:rPr>
          <w:color w:val="FF0000"/>
          <w:sz w:val="24"/>
        </w:rPr>
        <w:t>i</w:t>
      </w:r>
      <w:r>
        <w:rPr>
          <w:color w:val="FF0000"/>
          <w:spacing w:val="-1"/>
          <w:sz w:val="24"/>
        </w:rPr>
        <w:t>v</w:t>
      </w:r>
      <w:r>
        <w:rPr>
          <w:color w:val="FF0000"/>
          <w:sz w:val="24"/>
        </w:rPr>
        <w:t>ely</w:t>
      </w:r>
      <w:r>
        <w:rPr>
          <w:color w:val="FF0000"/>
          <w:spacing w:val="-19"/>
          <w:sz w:val="24"/>
        </w:rPr>
        <w:t> </w:t>
      </w:r>
      <w:r>
        <w:rPr>
          <w:color w:val="FF0000"/>
          <w:sz w:val="24"/>
        </w:rPr>
        <w:t>d</w:t>
      </w:r>
      <w:r>
        <w:rPr>
          <w:color w:val="FF0000"/>
          <w:spacing w:val="-1"/>
          <w:sz w:val="24"/>
        </w:rPr>
        <w:t>r</w:t>
      </w:r>
      <w:r>
        <w:rPr>
          <w:color w:val="FF0000"/>
          <w:sz w:val="24"/>
        </w:rPr>
        <w:t>ug</w:t>
      </w:r>
      <w:r>
        <w:rPr>
          <w:color w:val="FF0000"/>
          <w:spacing w:val="-1"/>
          <w:sz w:val="24"/>
        </w:rPr>
        <w:t>-r</w:t>
      </w:r>
      <w:r>
        <w:rPr>
          <w:color w:val="FF0000"/>
          <w:sz w:val="24"/>
        </w:rPr>
        <w:t>e</w:t>
      </w:r>
      <w:r>
        <w:rPr>
          <w:color w:val="FF0000"/>
          <w:spacing w:val="-1"/>
          <w:sz w:val="24"/>
        </w:rPr>
        <w:t>s</w:t>
      </w:r>
      <w:r>
        <w:rPr>
          <w:color w:val="FF0000"/>
          <w:sz w:val="24"/>
        </w:rPr>
        <w:t>i</w:t>
      </w:r>
      <w:r>
        <w:rPr>
          <w:color w:val="FF0000"/>
          <w:spacing w:val="-1"/>
          <w:sz w:val="24"/>
        </w:rPr>
        <w:t>s</w:t>
      </w:r>
      <w:r>
        <w:rPr>
          <w:color w:val="FF0000"/>
          <w:sz w:val="24"/>
        </w:rPr>
        <w:t>t</w:t>
      </w:r>
      <w:r>
        <w:rPr>
          <w:color w:val="FF0000"/>
          <w:spacing w:val="-1"/>
          <w:sz w:val="24"/>
        </w:rPr>
        <w:t>a</w:t>
      </w:r>
      <w:r>
        <w:rPr>
          <w:color w:val="FF0000"/>
          <w:sz w:val="24"/>
        </w:rPr>
        <w:t>nt</w:t>
      </w:r>
      <w:r>
        <w:rPr>
          <w:color w:val="FF0000"/>
          <w:spacing w:val="-14"/>
          <w:sz w:val="24"/>
        </w:rPr>
        <w:t> </w:t>
      </w:r>
      <w:r>
        <w:rPr>
          <w:color w:val="FF0000"/>
          <w:spacing w:val="-1"/>
          <w:sz w:val="24"/>
        </w:rPr>
        <w:t>T</w:t>
      </w:r>
      <w:r>
        <w:rPr>
          <w:color w:val="FF0000"/>
          <w:spacing w:val="-2"/>
          <w:sz w:val="24"/>
        </w:rPr>
        <w:t>B</w:t>
      </w:r>
      <w:r>
        <w:rPr>
          <w:color w:val="FF0000"/>
          <w:spacing w:val="-10"/>
          <w:sz w:val="24"/>
        </w:rPr>
        <w:t>, </w:t>
      </w:r>
      <w:r>
        <w:rPr>
          <w:color w:val="FF0000"/>
          <w:spacing w:val="-2"/>
          <w:sz w:val="24"/>
        </w:rPr>
        <w:t>P</w:t>
      </w:r>
      <w:r>
        <w:rPr>
          <w:color w:val="FF0000"/>
          <w:spacing w:val="-3"/>
          <w:sz w:val="24"/>
        </w:rPr>
        <w:t>r</w:t>
      </w:r>
      <w:r>
        <w:rPr>
          <w:color w:val="FF0000"/>
          <w:spacing w:val="-1"/>
          <w:sz w:val="24"/>
        </w:rPr>
        <w:t>e</w:t>
      </w:r>
      <w:r>
        <w:rPr>
          <w:color w:val="FF0000"/>
          <w:spacing w:val="-3"/>
          <w:sz w:val="24"/>
        </w:rPr>
        <w:t>-</w:t>
      </w:r>
      <w:r>
        <w:rPr>
          <w:color w:val="FF0000"/>
          <w:sz w:val="24"/>
        </w:rPr>
        <w:t>XD</w:t>
      </w:r>
      <w:r>
        <w:rPr>
          <w:color w:val="FF0000"/>
          <w:spacing w:val="-1"/>
          <w:sz w:val="24"/>
        </w:rPr>
        <w:t>R</w:t>
      </w:r>
      <w:r>
        <w:rPr>
          <w:color w:val="FF0000"/>
          <w:sz w:val="24"/>
        </w:rPr>
        <w:t>-</w:t>
      </w:r>
      <w:r>
        <w:rPr>
          <w:color w:val="FF0000"/>
          <w:spacing w:val="-1"/>
          <w:sz w:val="24"/>
        </w:rPr>
        <w:t>T</w:t>
      </w:r>
      <w:r>
        <w:rPr>
          <w:color w:val="FF0000"/>
          <w:sz w:val="24"/>
        </w:rPr>
        <w:t>B</w:t>
      </w:r>
      <w:r>
        <w:rPr>
          <w:color w:val="FF0000"/>
          <w:spacing w:val="-107"/>
          <w:sz w:val="24"/>
        </w:rPr>
        <w:t>）</w:t>
      </w:r>
      <w:r>
        <w:rPr>
          <w:color w:val="FF0000"/>
          <w:spacing w:val="-9"/>
          <w:sz w:val="24"/>
        </w:rPr>
        <w:t>：符合</w:t>
      </w:r>
      <w:r>
        <w:rPr>
          <w:color w:val="FF0000"/>
          <w:spacing w:val="1"/>
          <w:sz w:val="24"/>
        </w:rPr>
        <w:t>R</w:t>
      </w:r>
      <w:r>
        <w:rPr>
          <w:color w:val="FF0000"/>
          <w:spacing w:val="2"/>
          <w:sz w:val="24"/>
        </w:rPr>
        <w:t>if</w:t>
      </w:r>
      <w:r>
        <w:rPr>
          <w:color w:val="FF0000"/>
          <w:spacing w:val="1"/>
          <w:sz w:val="24"/>
        </w:rPr>
        <w:t>a</w:t>
      </w:r>
      <w:r>
        <w:rPr>
          <w:color w:val="FF0000"/>
          <w:spacing w:val="2"/>
          <w:sz w:val="24"/>
        </w:rPr>
        <w:t>m</w:t>
      </w:r>
      <w:r>
        <w:rPr>
          <w:color w:val="FF0000"/>
          <w:spacing w:val="1"/>
          <w:sz w:val="24"/>
        </w:rPr>
        <w:t>pi</w:t>
      </w:r>
      <w:r>
        <w:rPr>
          <w:color w:val="FF0000"/>
          <w:sz w:val="24"/>
        </w:rPr>
        <w:t>n</w:t>
      </w:r>
      <w:r>
        <w:rPr>
          <w:color w:val="FF0000"/>
          <w:spacing w:val="8"/>
          <w:sz w:val="24"/>
        </w:rPr>
        <w:t>單 一 抗 藥 (</w:t>
      </w:r>
      <w:r>
        <w:rPr>
          <w:color w:val="FF0000"/>
          <w:sz w:val="24"/>
        </w:rPr>
        <w:t>Rifampin-resistant TB, RR-TB</w:t>
      </w:r>
      <w:r>
        <w:rPr>
          <w:color w:val="FF0000"/>
          <w:spacing w:val="8"/>
          <w:sz w:val="24"/>
        </w:rPr>
        <w:t>) 或 多 重 抗 藥 (</w:t>
      </w:r>
      <w:r>
        <w:rPr>
          <w:color w:val="FF0000"/>
          <w:sz w:val="24"/>
        </w:rPr>
        <w:t>MDR-TB</w:t>
      </w:r>
      <w:r>
        <w:rPr>
          <w:color w:val="FF0000"/>
          <w:spacing w:val="10"/>
          <w:sz w:val="24"/>
        </w:rPr>
        <w:t>) 且 對 任 一fluoroquinolone</w:t>
      </w:r>
      <w:r>
        <w:rPr>
          <w:color w:val="FF0000"/>
          <w:spacing w:val="2"/>
          <w:sz w:val="24"/>
        </w:rPr>
        <w:t> (</w:t>
      </w:r>
      <w:r>
        <w:rPr>
          <w:color w:val="FF0000"/>
          <w:sz w:val="24"/>
        </w:rPr>
        <w:t>levofloxacin</w:t>
      </w:r>
      <w:r>
        <w:rPr>
          <w:color w:val="FF0000"/>
          <w:spacing w:val="4"/>
          <w:sz w:val="24"/>
        </w:rPr>
        <w:t>或</w:t>
      </w:r>
      <w:r>
        <w:rPr>
          <w:color w:val="FF0000"/>
          <w:sz w:val="24"/>
        </w:rPr>
        <w:t>moxifloxacin</w:t>
      </w:r>
      <w:r>
        <w:rPr>
          <w:color w:val="FF0000"/>
          <w:spacing w:val="2"/>
          <w:sz w:val="24"/>
        </w:rPr>
        <w:t>)抗藥。</w:t>
      </w:r>
    </w:p>
    <w:p>
      <w:pPr>
        <w:pStyle w:val="ListParagraph"/>
        <w:numPr>
          <w:ilvl w:val="0"/>
          <w:numId w:val="6"/>
        </w:numPr>
        <w:tabs>
          <w:tab w:pos="632" w:val="left" w:leader="none"/>
        </w:tabs>
        <w:spacing w:line="223" w:lineRule="auto" w:before="0" w:after="0"/>
        <w:ind w:left="631" w:right="1357" w:hanging="360"/>
        <w:jc w:val="both"/>
        <w:rPr>
          <w:color w:val="FF0000"/>
          <w:sz w:val="24"/>
        </w:rPr>
      </w:pPr>
      <w:r>
        <w:rPr>
          <w:color w:val="FF0000"/>
          <w:spacing w:val="20"/>
          <w:sz w:val="24"/>
        </w:rPr>
        <w:t>廣泛抗藥結核(</w:t>
      </w:r>
      <w:r>
        <w:rPr>
          <w:color w:val="FF0000"/>
          <w:sz w:val="24"/>
        </w:rPr>
        <w:t>Extensively</w:t>
      </w:r>
      <w:r>
        <w:rPr>
          <w:color w:val="FF0000"/>
          <w:spacing w:val="39"/>
          <w:sz w:val="24"/>
        </w:rPr>
        <w:t> </w:t>
      </w:r>
      <w:r>
        <w:rPr>
          <w:color w:val="FF0000"/>
          <w:sz w:val="24"/>
        </w:rPr>
        <w:t>drug-resistant</w:t>
      </w:r>
      <w:r>
        <w:rPr>
          <w:color w:val="FF0000"/>
          <w:spacing w:val="47"/>
          <w:sz w:val="24"/>
        </w:rPr>
        <w:t> </w:t>
      </w:r>
      <w:r>
        <w:rPr>
          <w:color w:val="FF0000"/>
          <w:sz w:val="24"/>
        </w:rPr>
        <w:t>TB,</w:t>
      </w:r>
      <w:r>
        <w:rPr>
          <w:color w:val="FF0000"/>
          <w:spacing w:val="42"/>
          <w:sz w:val="24"/>
        </w:rPr>
        <w:t> </w:t>
      </w:r>
      <w:r>
        <w:rPr>
          <w:color w:val="FF0000"/>
          <w:spacing w:val="2"/>
          <w:sz w:val="24"/>
        </w:rPr>
        <w:t>XDR-TB</w:t>
      </w:r>
      <w:r>
        <w:rPr>
          <w:color w:val="FF0000"/>
          <w:spacing w:val="13"/>
          <w:sz w:val="24"/>
        </w:rPr>
        <w:t>)： 符合前驅廣泛抗藥</w:t>
      </w:r>
      <w:r>
        <w:rPr>
          <w:color w:val="FF0000"/>
          <w:sz w:val="24"/>
        </w:rPr>
        <w:t>(Pre- </w:t>
      </w:r>
      <w:r>
        <w:rPr>
          <w:color w:val="FF0000"/>
          <w:spacing w:val="-7"/>
          <w:sz w:val="24"/>
        </w:rPr>
        <w:t>XDR-TB</w:t>
      </w:r>
      <w:r>
        <w:rPr>
          <w:color w:val="FF0000"/>
          <w:spacing w:val="-2"/>
          <w:sz w:val="24"/>
        </w:rPr>
        <w:t>)，且除了</w:t>
      </w:r>
      <w:r>
        <w:rPr>
          <w:color w:val="FF0000"/>
          <w:sz w:val="24"/>
        </w:rPr>
        <w:t>fluoroquinolone</w:t>
      </w:r>
      <w:r>
        <w:rPr>
          <w:color w:val="FF0000"/>
          <w:spacing w:val="-6"/>
          <w:sz w:val="24"/>
        </w:rPr>
        <w:t>抗藥外，對 </w:t>
      </w:r>
      <w:r>
        <w:rPr>
          <w:color w:val="FF0000"/>
          <w:sz w:val="24"/>
        </w:rPr>
        <w:t>Group</w:t>
      </w:r>
      <w:r>
        <w:rPr>
          <w:color w:val="FF0000"/>
          <w:spacing w:val="-13"/>
          <w:sz w:val="24"/>
        </w:rPr>
        <w:t> </w:t>
      </w:r>
      <w:r>
        <w:rPr>
          <w:color w:val="FF0000"/>
          <w:sz w:val="24"/>
        </w:rPr>
        <w:t>A*的linezolid  或  bedaquiline 抗藥。</w:t>
      </w:r>
    </w:p>
    <w:p>
      <w:pPr>
        <w:pStyle w:val="BodyText"/>
        <w:spacing w:before="95"/>
        <w:ind w:left="271"/>
      </w:pPr>
      <w:r>
        <w:rPr/>
        <w:t>*請參見第十二</w:t>
      </w:r>
      <w:r>
        <w:rPr>
          <w:color w:val="FF0000"/>
        </w:rPr>
        <w:t>及十三章</w:t>
      </w:r>
      <w:r>
        <w:rPr/>
        <w:t>抗藥性結核病的治療</w:t>
      </w:r>
    </w:p>
    <w:p>
      <w:pPr>
        <w:pStyle w:val="BodyText"/>
        <w:spacing w:before="16"/>
        <w:rPr>
          <w:sz w:val="18"/>
        </w:rPr>
      </w:pPr>
    </w:p>
    <w:p>
      <w:pPr>
        <w:pStyle w:val="Heading6"/>
        <w:numPr>
          <w:ilvl w:val="1"/>
          <w:numId w:val="3"/>
        </w:numPr>
        <w:tabs>
          <w:tab w:pos="636" w:val="left" w:leader="none"/>
        </w:tabs>
        <w:spacing w:line="240" w:lineRule="auto" w:before="0" w:after="0"/>
        <w:ind w:left="636" w:right="0" w:hanging="476"/>
        <w:jc w:val="left"/>
      </w:pPr>
      <w:bookmarkStart w:name="2.5 通報" w:id="31"/>
      <w:bookmarkEnd w:id="31"/>
      <w:r>
        <w:rPr>
          <w:b w:val="0"/>
        </w:rPr>
      </w:r>
      <w:bookmarkStart w:name="2.5 通報" w:id="32"/>
      <w:bookmarkEnd w:id="32"/>
      <w:r>
        <w:rPr/>
        <w:t>通報</w:t>
      </w:r>
    </w:p>
    <w:p>
      <w:pPr>
        <w:pStyle w:val="ListParagraph"/>
        <w:numPr>
          <w:ilvl w:val="2"/>
          <w:numId w:val="3"/>
        </w:numPr>
        <w:tabs>
          <w:tab w:pos="638" w:val="left" w:leader="none"/>
        </w:tabs>
        <w:spacing w:line="225" w:lineRule="auto" w:before="21" w:after="0"/>
        <w:ind w:left="637" w:right="1363" w:hanging="366"/>
        <w:jc w:val="left"/>
        <w:rPr>
          <w:sz w:val="24"/>
        </w:rPr>
      </w:pPr>
      <w:r>
        <w:rPr>
          <w:spacing w:val="2"/>
          <w:sz w:val="24"/>
        </w:rPr>
        <w:t>所有接受抗結核藥物治療之結核病人皆應通報，包括細菌學確診之結核個案，及醫師臨床診斷為結核病並決定施予一完整療程之抗結核治療之病人。</w:t>
      </w:r>
    </w:p>
    <w:p>
      <w:pPr>
        <w:pStyle w:val="ListParagraph"/>
        <w:numPr>
          <w:ilvl w:val="2"/>
          <w:numId w:val="3"/>
        </w:numPr>
        <w:tabs>
          <w:tab w:pos="638" w:val="left" w:leader="none"/>
        </w:tabs>
        <w:spacing w:line="409" w:lineRule="exact" w:before="0" w:after="0"/>
        <w:ind w:left="637" w:right="0" w:hanging="367"/>
        <w:jc w:val="left"/>
        <w:rPr>
          <w:sz w:val="24"/>
        </w:rPr>
      </w:pPr>
      <w:r>
        <w:rPr>
          <w:spacing w:val="3"/>
          <w:sz w:val="24"/>
        </w:rPr>
        <w:t>細菌學確診之病人即使確診前死亡而未接受抗結核藥物治療亦應通報。</w:t>
      </w:r>
    </w:p>
    <w:p>
      <w:pPr>
        <w:pStyle w:val="ListParagraph"/>
        <w:numPr>
          <w:ilvl w:val="2"/>
          <w:numId w:val="3"/>
        </w:numPr>
        <w:tabs>
          <w:tab w:pos="638" w:val="left" w:leader="none"/>
        </w:tabs>
        <w:spacing w:line="225" w:lineRule="auto" w:before="6" w:after="0"/>
        <w:ind w:left="637" w:right="1363" w:hanging="366"/>
        <w:jc w:val="left"/>
        <w:rPr>
          <w:sz w:val="24"/>
        </w:rPr>
      </w:pPr>
      <w:r>
        <w:rPr>
          <w:spacing w:val="2"/>
          <w:sz w:val="24"/>
        </w:rPr>
        <w:t>非細菌學確診之病人，醫師尚未決定施予一完整療程之抗結核治療，但是因為臨床出現下列情況，亦應通報：</w:t>
      </w:r>
    </w:p>
    <w:p>
      <w:pPr>
        <w:pStyle w:val="ListParagraph"/>
        <w:numPr>
          <w:ilvl w:val="1"/>
          <w:numId w:val="7"/>
        </w:numPr>
        <w:tabs>
          <w:tab w:pos="1146" w:val="left" w:leader="none"/>
        </w:tabs>
        <w:spacing w:line="410" w:lineRule="exact" w:before="0" w:after="0"/>
        <w:ind w:left="1146" w:right="0" w:hanging="513"/>
        <w:jc w:val="left"/>
        <w:rPr>
          <w:sz w:val="24"/>
        </w:rPr>
      </w:pPr>
      <w:r>
        <w:rPr>
          <w:spacing w:val="2"/>
          <w:sz w:val="24"/>
        </w:rPr>
        <w:t>病人出現疑似結核病的症狀、徵候，醫師高度懷疑結核病；或</w:t>
      </w:r>
    </w:p>
    <w:p>
      <w:pPr>
        <w:pStyle w:val="ListParagraph"/>
        <w:numPr>
          <w:ilvl w:val="1"/>
          <w:numId w:val="7"/>
        </w:numPr>
        <w:tabs>
          <w:tab w:pos="1146" w:val="left" w:leader="none"/>
        </w:tabs>
        <w:spacing w:line="415" w:lineRule="exact" w:before="0" w:after="0"/>
        <w:ind w:left="1146" w:right="0" w:hanging="513"/>
        <w:jc w:val="left"/>
        <w:rPr>
          <w:sz w:val="24"/>
        </w:rPr>
      </w:pPr>
      <w:r>
        <w:rPr>
          <w:spacing w:val="3"/>
          <w:sz w:val="24"/>
        </w:rPr>
        <w:t>胸部 </w:t>
      </w:r>
      <w:r>
        <w:rPr>
          <w:sz w:val="24"/>
        </w:rPr>
        <w:t>X</w:t>
      </w:r>
      <w:r>
        <w:rPr>
          <w:spacing w:val="3"/>
          <w:sz w:val="24"/>
        </w:rPr>
        <w:t> 光出現疑似結核病灶，醫師高度懷疑結核病；或</w:t>
      </w:r>
    </w:p>
    <w:p>
      <w:pPr>
        <w:pStyle w:val="ListParagraph"/>
        <w:numPr>
          <w:ilvl w:val="1"/>
          <w:numId w:val="7"/>
        </w:numPr>
        <w:tabs>
          <w:tab w:pos="1146" w:val="left" w:leader="none"/>
        </w:tabs>
        <w:spacing w:line="415" w:lineRule="exact" w:before="0" w:after="0"/>
        <w:ind w:left="1146" w:right="0" w:hanging="513"/>
        <w:jc w:val="left"/>
        <w:rPr>
          <w:sz w:val="24"/>
        </w:rPr>
      </w:pPr>
      <w:r>
        <w:rPr>
          <w:spacing w:val="4"/>
          <w:sz w:val="24"/>
        </w:rPr>
        <w:t>塗片耐酸性染色鏡檢陽性，沒有 </w:t>
      </w:r>
      <w:r>
        <w:rPr>
          <w:sz w:val="23"/>
        </w:rPr>
        <w:t>NAA</w:t>
      </w:r>
      <w:r>
        <w:rPr>
          <w:spacing w:val="-2"/>
          <w:sz w:val="23"/>
        </w:rPr>
        <w:t> </w:t>
      </w:r>
      <w:r>
        <w:rPr>
          <w:sz w:val="23"/>
        </w:rPr>
        <w:t>test</w:t>
      </w:r>
      <w:r>
        <w:rPr>
          <w:spacing w:val="2"/>
          <w:sz w:val="24"/>
        </w:rPr>
        <w:t>結果，但醫師高度懷疑結核病；或</w:t>
      </w:r>
    </w:p>
    <w:p>
      <w:pPr>
        <w:pStyle w:val="ListParagraph"/>
        <w:numPr>
          <w:ilvl w:val="1"/>
          <w:numId w:val="7"/>
        </w:numPr>
        <w:tabs>
          <w:tab w:pos="1146" w:val="left" w:leader="none"/>
        </w:tabs>
        <w:spacing w:line="428" w:lineRule="exact" w:before="0" w:after="0"/>
        <w:ind w:left="1146" w:right="0" w:hanging="513"/>
        <w:jc w:val="left"/>
        <w:rPr>
          <w:sz w:val="24"/>
        </w:rPr>
      </w:pPr>
      <w:r>
        <w:rPr>
          <w:spacing w:val="3"/>
          <w:sz w:val="24"/>
        </w:rPr>
        <w:t>符合伴隨乾酪性壞死之肉芽腫變化等典型結核分枝桿菌感染之病理報告者。</w:t>
      </w:r>
    </w:p>
    <w:p>
      <w:pPr>
        <w:pStyle w:val="BodyText"/>
        <w:spacing w:line="225" w:lineRule="auto" w:before="41"/>
        <w:ind w:left="633" w:right="1357" w:firstLine="488"/>
      </w:pPr>
      <w:r>
        <w:rPr/>
        <w:t>通報這類病人的主要目的是避免病人在完成診斷之前丟失。若病人不再回到原診療院所就醫，公共衛生人員會繼續追蹤其就醫情況，直到確定是否是結核病。</w:t>
      </w:r>
    </w:p>
    <w:p>
      <w:pPr>
        <w:pStyle w:val="ListParagraph"/>
        <w:numPr>
          <w:ilvl w:val="2"/>
          <w:numId w:val="3"/>
        </w:numPr>
        <w:tabs>
          <w:tab w:pos="638" w:val="left" w:leader="none"/>
        </w:tabs>
        <w:spacing w:line="225" w:lineRule="auto" w:before="1" w:after="0"/>
        <w:ind w:left="637" w:right="1357" w:hanging="366"/>
        <w:jc w:val="left"/>
        <w:rPr>
          <w:sz w:val="24"/>
        </w:rPr>
      </w:pPr>
      <w:r>
        <w:rPr>
          <w:spacing w:val="2"/>
          <w:sz w:val="24"/>
        </w:rPr>
        <w:t>當傳統藥物感受性試驗結果顯示對 </w:t>
      </w:r>
      <w:r>
        <w:rPr>
          <w:sz w:val="24"/>
        </w:rPr>
        <w:t>isoniazid</w:t>
      </w:r>
      <w:r>
        <w:rPr>
          <w:spacing w:val="4"/>
          <w:sz w:val="24"/>
        </w:rPr>
        <w:t>、</w:t>
      </w:r>
      <w:r>
        <w:rPr>
          <w:sz w:val="24"/>
        </w:rPr>
        <w:t>rifampin</w:t>
      </w:r>
      <w:r>
        <w:rPr>
          <w:spacing w:val="3"/>
          <w:sz w:val="24"/>
        </w:rPr>
        <w:t> 抗藥者，應另外通報為多重抗藥結核病，通報之類別依照最近一次結核病治療史之治療結果進行分類。</w:t>
      </w:r>
    </w:p>
    <w:p>
      <w:pPr>
        <w:pStyle w:val="ListParagraph"/>
        <w:numPr>
          <w:ilvl w:val="2"/>
          <w:numId w:val="3"/>
        </w:numPr>
        <w:tabs>
          <w:tab w:pos="638" w:val="left" w:leader="none"/>
        </w:tabs>
        <w:spacing w:line="225" w:lineRule="auto" w:before="0" w:after="0"/>
        <w:ind w:left="637" w:right="1301" w:hanging="366"/>
        <w:jc w:val="left"/>
        <w:rPr>
          <w:sz w:val="24"/>
        </w:rPr>
      </w:pPr>
      <w:r>
        <w:rPr>
          <w:spacing w:val="2"/>
          <w:sz w:val="24"/>
        </w:rPr>
        <w:t>通報多重抗藥結核病時，需將菌株送至疾病管制署確認。當多重抗藥結核病人治療失</w:t>
      </w:r>
      <w:r>
        <w:rPr>
          <w:spacing w:val="-2"/>
          <w:sz w:val="24"/>
        </w:rPr>
        <w:t>敗、或治療過程中有檢驗結果顯示為</w:t>
      </w:r>
      <w:r>
        <w:rPr>
          <w:sz w:val="24"/>
        </w:rPr>
        <w:t>XDR-TB，亦需將菌株送至疾病管制署再次確認。</w:t>
      </w:r>
    </w:p>
    <w:p>
      <w:pPr>
        <w:pStyle w:val="BodyText"/>
        <w:spacing w:before="6"/>
        <w:rPr>
          <w:sz w:val="19"/>
        </w:rPr>
      </w:pPr>
    </w:p>
    <w:p>
      <w:pPr>
        <w:pStyle w:val="Heading6"/>
        <w:ind w:left="160"/>
      </w:pPr>
      <w:r>
        <w:rPr/>
        <w:t>關於通報部分，在此舉例說明以供臨床醫師參考：</w:t>
      </w:r>
    </w:p>
    <w:p>
      <w:pPr>
        <w:pStyle w:val="Heading7"/>
        <w:spacing w:before="47"/>
        <w:ind w:left="160"/>
        <w:jc w:val="left"/>
      </w:pPr>
      <w:r>
        <w:rPr>
          <w:shd w:fill="D9D9D9" w:color="auto" w:val="clear"/>
        </w:rPr>
        <w:t>案例一：</w:t>
      </w:r>
    </w:p>
    <w:p>
      <w:pPr>
        <w:pStyle w:val="BodyText"/>
        <w:spacing w:line="223" w:lineRule="auto" w:before="56"/>
        <w:ind w:left="160" w:right="1297" w:firstLine="480"/>
        <w:jc w:val="both"/>
      </w:pPr>
      <w:r>
        <w:rPr>
          <w:spacing w:val="-4"/>
        </w:rPr>
        <w:t>王先生，為 </w:t>
      </w:r>
      <w:r>
        <w:rPr/>
        <w:t>70 歲男性病人已吸菸 30</w:t>
      </w:r>
      <w:r>
        <w:rPr>
          <w:spacing w:val="-5"/>
        </w:rPr>
        <w:t> 多年，於  </w:t>
      </w:r>
      <w:r>
        <w:rPr/>
        <w:t>2008  年  1</w:t>
      </w:r>
      <w:r>
        <w:rPr>
          <w:spacing w:val="-6"/>
        </w:rPr>
        <w:t>  月就診，主訴咳嗽有痰， </w:t>
      </w:r>
      <w:r>
        <w:rPr>
          <w:spacing w:val="1"/>
        </w:rPr>
        <w:t>且活動量較大時會喘。當時胸部 </w:t>
      </w:r>
      <w:r>
        <w:rPr/>
        <w:t>X 光顯示左側肺葉支氣管擴張（brochiectasis）</w:t>
      </w:r>
      <w:r>
        <w:rPr>
          <w:spacing w:val="-2"/>
        </w:rPr>
        <w:t>。此後病</w:t>
      </w:r>
      <w:r>
        <w:rPr>
          <w:spacing w:val="-6"/>
        </w:rPr>
        <w:t>人斷斷續續於門診就診。</w:t>
      </w:r>
      <w:r>
        <w:rPr/>
        <w:t>2014</w:t>
      </w:r>
      <w:r>
        <w:rPr>
          <w:spacing w:val="19"/>
        </w:rPr>
        <w:t> 年 </w:t>
      </w:r>
      <w:r>
        <w:rPr/>
        <w:t>1</w:t>
      </w:r>
      <w:r>
        <w:rPr>
          <w:spacing w:val="-3"/>
        </w:rPr>
        <w:t> 月，病人主訴活動時呼吸不順暢的現象於近 </w:t>
      </w:r>
      <w:r>
        <w:rPr/>
        <w:t>3</w:t>
      </w:r>
      <w:r>
        <w:rPr>
          <w:spacing w:val="15"/>
        </w:rPr>
        <w:t> 個月變</w:t>
      </w:r>
      <w:r>
        <w:rPr>
          <w:spacing w:val="14"/>
        </w:rPr>
        <w:t>得更為嚴重，且仍咳嗽、咳痰。胸部 </w:t>
      </w:r>
      <w:r>
        <w:rPr/>
        <w:t>X 光顯示左側肺部病灶惡化，痰塗片為陽性。醫師於</w:t>
      </w:r>
      <w:r>
        <w:rPr>
          <w:spacing w:val="-6"/>
        </w:rPr>
        <w:t>是開始一線抗結核藥物治療，並且將此個案通報疾病管制署。因為痰塗片耐酸性染色鏡檢陽</w:t>
      </w:r>
      <w:r>
        <w:rPr>
          <w:spacing w:val="-10"/>
        </w:rPr>
        <w:t>性也可能是非結核分枝桿菌，醫師進一步進行</w:t>
      </w:r>
      <w:r>
        <w:rPr/>
        <w:t>NAA</w:t>
      </w:r>
      <w:r>
        <w:rPr>
          <w:spacing w:val="-19"/>
        </w:rPr>
        <w:t> </w:t>
      </w:r>
      <w:r>
        <w:rPr/>
        <w:t>test</w:t>
      </w:r>
      <w:r>
        <w:rPr>
          <w:spacing w:val="-10"/>
        </w:rPr>
        <w:t>及痰培養。</w:t>
      </w:r>
      <w:r>
        <w:rPr/>
        <w:t>NAA</w:t>
      </w:r>
      <w:r>
        <w:rPr>
          <w:spacing w:val="-19"/>
        </w:rPr>
        <w:t> </w:t>
      </w:r>
      <w:r>
        <w:rPr/>
        <w:t>test</w:t>
      </w:r>
      <w:r>
        <w:rPr>
          <w:spacing w:val="-8"/>
        </w:rPr>
        <w:t>為陰性，表示很</w:t>
      </w:r>
      <w:r>
        <w:rPr>
          <w:spacing w:val="-13"/>
        </w:rPr>
        <w:t>有可能是非結核分枝桿菌。於是醫師將此病例提到胸腔科討論會上跟其他醫師一起討論。會</w:t>
      </w:r>
    </w:p>
    <w:p>
      <w:pPr>
        <w:spacing w:after="0" w:line="223" w:lineRule="auto"/>
        <w:jc w:val="both"/>
        <w:sectPr>
          <w:pgSz w:w="12250" w:h="17190"/>
          <w:pgMar w:header="0" w:footer="828" w:top="1460" w:bottom="1040" w:left="1200" w:right="0"/>
        </w:sectPr>
      </w:pPr>
    </w:p>
    <w:p>
      <w:pPr>
        <w:spacing w:line="218" w:lineRule="auto" w:before="47"/>
        <w:ind w:left="160" w:right="1311" w:firstLine="0"/>
        <w:jc w:val="left"/>
        <w:rPr>
          <w:sz w:val="24"/>
        </w:rPr>
      </w:pPr>
      <w:r>
        <w:rPr>
          <w:w w:val="95"/>
          <w:sz w:val="24"/>
        </w:rPr>
        <w:t>中建議，暫緩抗結核治療。後來痰培養陽性，鑑定結果為</w:t>
      </w:r>
      <w:r>
        <w:rPr>
          <w:i/>
          <w:w w:val="95"/>
          <w:sz w:val="26"/>
        </w:rPr>
        <w:t>Mycobacterium   gordonae</w:t>
      </w:r>
      <w:r>
        <w:rPr>
          <w:w w:val="95"/>
          <w:sz w:val="24"/>
        </w:rPr>
        <w:t>。醫</w:t>
      </w:r>
      <w:r>
        <w:rPr>
          <w:sz w:val="24"/>
        </w:rPr>
        <w:t>師於是排除結核病的診斷並通知衛生局結案。</w:t>
      </w:r>
    </w:p>
    <w:p>
      <w:pPr>
        <w:pStyle w:val="Heading7"/>
        <w:spacing w:before="184"/>
        <w:ind w:left="160"/>
        <w:jc w:val="left"/>
      </w:pPr>
      <w:r>
        <w:rPr>
          <w:shd w:fill="D9D9D9" w:color="auto" w:val="clear"/>
        </w:rPr>
        <w:t>案例二：</w:t>
      </w:r>
    </w:p>
    <w:p>
      <w:pPr>
        <w:pStyle w:val="BodyText"/>
        <w:spacing w:line="228" w:lineRule="auto" w:before="57"/>
        <w:ind w:left="160" w:right="1298" w:firstLine="488"/>
        <w:jc w:val="both"/>
      </w:pPr>
      <w:r>
        <w:rPr/>
        <w:t>77</w:t>
      </w:r>
      <w:r>
        <w:rPr>
          <w:spacing w:val="2"/>
        </w:rPr>
        <w:t> 歲張先生男性，有高血壓和慢性阻塞性肺病。他曾在 </w:t>
      </w:r>
      <w:r>
        <w:rPr/>
        <w:t>2006</w:t>
      </w:r>
      <w:r>
        <w:rPr>
          <w:spacing w:val="2"/>
        </w:rPr>
        <w:t>  年接受抗結核藥物治</w:t>
      </w:r>
      <w:r>
        <w:rPr>
          <w:spacing w:val="4"/>
        </w:rPr>
        <w:t>療，且完治。不幸在 </w:t>
      </w:r>
      <w:r>
        <w:rPr/>
        <w:t>2008</w:t>
      </w:r>
      <w:r>
        <w:rPr>
          <w:spacing w:val="2"/>
        </w:rPr>
        <w:t> 年，結核病復發，當時的結核分枝桿菌藥物感受性試驗結果為</w:t>
      </w:r>
      <w:r>
        <w:rPr>
          <w:spacing w:val="-10"/>
        </w:rPr>
        <w:t>多重抗藥（MDR-TB）</w:t>
      </w:r>
      <w:r>
        <w:rPr>
          <w:spacing w:val="-5"/>
        </w:rPr>
        <w:t>，因此開始多重抗藥結核病治療，並且在 </w:t>
      </w:r>
      <w:r>
        <w:rPr/>
        <w:t>2012</w:t>
      </w:r>
      <w:r>
        <w:rPr>
          <w:spacing w:val="-3"/>
        </w:rPr>
        <w:t> 年完治。然而 </w:t>
      </w:r>
      <w:r>
        <w:rPr/>
        <w:t>2016 </w:t>
      </w:r>
      <w:r>
        <w:rPr>
          <w:spacing w:val="-9"/>
        </w:rPr>
        <w:t>年張先生又出現咳嗽、喘、胸悶、咳血等症狀，因此至 </w:t>
      </w:r>
      <w:r>
        <w:rPr/>
        <w:t>A</w:t>
      </w:r>
      <w:r>
        <w:rPr>
          <w:spacing w:val="-6"/>
        </w:rPr>
        <w:t> 醫院就醫，醫師留痰檢查發現痰塗</w:t>
      </w:r>
      <w:r>
        <w:rPr>
          <w:spacing w:val="-9"/>
        </w:rPr>
        <w:t>片耐酸性染色鏡檢陽性，因此再次通報為結核病個案，並且將痰檢體送至疾管署進行分子檢</w:t>
      </w:r>
      <w:r>
        <w:rPr>
          <w:spacing w:val="-3"/>
        </w:rPr>
        <w:t>驗。檢驗結果仍為 </w:t>
      </w:r>
      <w:r>
        <w:rPr/>
        <w:t>isoniazid 及 rifampin</w:t>
      </w:r>
      <w:r>
        <w:rPr>
          <w:spacing w:val="-2"/>
        </w:rPr>
        <w:t> 抗藥，然而痰培養卻一直都是陰性。張先生後來</w:t>
      </w:r>
      <w:r>
        <w:rPr>
          <w:spacing w:val="3"/>
        </w:rPr>
        <w:t>轉回先前治療多重抗藥的 </w:t>
      </w:r>
      <w:r>
        <w:rPr/>
        <w:t>B 醫院，醫師檢視這次通報的胸部 X</w:t>
      </w:r>
      <w:r>
        <w:rPr>
          <w:spacing w:val="-3"/>
        </w:rPr>
        <w:t> 光，並與前次多重抗藥結核</w:t>
      </w:r>
      <w:r>
        <w:rPr>
          <w:spacing w:val="5"/>
        </w:rPr>
        <w:t>結束治療時的 </w:t>
      </w:r>
      <w:r>
        <w:rPr/>
        <w:t>X</w:t>
      </w:r>
      <w:r>
        <w:rPr>
          <w:spacing w:val="-10"/>
        </w:rPr>
        <w:t> 光進行比較，發現胸部病灶並無惡化。由於死菌的分子檢驗仍可呈現陽性， </w:t>
      </w:r>
      <w:r>
        <w:rPr>
          <w:spacing w:val="-5"/>
        </w:rPr>
        <w:t>因此醫師暫未給予抗結核藥物治療，並將此案例提到疾管署的病例討論會討論。會議結論贊同暫緩抗結核治療，並建議排除診斷。</w:t>
      </w:r>
    </w:p>
    <w:p>
      <w:pPr>
        <w:pStyle w:val="Heading7"/>
        <w:spacing w:line="431" w:lineRule="exact" w:before="147"/>
        <w:ind w:left="160"/>
        <w:jc w:val="left"/>
      </w:pPr>
      <w:r>
        <w:rPr/>
        <w:t>註解：</w:t>
      </w:r>
    </w:p>
    <w:p>
      <w:pPr>
        <w:pStyle w:val="ListParagraph"/>
        <w:numPr>
          <w:ilvl w:val="0"/>
          <w:numId w:val="8"/>
        </w:numPr>
        <w:tabs>
          <w:tab w:pos="519" w:val="left" w:leader="none"/>
        </w:tabs>
        <w:spacing w:line="228" w:lineRule="auto" w:before="5" w:after="0"/>
        <w:ind w:left="518" w:right="1356" w:hanging="324"/>
        <w:jc w:val="left"/>
        <w:rPr>
          <w:sz w:val="24"/>
        </w:rPr>
      </w:pPr>
      <w:r>
        <w:rPr>
          <w:sz w:val="24"/>
        </w:rPr>
        <w:t>醫師診斷為潛伏結核感染(latent</w:t>
      </w:r>
      <w:r>
        <w:rPr>
          <w:spacing w:val="15"/>
          <w:sz w:val="24"/>
        </w:rPr>
        <w:t> </w:t>
      </w:r>
      <w:r>
        <w:rPr>
          <w:sz w:val="24"/>
        </w:rPr>
        <w:t>tuberculosis</w:t>
      </w:r>
      <w:r>
        <w:rPr>
          <w:spacing w:val="16"/>
          <w:sz w:val="24"/>
        </w:rPr>
        <w:t> </w:t>
      </w:r>
      <w:r>
        <w:rPr>
          <w:sz w:val="24"/>
        </w:rPr>
        <w:t>infection)而施予潛伏結核感染治療者， 不需通報。</w:t>
      </w:r>
    </w:p>
    <w:p>
      <w:pPr>
        <w:pStyle w:val="ListParagraph"/>
        <w:numPr>
          <w:ilvl w:val="0"/>
          <w:numId w:val="8"/>
        </w:numPr>
        <w:tabs>
          <w:tab w:pos="519" w:val="left" w:leader="none"/>
        </w:tabs>
        <w:spacing w:line="416" w:lineRule="exact" w:before="0" w:after="0"/>
        <w:ind w:left="518" w:right="0" w:hanging="325"/>
        <w:jc w:val="left"/>
        <w:rPr>
          <w:sz w:val="24"/>
        </w:rPr>
      </w:pPr>
      <w:r>
        <w:rPr>
          <w:sz w:val="24"/>
        </w:rPr>
        <w:t>非結核分枝桿菌感染者，不需通報；已通報者應排除診斷。</w:t>
      </w:r>
    </w:p>
    <w:p>
      <w:pPr>
        <w:pStyle w:val="ListParagraph"/>
        <w:numPr>
          <w:ilvl w:val="0"/>
          <w:numId w:val="8"/>
        </w:numPr>
        <w:tabs>
          <w:tab w:pos="519" w:val="left" w:leader="none"/>
        </w:tabs>
        <w:spacing w:line="228" w:lineRule="auto" w:before="6" w:after="0"/>
        <w:ind w:left="518" w:right="1451" w:hanging="324"/>
        <w:jc w:val="left"/>
        <w:rPr>
          <w:sz w:val="22"/>
        </w:rPr>
      </w:pPr>
      <w:r>
        <w:rPr>
          <w:sz w:val="24"/>
        </w:rPr>
        <w:t>關於通報之病例定義，請見疾病管制署全球資訊網首頁/傳染病與防疫專題/</w:t>
      </w:r>
      <w:r>
        <w:rPr>
          <w:spacing w:val="-3"/>
          <w:sz w:val="24"/>
        </w:rPr>
        <w:t>傳染病病例</w:t>
      </w:r>
      <w:r>
        <w:rPr>
          <w:sz w:val="24"/>
        </w:rPr>
        <w:t>定義暨防疫檢體採檢送驗事項/第三類法定傳染病/結核病(</w:t>
      </w:r>
      <w:r>
        <w:rPr>
          <w:sz w:val="22"/>
        </w:rPr>
        <w:t>https:/</w:t>
      </w:r>
      <w:hyperlink r:id="rId13">
        <w:r>
          <w:rPr>
            <w:sz w:val="22"/>
          </w:rPr>
          <w:t>/www.cdc.gov.tw/File/Get/jo3E819KTQnK9fuuUdrSxQ)</w:t>
        </w:r>
      </w:hyperlink>
    </w:p>
    <w:p>
      <w:pPr>
        <w:pStyle w:val="BodyText"/>
        <w:spacing w:before="6"/>
        <w:rPr>
          <w:sz w:val="21"/>
        </w:rPr>
      </w:pPr>
    </w:p>
    <w:p>
      <w:pPr>
        <w:pStyle w:val="Heading6"/>
        <w:numPr>
          <w:ilvl w:val="1"/>
          <w:numId w:val="3"/>
        </w:numPr>
        <w:tabs>
          <w:tab w:pos="636" w:val="left" w:leader="none"/>
        </w:tabs>
        <w:spacing w:line="453" w:lineRule="exact" w:before="0" w:after="0"/>
        <w:ind w:left="636" w:right="0" w:hanging="476"/>
        <w:jc w:val="left"/>
      </w:pPr>
      <w:bookmarkStart w:name="2.6 治療結果" w:id="33"/>
      <w:bookmarkEnd w:id="33"/>
      <w:r>
        <w:rPr>
          <w:b w:val="0"/>
        </w:rPr>
      </w:r>
      <w:bookmarkStart w:name="2.6 治療結果" w:id="34"/>
      <w:bookmarkEnd w:id="34"/>
      <w:r>
        <w:rPr/>
        <w:t>治療結果</w:t>
      </w:r>
    </w:p>
    <w:p>
      <w:pPr>
        <w:pStyle w:val="Heading7"/>
        <w:numPr>
          <w:ilvl w:val="2"/>
          <w:numId w:val="9"/>
        </w:numPr>
        <w:tabs>
          <w:tab w:pos="932" w:val="left" w:leader="none"/>
        </w:tabs>
        <w:spacing w:line="423" w:lineRule="exact" w:before="0" w:after="0"/>
        <w:ind w:left="931" w:right="0" w:hanging="661"/>
        <w:jc w:val="left"/>
      </w:pPr>
      <w:r>
        <w:rPr/>
        <w:t>一般結核病人，其治療結果分類如下：</w:t>
      </w:r>
    </w:p>
    <w:p>
      <w:pPr>
        <w:pStyle w:val="ListParagraph"/>
        <w:numPr>
          <w:ilvl w:val="3"/>
          <w:numId w:val="9"/>
        </w:numPr>
        <w:tabs>
          <w:tab w:pos="916" w:val="left" w:leader="none"/>
        </w:tabs>
        <w:spacing w:line="228" w:lineRule="auto" w:before="6" w:after="0"/>
        <w:ind w:left="915" w:right="1356" w:hanging="260"/>
        <w:jc w:val="left"/>
        <w:rPr>
          <w:sz w:val="24"/>
        </w:rPr>
      </w:pPr>
      <w:r>
        <w:rPr>
          <w:spacing w:val="13"/>
          <w:sz w:val="24"/>
        </w:rPr>
        <w:t>治癒 (</w:t>
      </w:r>
      <w:r>
        <w:rPr>
          <w:sz w:val="24"/>
        </w:rPr>
        <w:t>Cured)：細菌學確診之結核個案於治療過程中至少一次痰培養陰性且最後一個月之治療時痰培養陰性。</w:t>
      </w:r>
    </w:p>
    <w:p>
      <w:pPr>
        <w:pStyle w:val="ListParagraph"/>
        <w:numPr>
          <w:ilvl w:val="3"/>
          <w:numId w:val="9"/>
        </w:numPr>
        <w:tabs>
          <w:tab w:pos="922" w:val="left" w:leader="none"/>
        </w:tabs>
        <w:spacing w:line="228" w:lineRule="auto" w:before="1" w:after="0"/>
        <w:ind w:left="921" w:right="1361" w:hanging="266"/>
        <w:jc w:val="left"/>
        <w:rPr>
          <w:sz w:val="24"/>
        </w:rPr>
      </w:pPr>
      <w:r>
        <w:rPr>
          <w:spacing w:val="21"/>
          <w:sz w:val="24"/>
        </w:rPr>
        <w:t>完治 (</w:t>
      </w:r>
      <w:r>
        <w:rPr>
          <w:spacing w:val="8"/>
          <w:sz w:val="24"/>
        </w:rPr>
        <w:t>Treatment</w:t>
      </w:r>
      <w:r>
        <w:rPr>
          <w:spacing w:val="49"/>
          <w:sz w:val="24"/>
        </w:rPr>
        <w:t> </w:t>
      </w:r>
      <w:r>
        <w:rPr>
          <w:sz w:val="24"/>
        </w:rPr>
        <w:t>completed)：病人已完成治療但其痰檢驗無法歸類為治癒或治療失敗。</w:t>
      </w:r>
    </w:p>
    <w:p>
      <w:pPr>
        <w:pStyle w:val="ListParagraph"/>
        <w:numPr>
          <w:ilvl w:val="3"/>
          <w:numId w:val="9"/>
        </w:numPr>
        <w:tabs>
          <w:tab w:pos="892" w:val="left" w:leader="none"/>
        </w:tabs>
        <w:spacing w:line="228" w:lineRule="auto" w:before="2" w:after="0"/>
        <w:ind w:left="891" w:right="1344" w:hanging="236"/>
        <w:jc w:val="left"/>
        <w:rPr>
          <w:sz w:val="24"/>
        </w:rPr>
      </w:pPr>
      <w:r>
        <w:rPr>
          <w:spacing w:val="12"/>
          <w:sz w:val="24"/>
        </w:rPr>
        <w:t>失敗 (</w:t>
      </w:r>
      <w:r>
        <w:rPr>
          <w:sz w:val="24"/>
        </w:rPr>
        <w:t>Failed</w:t>
      </w:r>
      <w:r>
        <w:rPr>
          <w:spacing w:val="-21"/>
          <w:sz w:val="24"/>
        </w:rPr>
        <w:t>)：治療滿四個月後依然痰培養陽性，或者治療前痰陰性、治療二個月後變成</w:t>
      </w:r>
      <w:r>
        <w:rPr>
          <w:spacing w:val="-16"/>
          <w:sz w:val="24"/>
        </w:rPr>
        <w:t>痰培養陽性的病人。</w:t>
      </w:r>
    </w:p>
    <w:p>
      <w:pPr>
        <w:pStyle w:val="ListParagraph"/>
        <w:numPr>
          <w:ilvl w:val="3"/>
          <w:numId w:val="9"/>
        </w:numPr>
        <w:tabs>
          <w:tab w:pos="897" w:val="left" w:leader="none"/>
        </w:tabs>
        <w:spacing w:line="416" w:lineRule="exact" w:before="0" w:after="0"/>
        <w:ind w:left="896" w:right="0" w:hanging="241"/>
        <w:jc w:val="left"/>
        <w:rPr>
          <w:sz w:val="24"/>
        </w:rPr>
      </w:pPr>
      <w:r>
        <w:rPr>
          <w:spacing w:val="1"/>
          <w:sz w:val="24"/>
        </w:rPr>
        <w:t>死亡 (</w:t>
      </w:r>
      <w:r>
        <w:rPr>
          <w:spacing w:val="5"/>
          <w:sz w:val="24"/>
        </w:rPr>
        <w:t>Died</w:t>
      </w:r>
      <w:r>
        <w:rPr>
          <w:sz w:val="24"/>
        </w:rPr>
        <w:t>)：病人於治療過程中因任何死因死亡。</w:t>
      </w:r>
    </w:p>
    <w:p>
      <w:pPr>
        <w:pStyle w:val="ListParagraph"/>
        <w:numPr>
          <w:ilvl w:val="3"/>
          <w:numId w:val="9"/>
        </w:numPr>
        <w:tabs>
          <w:tab w:pos="897" w:val="left" w:leader="none"/>
        </w:tabs>
        <w:spacing w:line="420" w:lineRule="exact" w:before="0" w:after="0"/>
        <w:ind w:left="896" w:right="0" w:hanging="241"/>
        <w:jc w:val="left"/>
        <w:rPr>
          <w:sz w:val="24"/>
        </w:rPr>
      </w:pPr>
      <w:r>
        <w:rPr>
          <w:spacing w:val="14"/>
          <w:sz w:val="24"/>
        </w:rPr>
        <w:t>失落 (</w:t>
      </w:r>
      <w:r>
        <w:rPr>
          <w:sz w:val="24"/>
        </w:rPr>
        <w:t>Loss</w:t>
      </w:r>
      <w:r>
        <w:rPr>
          <w:spacing w:val="-1"/>
          <w:sz w:val="24"/>
        </w:rPr>
        <w:t> </w:t>
      </w:r>
      <w:r>
        <w:rPr>
          <w:sz w:val="24"/>
        </w:rPr>
        <w:t>to</w:t>
      </w:r>
      <w:r>
        <w:rPr>
          <w:spacing w:val="-1"/>
          <w:sz w:val="24"/>
        </w:rPr>
        <w:t> </w:t>
      </w:r>
      <w:r>
        <w:rPr>
          <w:sz w:val="24"/>
        </w:rPr>
        <w:t>follow-up)：連續中斷治療兩個月以上。</w:t>
      </w:r>
    </w:p>
    <w:p>
      <w:pPr>
        <w:pStyle w:val="ListParagraph"/>
        <w:numPr>
          <w:ilvl w:val="3"/>
          <w:numId w:val="9"/>
        </w:numPr>
        <w:tabs>
          <w:tab w:pos="890" w:val="left" w:leader="none"/>
        </w:tabs>
        <w:spacing w:line="420" w:lineRule="exact" w:before="0" w:after="0"/>
        <w:ind w:left="889" w:right="0" w:hanging="234"/>
        <w:jc w:val="left"/>
        <w:rPr>
          <w:sz w:val="24"/>
        </w:rPr>
      </w:pPr>
      <w:r>
        <w:rPr>
          <w:spacing w:val="19"/>
          <w:sz w:val="24"/>
        </w:rPr>
        <w:t>未評估</w:t>
      </w:r>
      <w:r>
        <w:rPr>
          <w:sz w:val="24"/>
        </w:rPr>
        <w:t>(Not</w:t>
      </w:r>
      <w:r>
        <w:rPr>
          <w:spacing w:val="-3"/>
          <w:sz w:val="24"/>
        </w:rPr>
        <w:t> </w:t>
      </w:r>
      <w:r>
        <w:rPr>
          <w:sz w:val="24"/>
        </w:rPr>
        <w:t>evaluated)：在評估治療結果時仍在治療中（登記年後12個月）。</w:t>
      </w:r>
    </w:p>
    <w:p>
      <w:pPr>
        <w:pStyle w:val="ListParagraph"/>
        <w:numPr>
          <w:ilvl w:val="3"/>
          <w:numId w:val="9"/>
        </w:numPr>
        <w:tabs>
          <w:tab w:pos="894" w:val="left" w:leader="none"/>
        </w:tabs>
        <w:spacing w:line="431" w:lineRule="exact" w:before="0" w:after="0"/>
        <w:ind w:left="894" w:right="0" w:hanging="238"/>
        <w:jc w:val="left"/>
        <w:rPr>
          <w:sz w:val="24"/>
        </w:rPr>
      </w:pPr>
      <w:r>
        <w:rPr>
          <w:spacing w:val="11"/>
          <w:sz w:val="24"/>
        </w:rPr>
        <w:t>轉出 (</w:t>
      </w:r>
      <w:r>
        <w:rPr>
          <w:spacing w:val="-4"/>
          <w:sz w:val="24"/>
        </w:rPr>
        <w:t>Transferred </w:t>
      </w:r>
      <w:r>
        <w:rPr>
          <w:sz w:val="24"/>
        </w:rPr>
        <w:t>out)：病人轉到其他單位治療且其治療結果不詳。</w:t>
      </w:r>
    </w:p>
    <w:p>
      <w:pPr>
        <w:spacing w:after="0" w:line="431" w:lineRule="exact"/>
        <w:jc w:val="left"/>
        <w:rPr>
          <w:sz w:val="24"/>
        </w:rPr>
        <w:sectPr>
          <w:pgSz w:w="12250" w:h="17190"/>
          <w:pgMar w:header="0" w:footer="828" w:top="1440" w:bottom="1020" w:left="1200" w:right="0"/>
        </w:sectPr>
      </w:pPr>
    </w:p>
    <w:p>
      <w:pPr>
        <w:pStyle w:val="Heading7"/>
        <w:numPr>
          <w:ilvl w:val="2"/>
          <w:numId w:val="9"/>
        </w:numPr>
        <w:tabs>
          <w:tab w:pos="932" w:val="left" w:leader="none"/>
        </w:tabs>
        <w:spacing w:line="435" w:lineRule="exact" w:before="62" w:after="0"/>
        <w:ind w:left="931" w:right="0" w:hanging="661"/>
        <w:jc w:val="left"/>
      </w:pPr>
      <w:r>
        <w:rPr/>
        <w:pict>
          <v:group style="position:absolute;margin-left:567pt;margin-top:.510720pt;width:45.5pt;height:163.550pt;mso-position-horizontal-relative:page;mso-position-vertical-relative:paragraph;z-index:251669504" coordorigin="11340,10" coordsize="910,3271">
            <v:shape style="position:absolute;left:11340;top:10;width:910;height:3271" coordorigin="11340,10" coordsize="910,3271" path="m12167,10l11505,10,11441,23,11388,59,11353,111,11340,176,11340,3116,11353,3180,11388,3233,11441,3268,11505,3281,12167,3281,12231,3268,12250,3256,12250,36,12231,23,12167,10xe" filled="true" fillcolor="#a6a6a6" stroked="false">
              <v:path arrowok="t"/>
              <v:fill type="solid"/>
            </v:shape>
            <v:shape style="position:absolute;left:11340;top:10;width:910;height:3271" type="#_x0000_t202" filled="false" stroked="false">
              <v:textbox inset="0,0,0,0">
                <w:txbxContent>
                  <w:p>
                    <w:pPr>
                      <w:spacing w:line="146" w:lineRule="auto" w:before="126"/>
                      <w:ind w:left="136" w:right="551" w:firstLine="0"/>
                      <w:jc w:val="both"/>
                      <w:rPr>
                        <w:sz w:val="22"/>
                      </w:rPr>
                    </w:pPr>
                    <w:r>
                      <w:rPr>
                        <w:sz w:val="22"/>
                      </w:rPr>
                      <w:t>第二章</w:t>
                    </w:r>
                  </w:p>
                  <w:p>
                    <w:pPr>
                      <w:spacing w:line="141" w:lineRule="auto" w:before="175"/>
                      <w:ind w:left="136" w:right="551" w:firstLine="0"/>
                      <w:jc w:val="both"/>
                      <w:rPr>
                        <w:sz w:val="22"/>
                      </w:rPr>
                    </w:pPr>
                    <w:r>
                      <w:rPr>
                        <w:sz w:val="22"/>
                      </w:rPr>
                      <w:t>結核病的分類與定義</w:t>
                    </w:r>
                  </w:p>
                </w:txbxContent>
              </v:textbox>
              <w10:wrap type="none"/>
            </v:shape>
            <w10:wrap type="none"/>
          </v:group>
        </w:pict>
      </w:r>
      <w:r>
        <w:rPr/>
        <w:t>多重抗藥結核病人，其治療結果分類如下：</w:t>
      </w:r>
    </w:p>
    <w:p>
      <w:pPr>
        <w:pStyle w:val="ListParagraph"/>
        <w:numPr>
          <w:ilvl w:val="3"/>
          <w:numId w:val="9"/>
        </w:numPr>
        <w:tabs>
          <w:tab w:pos="900" w:val="left" w:leader="none"/>
        </w:tabs>
        <w:spacing w:line="228" w:lineRule="auto" w:before="10" w:after="0"/>
        <w:ind w:left="900" w:right="1363" w:hanging="244"/>
        <w:jc w:val="left"/>
        <w:rPr>
          <w:sz w:val="24"/>
        </w:rPr>
      </w:pPr>
      <w:r>
        <w:rPr>
          <w:spacing w:val="5"/>
          <w:sz w:val="24"/>
        </w:rPr>
        <w:t>治癒 (</w:t>
      </w:r>
      <w:r>
        <w:rPr>
          <w:sz w:val="24"/>
        </w:rPr>
        <w:t>Cured)：依據國家政策建議完成治療療程且無證據顯示失敗，而且在加強期</w:t>
      </w:r>
      <w:r>
        <w:rPr>
          <w:spacing w:val="1"/>
          <w:sz w:val="24"/>
        </w:rPr>
        <w:t>結束後最少連續三次以上痰培養陰性，每次至少間隔 </w:t>
      </w:r>
      <w:r>
        <w:rPr>
          <w:sz w:val="24"/>
        </w:rPr>
        <w:t>30</w:t>
      </w:r>
      <w:r>
        <w:rPr>
          <w:spacing w:val="4"/>
          <w:sz w:val="24"/>
        </w:rPr>
        <w:t> 天。</w:t>
      </w:r>
    </w:p>
    <w:p>
      <w:pPr>
        <w:pStyle w:val="ListParagraph"/>
        <w:numPr>
          <w:ilvl w:val="3"/>
          <w:numId w:val="9"/>
        </w:numPr>
        <w:tabs>
          <w:tab w:pos="900" w:val="left" w:leader="none"/>
        </w:tabs>
        <w:spacing w:line="228" w:lineRule="auto" w:before="1" w:after="0"/>
        <w:ind w:left="900" w:right="1352" w:hanging="244"/>
        <w:jc w:val="left"/>
        <w:rPr>
          <w:sz w:val="24"/>
        </w:rPr>
      </w:pPr>
      <w:r>
        <w:rPr>
          <w:spacing w:val="8"/>
          <w:sz w:val="24"/>
        </w:rPr>
        <w:t>完治 (</w:t>
      </w:r>
      <w:r>
        <w:rPr>
          <w:sz w:val="24"/>
        </w:rPr>
        <w:t>Treatment</w:t>
      </w:r>
      <w:r>
        <w:rPr>
          <w:spacing w:val="43"/>
          <w:sz w:val="24"/>
        </w:rPr>
        <w:t> </w:t>
      </w:r>
      <w:r>
        <w:rPr>
          <w:spacing w:val="2"/>
          <w:sz w:val="24"/>
        </w:rPr>
        <w:t>completed</w:t>
      </w:r>
      <w:r>
        <w:rPr>
          <w:spacing w:val="5"/>
          <w:sz w:val="24"/>
        </w:rPr>
        <w:t>)：依據國家政策建議完成治療療程且無證據顯示失</w:t>
      </w:r>
      <w:r>
        <w:rPr>
          <w:spacing w:val="2"/>
          <w:sz w:val="24"/>
        </w:rPr>
        <w:t>敗，但是在治療療程結束後未符合上述治癒定義。</w:t>
      </w:r>
    </w:p>
    <w:p>
      <w:pPr>
        <w:pStyle w:val="ListParagraph"/>
        <w:numPr>
          <w:ilvl w:val="3"/>
          <w:numId w:val="9"/>
        </w:numPr>
        <w:tabs>
          <w:tab w:pos="900" w:val="left" w:leader="none"/>
        </w:tabs>
        <w:spacing w:line="225" w:lineRule="auto" w:before="5" w:after="0"/>
        <w:ind w:left="897" w:right="1862" w:hanging="242"/>
        <w:jc w:val="left"/>
        <w:rPr>
          <w:sz w:val="24"/>
        </w:rPr>
      </w:pPr>
      <w:r>
        <w:rPr>
          <w:spacing w:val="5"/>
          <w:sz w:val="24"/>
        </w:rPr>
        <w:t>失敗 (</w:t>
      </w:r>
      <w:r>
        <w:rPr>
          <w:sz w:val="24"/>
        </w:rPr>
        <w:t>Failed)</w:t>
      </w:r>
      <w:r>
        <w:rPr>
          <w:spacing w:val="2"/>
          <w:sz w:val="24"/>
        </w:rPr>
        <w:t>：治療終止，或處方組合需要新增兩種以上抗結核藥物，因為： </w:t>
      </w:r>
      <w:r>
        <w:rPr>
          <w:sz w:val="24"/>
        </w:rPr>
        <w:t>3-1</w:t>
      </w:r>
      <w:r>
        <w:rPr>
          <w:spacing w:val="2"/>
          <w:sz w:val="24"/>
        </w:rPr>
        <w:t> 直至加強期 </w:t>
      </w:r>
      <w:r>
        <w:rPr>
          <w:position w:val="11"/>
          <w:sz w:val="16"/>
        </w:rPr>
        <w:t>2</w:t>
      </w:r>
      <w:r>
        <w:rPr>
          <w:spacing w:val="5"/>
          <w:position w:val="11"/>
          <w:sz w:val="16"/>
        </w:rPr>
        <w:t> </w:t>
      </w:r>
      <w:r>
        <w:rPr>
          <w:spacing w:val="3"/>
          <w:sz w:val="24"/>
        </w:rPr>
        <w:t>結束時未陰轉 </w:t>
      </w:r>
      <w:r>
        <w:rPr>
          <w:position w:val="11"/>
          <w:sz w:val="16"/>
        </w:rPr>
        <w:t>3</w:t>
      </w:r>
      <w:r>
        <w:rPr>
          <w:spacing w:val="1"/>
          <w:sz w:val="24"/>
        </w:rPr>
        <w:t>，或</w:t>
      </w:r>
    </w:p>
    <w:p>
      <w:pPr>
        <w:pStyle w:val="ListParagraph"/>
        <w:numPr>
          <w:ilvl w:val="1"/>
          <w:numId w:val="10"/>
        </w:numPr>
        <w:tabs>
          <w:tab w:pos="1410" w:val="left" w:leader="none"/>
        </w:tabs>
        <w:spacing w:line="418" w:lineRule="exact" w:before="0" w:after="0"/>
        <w:ind w:left="1410" w:right="0" w:hanging="513"/>
        <w:jc w:val="left"/>
        <w:rPr>
          <w:sz w:val="24"/>
        </w:rPr>
      </w:pPr>
      <w:r>
        <w:rPr>
          <w:spacing w:val="4"/>
          <w:sz w:val="24"/>
        </w:rPr>
        <w:t>達陰轉後，於持續期出現陽轉 </w:t>
      </w:r>
      <w:r>
        <w:rPr>
          <w:position w:val="11"/>
          <w:sz w:val="16"/>
        </w:rPr>
        <w:t>4</w:t>
      </w:r>
      <w:r>
        <w:rPr>
          <w:spacing w:val="6"/>
          <w:position w:val="11"/>
          <w:sz w:val="16"/>
        </w:rPr>
        <w:t> </w:t>
      </w:r>
      <w:r>
        <w:rPr>
          <w:spacing w:val="3"/>
          <w:sz w:val="24"/>
        </w:rPr>
        <w:t>之細菌學證據，或</w:t>
      </w:r>
    </w:p>
    <w:p>
      <w:pPr>
        <w:pStyle w:val="ListParagraph"/>
        <w:numPr>
          <w:ilvl w:val="1"/>
          <w:numId w:val="10"/>
        </w:numPr>
        <w:tabs>
          <w:tab w:pos="1425" w:val="left" w:leader="none"/>
        </w:tabs>
        <w:spacing w:line="228" w:lineRule="auto" w:before="5" w:after="0"/>
        <w:ind w:left="1407" w:right="1360" w:hanging="510"/>
        <w:jc w:val="left"/>
        <w:rPr>
          <w:sz w:val="24"/>
        </w:rPr>
      </w:pPr>
      <w:r>
        <w:rPr>
          <w:spacing w:val="18"/>
          <w:sz w:val="24"/>
        </w:rPr>
        <w:t>新發生 </w:t>
      </w:r>
      <w:r>
        <w:rPr>
          <w:sz w:val="24"/>
        </w:rPr>
        <w:t>fluoroquinolone</w:t>
      </w:r>
      <w:r>
        <w:rPr>
          <w:spacing w:val="18"/>
          <w:sz w:val="24"/>
        </w:rPr>
        <w:t> 或其他二線藥注射針劑的續發性抗藥</w:t>
      </w:r>
      <w:r>
        <w:rPr>
          <w:sz w:val="24"/>
        </w:rPr>
        <w:t>（acquired resistance），或</w:t>
      </w:r>
    </w:p>
    <w:p>
      <w:pPr>
        <w:pStyle w:val="ListParagraph"/>
        <w:numPr>
          <w:ilvl w:val="1"/>
          <w:numId w:val="10"/>
        </w:numPr>
        <w:tabs>
          <w:tab w:pos="1410" w:val="left" w:leader="none"/>
        </w:tabs>
        <w:spacing w:line="416" w:lineRule="exact" w:before="0" w:after="0"/>
        <w:ind w:left="1410" w:right="0" w:hanging="513"/>
        <w:jc w:val="left"/>
        <w:rPr>
          <w:sz w:val="24"/>
        </w:rPr>
      </w:pPr>
      <w:r>
        <w:rPr>
          <w:spacing w:val="3"/>
          <w:sz w:val="24"/>
        </w:rPr>
        <w:t>藥物不良反應 </w:t>
      </w:r>
      <w:r>
        <w:rPr>
          <w:position w:val="11"/>
          <w:sz w:val="16"/>
        </w:rPr>
        <w:t>5</w:t>
      </w:r>
      <w:r>
        <w:rPr>
          <w:sz w:val="24"/>
        </w:rPr>
        <w:t>。</w:t>
      </w:r>
    </w:p>
    <w:p>
      <w:pPr>
        <w:pStyle w:val="ListParagraph"/>
        <w:numPr>
          <w:ilvl w:val="3"/>
          <w:numId w:val="9"/>
        </w:numPr>
        <w:tabs>
          <w:tab w:pos="900" w:val="left" w:leader="none"/>
        </w:tabs>
        <w:spacing w:line="420" w:lineRule="exact" w:before="0" w:after="0"/>
        <w:ind w:left="900" w:right="0" w:hanging="244"/>
        <w:jc w:val="left"/>
        <w:rPr>
          <w:sz w:val="24"/>
        </w:rPr>
      </w:pPr>
      <w:r>
        <w:rPr>
          <w:spacing w:val="3"/>
          <w:sz w:val="24"/>
        </w:rPr>
        <w:t>死亡 (</w:t>
      </w:r>
      <w:r>
        <w:rPr>
          <w:sz w:val="24"/>
        </w:rPr>
        <w:t>Died</w:t>
      </w:r>
      <w:r>
        <w:rPr>
          <w:spacing w:val="1"/>
          <w:sz w:val="24"/>
        </w:rPr>
        <w:t>)：病人於治療過程中因任何死因死亡。</w:t>
      </w:r>
    </w:p>
    <w:p>
      <w:pPr>
        <w:pStyle w:val="ListParagraph"/>
        <w:numPr>
          <w:ilvl w:val="3"/>
          <w:numId w:val="9"/>
        </w:numPr>
        <w:tabs>
          <w:tab w:pos="900" w:val="left" w:leader="none"/>
        </w:tabs>
        <w:spacing w:line="420" w:lineRule="exact" w:before="0" w:after="0"/>
        <w:ind w:left="900" w:right="0" w:hanging="244"/>
        <w:jc w:val="left"/>
        <w:rPr>
          <w:sz w:val="24"/>
        </w:rPr>
      </w:pPr>
      <w:r>
        <w:rPr>
          <w:spacing w:val="3"/>
          <w:sz w:val="24"/>
        </w:rPr>
        <w:t>失落 (</w:t>
      </w:r>
      <w:r>
        <w:rPr>
          <w:sz w:val="24"/>
        </w:rPr>
        <w:t>Loss</w:t>
      </w:r>
      <w:r>
        <w:rPr>
          <w:spacing w:val="4"/>
          <w:sz w:val="24"/>
        </w:rPr>
        <w:t> </w:t>
      </w:r>
      <w:r>
        <w:rPr>
          <w:sz w:val="24"/>
        </w:rPr>
        <w:t>to</w:t>
      </w:r>
      <w:r>
        <w:rPr>
          <w:spacing w:val="3"/>
          <w:sz w:val="24"/>
        </w:rPr>
        <w:t> </w:t>
      </w:r>
      <w:r>
        <w:rPr>
          <w:sz w:val="24"/>
        </w:rPr>
        <w:t>follow-up)：連續中斷治療兩個月以上。</w:t>
      </w:r>
    </w:p>
    <w:p>
      <w:pPr>
        <w:pStyle w:val="ListParagraph"/>
        <w:numPr>
          <w:ilvl w:val="3"/>
          <w:numId w:val="9"/>
        </w:numPr>
        <w:tabs>
          <w:tab w:pos="900" w:val="left" w:leader="none"/>
        </w:tabs>
        <w:spacing w:line="420" w:lineRule="exact" w:before="0" w:after="0"/>
        <w:ind w:left="900" w:right="0" w:hanging="244"/>
        <w:jc w:val="left"/>
        <w:rPr>
          <w:sz w:val="24"/>
        </w:rPr>
      </w:pPr>
      <w:r>
        <w:rPr>
          <w:spacing w:val="2"/>
          <w:sz w:val="24"/>
        </w:rPr>
        <w:t>未評估 (</w:t>
      </w:r>
      <w:r>
        <w:rPr>
          <w:sz w:val="24"/>
        </w:rPr>
        <w:t>Not</w:t>
      </w:r>
      <w:r>
        <w:rPr>
          <w:spacing w:val="5"/>
          <w:sz w:val="24"/>
        </w:rPr>
        <w:t> </w:t>
      </w:r>
      <w:r>
        <w:rPr>
          <w:sz w:val="24"/>
        </w:rPr>
        <w:t>evaluated)：在評估治療結果時仍在治療中。</w:t>
      </w:r>
    </w:p>
    <w:p>
      <w:pPr>
        <w:pStyle w:val="ListParagraph"/>
        <w:numPr>
          <w:ilvl w:val="3"/>
          <w:numId w:val="9"/>
        </w:numPr>
        <w:tabs>
          <w:tab w:pos="900" w:val="left" w:leader="none"/>
        </w:tabs>
        <w:spacing w:line="431" w:lineRule="exact" w:before="0" w:after="0"/>
        <w:ind w:left="900" w:right="0" w:hanging="244"/>
        <w:jc w:val="left"/>
        <w:rPr>
          <w:sz w:val="24"/>
        </w:rPr>
      </w:pPr>
      <w:r>
        <w:rPr>
          <w:spacing w:val="3"/>
          <w:sz w:val="24"/>
        </w:rPr>
        <w:t>轉出 (</w:t>
      </w:r>
      <w:r>
        <w:rPr>
          <w:sz w:val="24"/>
        </w:rPr>
        <w:t>Transferred</w:t>
      </w:r>
      <w:r>
        <w:rPr>
          <w:spacing w:val="4"/>
          <w:sz w:val="24"/>
        </w:rPr>
        <w:t> </w:t>
      </w:r>
      <w:r>
        <w:rPr>
          <w:sz w:val="24"/>
        </w:rPr>
        <w:t>out</w:t>
      </w:r>
      <w:r>
        <w:rPr>
          <w:spacing w:val="1"/>
          <w:sz w:val="24"/>
        </w:rPr>
        <w:t>)：病人轉到其他單位治療且其治療結果不詳。</w:t>
      </w:r>
    </w:p>
    <w:p>
      <w:pPr>
        <w:pStyle w:val="Heading7"/>
        <w:spacing w:line="434" w:lineRule="exact" w:before="131"/>
        <w:ind w:left="160"/>
        <w:jc w:val="left"/>
      </w:pPr>
      <w:r>
        <w:rPr/>
        <w:t>註解：</w:t>
      </w:r>
    </w:p>
    <w:p>
      <w:pPr>
        <w:pStyle w:val="ListParagraph"/>
        <w:numPr>
          <w:ilvl w:val="0"/>
          <w:numId w:val="11"/>
        </w:numPr>
        <w:tabs>
          <w:tab w:pos="897" w:val="left" w:leader="none"/>
        </w:tabs>
        <w:spacing w:line="228" w:lineRule="auto" w:before="9" w:after="0"/>
        <w:ind w:left="896" w:right="1355" w:hanging="240"/>
        <w:jc w:val="left"/>
        <w:rPr>
          <w:sz w:val="24"/>
        </w:rPr>
      </w:pPr>
      <w:r>
        <w:rPr>
          <w:spacing w:val="4"/>
          <w:sz w:val="24"/>
        </w:rPr>
        <w:t>治療成功 (</w:t>
      </w:r>
      <w:r>
        <w:rPr>
          <w:sz w:val="24"/>
        </w:rPr>
        <w:t>Treatment</w:t>
      </w:r>
      <w:r>
        <w:rPr>
          <w:spacing w:val="34"/>
          <w:sz w:val="24"/>
        </w:rPr>
        <w:t> </w:t>
      </w:r>
      <w:r>
        <w:rPr>
          <w:sz w:val="24"/>
        </w:rPr>
        <w:t>success</w:t>
      </w:r>
      <w:r>
        <w:rPr>
          <w:spacing w:val="3"/>
          <w:sz w:val="24"/>
        </w:rPr>
        <w:t>)：治癒病人數加上完治病人數即為治療成功之病人</w:t>
      </w:r>
      <w:r>
        <w:rPr>
          <w:sz w:val="24"/>
        </w:rPr>
        <w:t>數。</w:t>
      </w:r>
    </w:p>
    <w:p>
      <w:pPr>
        <w:pStyle w:val="ListParagraph"/>
        <w:numPr>
          <w:ilvl w:val="0"/>
          <w:numId w:val="11"/>
        </w:numPr>
        <w:tabs>
          <w:tab w:pos="897" w:val="left" w:leader="none"/>
        </w:tabs>
        <w:spacing w:line="416" w:lineRule="exact" w:before="0" w:after="0"/>
        <w:ind w:left="896" w:right="0" w:hanging="241"/>
        <w:jc w:val="left"/>
        <w:rPr>
          <w:sz w:val="24"/>
        </w:rPr>
      </w:pPr>
      <w:r>
        <w:rPr>
          <w:spacing w:val="6"/>
          <w:sz w:val="24"/>
        </w:rPr>
        <w:t>加強期通常不超過 </w:t>
      </w:r>
      <w:r>
        <w:rPr>
          <w:sz w:val="24"/>
        </w:rPr>
        <w:t>8  個月，</w:t>
      </w:r>
      <w:r>
        <w:rPr>
          <w:color w:val="FF0000"/>
          <w:sz w:val="24"/>
        </w:rPr>
        <w:t>若採取短程處方則為４-６個月。</w:t>
      </w:r>
    </w:p>
    <w:p>
      <w:pPr>
        <w:pStyle w:val="ListParagraph"/>
        <w:numPr>
          <w:ilvl w:val="0"/>
          <w:numId w:val="11"/>
        </w:numPr>
        <w:tabs>
          <w:tab w:pos="897" w:val="left" w:leader="none"/>
        </w:tabs>
        <w:spacing w:line="228" w:lineRule="auto" w:before="5" w:after="0"/>
        <w:ind w:left="896" w:right="1357" w:hanging="240"/>
        <w:jc w:val="left"/>
        <w:rPr>
          <w:sz w:val="24"/>
        </w:rPr>
      </w:pPr>
      <w:r>
        <w:rPr>
          <w:spacing w:val="-8"/>
          <w:sz w:val="24"/>
        </w:rPr>
        <w:t>陰轉：連續兩次痰培養陰性，且兩次痰培養之間隔至少 </w:t>
      </w:r>
      <w:r>
        <w:rPr>
          <w:sz w:val="24"/>
        </w:rPr>
        <w:t>30</w:t>
      </w:r>
      <w:r>
        <w:rPr>
          <w:spacing w:val="-10"/>
          <w:sz w:val="24"/>
        </w:rPr>
        <w:t> 天。這種情況下，第一次</w:t>
      </w:r>
      <w:r>
        <w:rPr>
          <w:sz w:val="24"/>
        </w:rPr>
        <w:t>痰培養陰性的採檢日即為陰轉日期。</w:t>
      </w:r>
    </w:p>
    <w:p>
      <w:pPr>
        <w:pStyle w:val="ListParagraph"/>
        <w:numPr>
          <w:ilvl w:val="0"/>
          <w:numId w:val="11"/>
        </w:numPr>
        <w:tabs>
          <w:tab w:pos="897" w:val="left" w:leader="none"/>
        </w:tabs>
        <w:spacing w:line="416" w:lineRule="exact" w:before="0" w:after="0"/>
        <w:ind w:left="896" w:right="0" w:hanging="241"/>
        <w:jc w:val="left"/>
        <w:rPr>
          <w:sz w:val="24"/>
        </w:rPr>
      </w:pPr>
      <w:r>
        <w:rPr>
          <w:spacing w:val="-7"/>
          <w:sz w:val="24"/>
        </w:rPr>
        <w:t>陽轉：在陰轉後，連續兩次間隔至少 </w:t>
      </w:r>
      <w:r>
        <w:rPr>
          <w:sz w:val="24"/>
        </w:rPr>
        <w:t>30</w:t>
      </w:r>
      <w:r>
        <w:rPr>
          <w:spacing w:val="-4"/>
          <w:sz w:val="24"/>
        </w:rPr>
        <w:t> 天的痰培養陽性。陽轉通常發生在持續期。</w:t>
      </w:r>
    </w:p>
    <w:p>
      <w:pPr>
        <w:pStyle w:val="ListParagraph"/>
        <w:numPr>
          <w:ilvl w:val="0"/>
          <w:numId w:val="11"/>
        </w:numPr>
        <w:tabs>
          <w:tab w:pos="897" w:val="left" w:leader="none"/>
        </w:tabs>
        <w:spacing w:line="431" w:lineRule="exact" w:before="0" w:after="0"/>
        <w:ind w:left="896" w:right="0" w:hanging="241"/>
        <w:jc w:val="left"/>
        <w:rPr>
          <w:sz w:val="24"/>
        </w:rPr>
      </w:pPr>
      <w:r>
        <w:rPr>
          <w:sz w:val="24"/>
        </w:rPr>
        <w:t>副作用等不良反應所引起之換藥（非結束治療），由結核病追蹤管理系統註記。</w:t>
      </w:r>
    </w:p>
    <w:p>
      <w:pPr>
        <w:spacing w:after="0" w:line="431" w:lineRule="exact"/>
        <w:jc w:val="left"/>
        <w:rPr>
          <w:sz w:val="24"/>
        </w:rPr>
        <w:sectPr>
          <w:pgSz w:w="12250" w:h="17190"/>
          <w:pgMar w:header="0" w:footer="828" w:top="1460" w:bottom="1040" w:left="1200" w:right="0"/>
        </w:sectPr>
      </w:pPr>
    </w:p>
    <w:p>
      <w:pPr>
        <w:pStyle w:val="Heading6"/>
        <w:spacing w:before="20"/>
        <w:ind w:left="160"/>
      </w:pPr>
      <w:r>
        <w:rPr/>
        <w:t>參考文獻</w:t>
      </w:r>
    </w:p>
    <w:p>
      <w:pPr>
        <w:pStyle w:val="ListParagraph"/>
        <w:numPr>
          <w:ilvl w:val="0"/>
          <w:numId w:val="12"/>
        </w:numPr>
        <w:tabs>
          <w:tab w:pos="920" w:val="left" w:leader="none"/>
        </w:tabs>
        <w:spacing w:line="228" w:lineRule="auto" w:before="16" w:after="0"/>
        <w:ind w:left="919" w:right="1359" w:hanging="352"/>
        <w:jc w:val="left"/>
        <w:rPr>
          <w:rFonts w:ascii="Times New Roman"/>
          <w:sz w:val="24"/>
        </w:rPr>
      </w:pPr>
      <w:r>
        <w:rPr>
          <w:sz w:val="23"/>
        </w:rPr>
        <w:t>World Health Organization. Treatment of tuberculosis: guidelines for national programmes. 4th ed. World Health Organization Document 2010;WHO/HTM/ TB/2009.420:1-147</w:t>
      </w:r>
      <w:hyperlink r:id="rId14">
        <w:r>
          <w:rPr>
            <w:sz w:val="23"/>
            <w:u w:val="single"/>
          </w:rPr>
          <w:t> </w:t>
        </w:r>
        <w:r>
          <w:rPr>
            <w:spacing w:val="-3"/>
            <w:sz w:val="23"/>
            <w:u w:val="single"/>
          </w:rPr>
          <w:t>http://apps.who.int/iris/bitstream/10665/44165/1/9789241547833_eng.pdf</w:t>
        </w:r>
      </w:hyperlink>
      <w:r>
        <w:rPr>
          <w:spacing w:val="-3"/>
          <w:sz w:val="23"/>
          <w:u w:val="single"/>
        </w:rPr>
        <w:t>, online version accessed </w:t>
      </w:r>
      <w:r>
        <w:rPr>
          <w:sz w:val="23"/>
          <w:u w:val="single"/>
        </w:rPr>
        <w:t>on</w:t>
      </w:r>
      <w:r>
        <w:rPr>
          <w:spacing w:val="-9"/>
          <w:sz w:val="23"/>
          <w:u w:val="single"/>
        </w:rPr>
        <w:t> </w:t>
      </w:r>
      <w:r>
        <w:rPr>
          <w:spacing w:val="-3"/>
          <w:sz w:val="23"/>
          <w:u w:val="single"/>
        </w:rPr>
        <w:t>2017-07-19.</w:t>
      </w:r>
    </w:p>
    <w:p>
      <w:pPr>
        <w:pStyle w:val="ListParagraph"/>
        <w:numPr>
          <w:ilvl w:val="0"/>
          <w:numId w:val="12"/>
        </w:numPr>
        <w:tabs>
          <w:tab w:pos="920" w:val="left" w:leader="none"/>
        </w:tabs>
        <w:spacing w:line="228" w:lineRule="auto" w:before="0" w:after="0"/>
        <w:ind w:left="919" w:right="1362" w:hanging="352"/>
        <w:jc w:val="both"/>
        <w:rPr>
          <w:rFonts w:ascii="Times New Roman"/>
          <w:color w:val="FF0000"/>
          <w:sz w:val="24"/>
        </w:rPr>
      </w:pPr>
      <w:r>
        <w:rPr>
          <w:color w:val="FF0000"/>
          <w:sz w:val="23"/>
        </w:rPr>
        <w:t>Dlodlo RA, Brigden G, Heldal E, et al. Management of tuberculosis. A guide to essential practice. (Seventh edition). In: International Union Against Tuberculosis and Lung Disease, ed. 7 ed. Paris: International Union Against Tuberculosis and Lung Disease;</w:t>
      </w:r>
      <w:r>
        <w:rPr>
          <w:color w:val="FF0000"/>
          <w:spacing w:val="7"/>
          <w:sz w:val="23"/>
        </w:rPr>
        <w:t> </w:t>
      </w:r>
      <w:r>
        <w:rPr>
          <w:color w:val="FF0000"/>
          <w:sz w:val="23"/>
        </w:rPr>
        <w:t>2019:1-120.</w:t>
      </w:r>
    </w:p>
    <w:p>
      <w:pPr>
        <w:pStyle w:val="ListParagraph"/>
        <w:numPr>
          <w:ilvl w:val="0"/>
          <w:numId w:val="12"/>
        </w:numPr>
        <w:tabs>
          <w:tab w:pos="920" w:val="left" w:leader="none"/>
        </w:tabs>
        <w:spacing w:line="228" w:lineRule="auto" w:before="0" w:after="0"/>
        <w:ind w:left="918" w:right="1362" w:hanging="352"/>
        <w:jc w:val="left"/>
        <w:rPr>
          <w:rFonts w:ascii="Times New Roman"/>
          <w:sz w:val="24"/>
        </w:rPr>
      </w:pPr>
      <w:r>
        <w:rPr>
          <w:sz w:val="23"/>
        </w:rPr>
        <w:t>World </w:t>
      </w:r>
      <w:r>
        <w:rPr>
          <w:spacing w:val="2"/>
          <w:sz w:val="23"/>
        </w:rPr>
        <w:t>Health Organization. Guidelines </w:t>
      </w:r>
      <w:r>
        <w:rPr>
          <w:sz w:val="23"/>
        </w:rPr>
        <w:t>for </w:t>
      </w:r>
      <w:r>
        <w:rPr>
          <w:spacing w:val="2"/>
          <w:sz w:val="23"/>
        </w:rPr>
        <w:t>the </w:t>
      </w:r>
      <w:r>
        <w:rPr>
          <w:spacing w:val="3"/>
          <w:sz w:val="23"/>
        </w:rPr>
        <w:t>programmatic </w:t>
      </w:r>
      <w:r>
        <w:rPr>
          <w:spacing w:val="2"/>
          <w:sz w:val="23"/>
        </w:rPr>
        <w:t>management </w:t>
      </w:r>
      <w:r>
        <w:rPr>
          <w:sz w:val="23"/>
        </w:rPr>
        <w:t>of drug-resistant tuberculosis.Emergency update </w:t>
      </w:r>
      <w:r>
        <w:rPr>
          <w:spacing w:val="2"/>
          <w:sz w:val="23"/>
        </w:rPr>
        <w:t>2008.World </w:t>
      </w:r>
      <w:r>
        <w:rPr>
          <w:sz w:val="23"/>
        </w:rPr>
        <w:t>Health Organization Document 2008;WHO/HTM/TB/2008.402:1-247</w:t>
      </w:r>
      <w:hyperlink r:id="rId15">
        <w:r>
          <w:rPr>
            <w:sz w:val="23"/>
            <w:u w:val="single"/>
          </w:rPr>
          <w:t> </w:t>
        </w:r>
        <w:r>
          <w:rPr>
            <w:spacing w:val="3"/>
            <w:sz w:val="23"/>
            <w:u w:val="single"/>
          </w:rPr>
          <w:t>http://whqlibdoc.who.int/publications/2008/9789241547581_eng.pdf?ua=1</w:t>
        </w:r>
        <w:r>
          <w:rPr>
            <w:spacing w:val="3"/>
            <w:sz w:val="23"/>
          </w:rPr>
          <w:t>,</w:t>
        </w:r>
      </w:hyperlink>
      <w:r>
        <w:rPr>
          <w:spacing w:val="3"/>
          <w:sz w:val="23"/>
        </w:rPr>
        <w:t> </w:t>
      </w:r>
      <w:r>
        <w:rPr>
          <w:sz w:val="23"/>
        </w:rPr>
        <w:t>online version accessed on</w:t>
      </w:r>
      <w:r>
        <w:rPr>
          <w:spacing w:val="14"/>
          <w:sz w:val="23"/>
        </w:rPr>
        <w:t> </w:t>
      </w:r>
      <w:r>
        <w:rPr>
          <w:sz w:val="23"/>
        </w:rPr>
        <w:t>2017-07-19.</w:t>
      </w:r>
    </w:p>
    <w:p>
      <w:pPr>
        <w:pStyle w:val="ListParagraph"/>
        <w:numPr>
          <w:ilvl w:val="0"/>
          <w:numId w:val="12"/>
        </w:numPr>
        <w:tabs>
          <w:tab w:pos="914" w:val="left" w:leader="none"/>
        </w:tabs>
        <w:spacing w:line="387" w:lineRule="exact" w:before="0" w:after="0"/>
        <w:ind w:left="913" w:right="0" w:hanging="347"/>
        <w:jc w:val="left"/>
        <w:rPr>
          <w:rFonts w:ascii="Times New Roman"/>
          <w:sz w:val="24"/>
        </w:rPr>
      </w:pPr>
      <w:r>
        <w:rPr>
          <w:sz w:val="23"/>
        </w:rPr>
        <w:t>World Health Organization. Definitions and reporting framework for</w:t>
      </w:r>
      <w:r>
        <w:rPr>
          <w:spacing w:val="12"/>
          <w:sz w:val="23"/>
        </w:rPr>
        <w:t> </w:t>
      </w:r>
      <w:r>
        <w:rPr>
          <w:sz w:val="23"/>
        </w:rPr>
        <w:t>tuberculosis</w:t>
      </w:r>
    </w:p>
    <w:p>
      <w:pPr>
        <w:tabs>
          <w:tab w:pos="7984" w:val="left" w:leader="none"/>
        </w:tabs>
        <w:spacing w:line="225" w:lineRule="auto" w:before="0"/>
        <w:ind w:left="913" w:right="1363" w:firstLine="0"/>
        <w:jc w:val="left"/>
        <w:rPr>
          <w:sz w:val="23"/>
        </w:rPr>
      </w:pPr>
      <w:r>
        <w:rPr>
          <w:sz w:val="23"/>
        </w:rPr>
        <w:t>-  2013  revision.  World  Health  Organization</w:t>
      </w:r>
      <w:r>
        <w:rPr>
          <w:spacing w:val="-4"/>
          <w:sz w:val="23"/>
        </w:rPr>
        <w:t> </w:t>
      </w:r>
      <w:r>
        <w:rPr>
          <w:sz w:val="23"/>
        </w:rPr>
        <w:t>Document</w:t>
      </w:r>
      <w:r>
        <w:rPr>
          <w:spacing w:val="48"/>
          <w:sz w:val="23"/>
        </w:rPr>
        <w:t> </w:t>
      </w:r>
      <w:r>
        <w:rPr>
          <w:sz w:val="23"/>
        </w:rPr>
        <w:t>2013;</w:t>
        <w:tab/>
        <w:t>WHO/HTM/TB/ 2013.2:1-40</w:t>
      </w:r>
      <w:hyperlink r:id="rId16">
        <w:r>
          <w:rPr>
            <w:sz w:val="23"/>
          </w:rPr>
          <w:t>.</w:t>
        </w:r>
      </w:hyperlink>
    </w:p>
    <w:p>
      <w:pPr>
        <w:spacing w:line="228" w:lineRule="auto" w:before="0"/>
        <w:ind w:left="913" w:right="1358" w:hanging="1"/>
        <w:jc w:val="left"/>
        <w:rPr>
          <w:sz w:val="23"/>
        </w:rPr>
      </w:pPr>
      <w:hyperlink r:id="rId16">
        <w:r>
          <w:rPr>
            <w:spacing w:val="-3"/>
            <w:sz w:val="23"/>
            <w:u w:val="single"/>
          </w:rPr>
          <w:t>http://apps.who.int/iris/bitstream/10665/79199/1/9789241505345_eng.pdf?ua=1</w:t>
        </w:r>
        <w:r>
          <w:rPr>
            <w:spacing w:val="-3"/>
            <w:sz w:val="23"/>
          </w:rPr>
          <w:t>,</w:t>
        </w:r>
      </w:hyperlink>
      <w:r>
        <w:rPr>
          <w:spacing w:val="-3"/>
          <w:sz w:val="23"/>
        </w:rPr>
        <w:t> </w:t>
      </w:r>
      <w:r>
        <w:rPr>
          <w:sz w:val="23"/>
        </w:rPr>
        <w:t>online version accessed on 2017-07-19.</w:t>
      </w:r>
    </w:p>
    <w:p>
      <w:pPr>
        <w:pStyle w:val="ListParagraph"/>
        <w:numPr>
          <w:ilvl w:val="0"/>
          <w:numId w:val="12"/>
        </w:numPr>
        <w:tabs>
          <w:tab w:pos="908" w:val="left" w:leader="none"/>
        </w:tabs>
        <w:spacing w:line="228" w:lineRule="auto" w:before="0" w:after="0"/>
        <w:ind w:left="906" w:right="1360" w:hanging="340"/>
        <w:jc w:val="both"/>
        <w:rPr>
          <w:rFonts w:ascii="Times New Roman"/>
          <w:color w:val="FF0000"/>
          <w:sz w:val="24"/>
        </w:rPr>
      </w:pPr>
      <w:r>
        <w:rPr>
          <w:color w:val="FF0000"/>
          <w:spacing w:val="-3"/>
          <w:sz w:val="23"/>
        </w:rPr>
        <w:t>World </w:t>
      </w:r>
      <w:r>
        <w:rPr>
          <w:color w:val="FF0000"/>
          <w:sz w:val="23"/>
        </w:rPr>
        <w:t>Health </w:t>
      </w:r>
      <w:r>
        <w:rPr>
          <w:color w:val="FF0000"/>
          <w:spacing w:val="-3"/>
          <w:sz w:val="23"/>
        </w:rPr>
        <w:t>Organization. </w:t>
      </w:r>
      <w:r>
        <w:rPr>
          <w:color w:val="FF0000"/>
          <w:sz w:val="23"/>
        </w:rPr>
        <w:t>WHO </w:t>
      </w:r>
      <w:r>
        <w:rPr>
          <w:color w:val="FF0000"/>
          <w:spacing w:val="-3"/>
          <w:sz w:val="23"/>
        </w:rPr>
        <w:t>consolidated guidelines </w:t>
      </w:r>
      <w:r>
        <w:rPr>
          <w:color w:val="FF0000"/>
          <w:sz w:val="23"/>
        </w:rPr>
        <w:t>on </w:t>
      </w:r>
      <w:r>
        <w:rPr>
          <w:color w:val="FF0000"/>
          <w:spacing w:val="-3"/>
          <w:sz w:val="23"/>
        </w:rPr>
        <w:t>tuberculosis. Module </w:t>
      </w:r>
      <w:r>
        <w:rPr>
          <w:color w:val="FF0000"/>
          <w:sz w:val="23"/>
        </w:rPr>
        <w:t>4: </w:t>
      </w:r>
      <w:r>
        <w:rPr>
          <w:color w:val="FF0000"/>
          <w:spacing w:val="2"/>
          <w:sz w:val="23"/>
        </w:rPr>
        <w:t>treatment </w:t>
      </w:r>
      <w:r>
        <w:rPr>
          <w:color w:val="FF0000"/>
          <w:sz w:val="23"/>
        </w:rPr>
        <w:t>- </w:t>
      </w:r>
      <w:r>
        <w:rPr>
          <w:color w:val="FF0000"/>
          <w:spacing w:val="2"/>
          <w:sz w:val="23"/>
        </w:rPr>
        <w:t>drug-resistant </w:t>
      </w:r>
      <w:r>
        <w:rPr>
          <w:color w:val="FF0000"/>
          <w:spacing w:val="3"/>
          <w:sz w:val="23"/>
        </w:rPr>
        <w:t>tuberculosis </w:t>
      </w:r>
      <w:r>
        <w:rPr>
          <w:color w:val="FF0000"/>
          <w:spacing w:val="2"/>
          <w:sz w:val="23"/>
        </w:rPr>
        <w:t>treatment. Geneva: World Health </w:t>
      </w:r>
      <w:r>
        <w:rPr>
          <w:color w:val="FF0000"/>
          <w:sz w:val="23"/>
        </w:rPr>
        <w:t>Organization; 2020. </w:t>
      </w:r>
      <w:hyperlink r:id="rId17">
        <w:r>
          <w:rPr>
            <w:color w:val="FF0000"/>
            <w:sz w:val="23"/>
            <w:u w:val="single" w:color="FF0000"/>
          </w:rPr>
          <w:t>https://www.who.int/publications/i/item/9789240007048</w:t>
        </w:r>
        <w:r>
          <w:rPr>
            <w:color w:val="FF0000"/>
            <w:sz w:val="23"/>
          </w:rPr>
          <w:t>,</w:t>
        </w:r>
      </w:hyperlink>
      <w:r>
        <w:rPr>
          <w:color w:val="FF0000"/>
          <w:sz w:val="23"/>
        </w:rPr>
        <w:t> online version accessed on</w:t>
      </w:r>
      <w:r>
        <w:rPr>
          <w:color w:val="FF0000"/>
          <w:spacing w:val="16"/>
          <w:sz w:val="23"/>
        </w:rPr>
        <w:t> </w:t>
      </w:r>
      <w:r>
        <w:rPr>
          <w:color w:val="FF0000"/>
          <w:sz w:val="23"/>
        </w:rPr>
        <w:t>2021-02-19</w:t>
      </w:r>
    </w:p>
    <w:p>
      <w:pPr>
        <w:pStyle w:val="ListParagraph"/>
        <w:numPr>
          <w:ilvl w:val="0"/>
          <w:numId w:val="12"/>
        </w:numPr>
        <w:tabs>
          <w:tab w:pos="920" w:val="left" w:leader="none"/>
        </w:tabs>
        <w:spacing w:line="228" w:lineRule="auto" w:before="0" w:after="0"/>
        <w:ind w:left="919" w:right="1360" w:hanging="352"/>
        <w:jc w:val="left"/>
        <w:rPr>
          <w:rFonts w:ascii="Times New Roman"/>
          <w:color w:val="FF0000"/>
          <w:sz w:val="24"/>
        </w:rPr>
      </w:pPr>
      <w:r>
        <w:rPr>
          <w:color w:val="FF0000"/>
          <w:sz w:val="23"/>
        </w:rPr>
        <w:t>World Health Organization. Meeting report of the WHO expert consultation on the definition of extensively drug-resistant tuberculosis, 27-29 October 2020. Geneva: World Health Organization; 2021.</w:t>
      </w:r>
      <w:hyperlink r:id="rId18">
        <w:r>
          <w:rPr>
            <w:color w:val="FF0000"/>
            <w:sz w:val="23"/>
            <w:u w:val="single" w:color="FF0000"/>
          </w:rPr>
          <w:t> https://www.who.int/publications/i/item/meeting-report-of-the-who-expert-</w:t>
        </w:r>
      </w:hyperlink>
      <w:hyperlink r:id="rId18">
        <w:r>
          <w:rPr>
            <w:color w:val="FF0000"/>
            <w:sz w:val="23"/>
            <w:u w:val="single" w:color="FF0000"/>
          </w:rPr>
          <w:t> consultation-on-the-definition-of-extensively-drug-resistant-tuberculosis</w:t>
        </w:r>
        <w:r>
          <w:rPr>
            <w:color w:val="FF0000"/>
            <w:sz w:val="23"/>
          </w:rPr>
          <w:t>,</w:t>
        </w:r>
      </w:hyperlink>
      <w:r>
        <w:rPr>
          <w:color w:val="FF0000"/>
          <w:sz w:val="23"/>
        </w:rPr>
        <w:t>  online version accessed on</w:t>
      </w:r>
      <w:r>
        <w:rPr>
          <w:color w:val="FF0000"/>
          <w:spacing w:val="17"/>
          <w:sz w:val="23"/>
        </w:rPr>
        <w:t> </w:t>
      </w:r>
      <w:r>
        <w:rPr>
          <w:color w:val="FF0000"/>
          <w:sz w:val="23"/>
        </w:rPr>
        <w:t>2021-02-19</w:t>
      </w:r>
    </w:p>
    <w:p>
      <w:pPr>
        <w:spacing w:after="0" w:line="228" w:lineRule="auto"/>
        <w:jc w:val="left"/>
        <w:rPr>
          <w:rFonts w:ascii="Times New Roman"/>
          <w:sz w:val="24"/>
        </w:rPr>
        <w:sectPr>
          <w:pgSz w:w="12250" w:h="17190"/>
          <w:pgMar w:header="0" w:footer="828" w:top="1440" w:bottom="1020" w:left="1200" w:right="0"/>
        </w:sectPr>
      </w:pPr>
    </w:p>
    <w:p>
      <w:pPr>
        <w:pStyle w:val="Heading1"/>
        <w:tabs>
          <w:tab w:pos="4552" w:val="left" w:leader="none"/>
        </w:tabs>
        <w:spacing w:line="663" w:lineRule="exact"/>
        <w:ind w:left="3073"/>
      </w:pPr>
      <w:r>
        <w:rPr/>
        <w:pict>
          <v:group style="position:absolute;margin-left:570pt;margin-top:6.08pt;width:42.4pt;height:128.1pt;mso-position-horizontal-relative:page;mso-position-vertical-relative:paragraph;z-index:251671552" coordorigin="11400,122" coordsize="848,2562">
            <v:shape style="position:absolute;left:11400;top:121;width:848;height:2562" coordorigin="11400,122" coordsize="848,2562" path="m12227,122l11565,122,11501,135,11448,170,11413,223,11400,287,11400,2518,11413,2583,11448,2635,11501,2671,11565,2684,12227,2684,12247,2679,12247,126,12227,122xe" filled="true" fillcolor="#a6a6a6" stroked="false">
              <v:path arrowok="t"/>
              <v:fill type="solid"/>
            </v:shape>
            <v:shape style="position:absolute;left:11400;top:121;width:848;height:2562" type="#_x0000_t202" filled="false" stroked="false">
              <v:textbox inset="0,0,0,0">
                <w:txbxContent>
                  <w:p>
                    <w:pPr>
                      <w:spacing w:line="146" w:lineRule="auto" w:before="127"/>
                      <w:ind w:left="136" w:right="488" w:firstLine="0"/>
                      <w:jc w:val="both"/>
                      <w:rPr>
                        <w:sz w:val="22"/>
                      </w:rPr>
                    </w:pPr>
                    <w:r>
                      <w:rPr>
                        <w:sz w:val="22"/>
                      </w:rPr>
                      <w:t>第三章</w:t>
                    </w:r>
                  </w:p>
                  <w:p>
                    <w:pPr>
                      <w:spacing w:line="141" w:lineRule="auto" w:before="175"/>
                      <w:ind w:left="136" w:right="488" w:firstLine="0"/>
                      <w:jc w:val="both"/>
                      <w:rPr>
                        <w:sz w:val="22"/>
                      </w:rPr>
                    </w:pPr>
                    <w:r>
                      <w:rPr>
                        <w:sz w:val="22"/>
                      </w:rPr>
                      <w:t>結核病的診斷</w:t>
                    </w:r>
                  </w:p>
                </w:txbxContent>
              </v:textbox>
              <w10:wrap type="none"/>
            </v:shape>
            <w10:wrap type="none"/>
          </v:group>
        </w:pict>
      </w:r>
      <w:r>
        <w:rPr/>
        <w:t>第三章</w:t>
        <w:tab/>
        <w:t>結核病的診斷</w:t>
      </w:r>
    </w:p>
    <w:p>
      <w:pPr>
        <w:pStyle w:val="BodyText"/>
        <w:spacing w:line="223" w:lineRule="auto" w:before="134"/>
        <w:ind w:left="160" w:right="1301" w:firstLine="480"/>
        <w:jc w:val="both"/>
      </w:pPr>
      <w:r>
        <w:rPr>
          <w:spacing w:val="-14"/>
        </w:rPr>
        <w:t>結核病的臨床表現千變萬化，初發病時往往沒有明顯或特異性的症狀，且症狀進程緩慢， </w:t>
      </w:r>
      <w:r>
        <w:rPr>
          <w:spacing w:val="-6"/>
        </w:rPr>
        <w:t>甚至於所侵犯的器官不限於肺部，使得診斷更加困難。所以，要確診結核病必須綜合臨床表徵，加上放射線學變化，最後再以實驗室檢驗加以佐證，才算完整。</w:t>
      </w:r>
    </w:p>
    <w:p>
      <w:pPr>
        <w:pStyle w:val="BodyText"/>
        <w:spacing w:before="5"/>
        <w:rPr>
          <w:sz w:val="20"/>
        </w:rPr>
      </w:pPr>
    </w:p>
    <w:p>
      <w:pPr>
        <w:pStyle w:val="Heading6"/>
        <w:numPr>
          <w:ilvl w:val="1"/>
          <w:numId w:val="13"/>
        </w:numPr>
        <w:tabs>
          <w:tab w:pos="761" w:val="left" w:leader="none"/>
        </w:tabs>
        <w:spacing w:line="448" w:lineRule="exact" w:before="0" w:after="0"/>
        <w:ind w:left="760" w:right="0" w:hanging="601"/>
        <w:jc w:val="both"/>
      </w:pPr>
      <w:bookmarkStart w:name="3.1  臨床表現" w:id="35"/>
      <w:bookmarkEnd w:id="35"/>
      <w:r>
        <w:rPr>
          <w:b w:val="0"/>
        </w:rPr>
      </w:r>
      <w:bookmarkStart w:name="3.1  臨床表現" w:id="36"/>
      <w:bookmarkEnd w:id="36"/>
      <w:r>
        <w:rPr/>
        <w:t>臨床表現</w:t>
      </w:r>
    </w:p>
    <w:p>
      <w:pPr>
        <w:pStyle w:val="Heading7"/>
        <w:numPr>
          <w:ilvl w:val="2"/>
          <w:numId w:val="13"/>
        </w:numPr>
        <w:tabs>
          <w:tab w:pos="920" w:val="left" w:leader="none"/>
        </w:tabs>
        <w:spacing w:line="412" w:lineRule="exact" w:before="0" w:after="0"/>
        <w:ind w:left="919" w:right="0" w:hanging="649"/>
        <w:jc w:val="both"/>
        <w:rPr>
          <w:b w:val="0"/>
        </w:rPr>
      </w:pPr>
      <w:r>
        <w:rPr/>
        <w:t>呼吸道症狀</w:t>
      </w:r>
      <w:r>
        <w:rPr>
          <w:b w:val="0"/>
        </w:rPr>
        <w:t>：</w:t>
      </w:r>
    </w:p>
    <w:p>
      <w:pPr>
        <w:pStyle w:val="BodyText"/>
        <w:spacing w:line="220" w:lineRule="auto" w:before="9"/>
        <w:ind w:left="926" w:right="1303" w:firstLine="487"/>
        <w:jc w:val="both"/>
      </w:pPr>
      <w:r>
        <w:rPr>
          <w:spacing w:val="6"/>
        </w:rPr>
        <w:t>咳嗽是最常見之呼吸道症狀，特別是</w:t>
      </w:r>
      <w:r>
        <w:rPr>
          <w:spacing w:val="3"/>
        </w:rPr>
        <w:t>3</w:t>
      </w:r>
      <w:r>
        <w:rPr>
          <w:spacing w:val="5"/>
        </w:rPr>
        <w:t>星期以上的慢性咳嗽。初期通常並未伴</w:t>
      </w:r>
      <w:r>
        <w:rPr>
          <w:spacing w:val="-11"/>
        </w:rPr>
        <w:t>隨咳痰，但隨著病程的發展，逐漸開始有痰。以咳血為肺結核的初始表現並不常見， </w:t>
      </w:r>
      <w:r>
        <w:rPr/>
        <w:t>而且，咳血也並不表示一定是活動性肺結核；前次的肺結核所導致支氣管擴張、殘</w:t>
      </w:r>
      <w:r>
        <w:rPr>
          <w:spacing w:val="11"/>
        </w:rPr>
        <w:t>存的空洞內細菌或黴菌感染(特別是麴菌</w:t>
      </w:r>
      <w:r>
        <w:rPr>
          <w:i/>
          <w:spacing w:val="4"/>
          <w:sz w:val="25"/>
        </w:rPr>
        <w:t>Aspergillus</w:t>
      </w:r>
      <w:r>
        <w:rPr>
          <w:spacing w:val="12"/>
        </w:rPr>
        <w:t>所形成的黴菌球</w:t>
      </w:r>
      <w:r>
        <w:rPr>
          <w:spacing w:val="3"/>
        </w:rPr>
        <w:t>mycetoma) </w:t>
      </w:r>
      <w:r>
        <w:rPr>
          <w:spacing w:val="2"/>
        </w:rPr>
        <w:t>及鈣化的支氣管結石(</w:t>
      </w:r>
      <w:r>
        <w:rPr/>
        <w:t>broncholithiasis</w:t>
      </w:r>
      <w:r>
        <w:rPr>
          <w:spacing w:val="-3"/>
        </w:rPr>
        <w:t>)磨損侵入支氣管也會導致咳血。此外，當病</w:t>
      </w:r>
      <w:r>
        <w:rPr/>
        <w:t>灶接近肋膜時，可引起胸痛。呼吸困難雖不常見，但可見於廣泛性的肺結核；嚴重時，甚至可引致呼吸衰竭。然而，這些症狀皆非特異性，於其他肺部疾病及腫瘤亦</w:t>
      </w:r>
      <w:r>
        <w:rPr>
          <w:spacing w:val="3"/>
        </w:rPr>
        <w:t>可見；並且，罹患輕度肺結核的病人(特別因健檢或接觸者檢查發現者)，常常是不自覺有呼吸道症狀。</w:t>
      </w:r>
    </w:p>
    <w:p>
      <w:pPr>
        <w:pStyle w:val="BodyText"/>
        <w:spacing w:line="381" w:lineRule="exact"/>
        <w:ind w:left="905" w:right="898"/>
        <w:jc w:val="center"/>
      </w:pPr>
      <w:r>
        <w:rPr/>
        <w:t>身體診察通常幫助不大，早期時可完全正常；晚期時，則偶可聽到囉音及支氣管</w:t>
      </w:r>
    </w:p>
    <w:p>
      <w:pPr>
        <w:pStyle w:val="BodyText"/>
        <w:spacing w:line="423" w:lineRule="exact"/>
        <w:ind w:left="905" w:right="9624"/>
        <w:jc w:val="center"/>
      </w:pPr>
      <w:r>
        <w:rPr/>
        <w:t>音。</w:t>
      </w:r>
    </w:p>
    <w:p>
      <w:pPr>
        <w:pStyle w:val="BodyText"/>
        <w:rPr>
          <w:sz w:val="20"/>
        </w:rPr>
      </w:pPr>
    </w:p>
    <w:p>
      <w:pPr>
        <w:pStyle w:val="Heading7"/>
        <w:numPr>
          <w:ilvl w:val="2"/>
          <w:numId w:val="13"/>
        </w:numPr>
        <w:tabs>
          <w:tab w:pos="932" w:val="left" w:leader="none"/>
        </w:tabs>
        <w:spacing w:line="423" w:lineRule="exact" w:before="1" w:after="0"/>
        <w:ind w:left="931" w:right="0" w:hanging="661"/>
        <w:jc w:val="both"/>
      </w:pPr>
      <w:r>
        <w:rPr/>
        <w:t>全身性症狀：</w:t>
      </w:r>
    </w:p>
    <w:p>
      <w:pPr>
        <w:pStyle w:val="BodyText"/>
        <w:spacing w:line="220" w:lineRule="auto" w:before="7"/>
        <w:ind w:left="926" w:right="1307" w:firstLine="483"/>
        <w:jc w:val="both"/>
      </w:pPr>
      <w:r>
        <w:rPr/>
        <w:t>最常見之全身性症狀為發燒，早期文獻報告發生率達37%</w:t>
      </w:r>
      <w:r>
        <w:rPr>
          <w:spacing w:val="3"/>
        </w:rPr>
        <w:t>至</w:t>
      </w:r>
      <w:r>
        <w:rPr/>
        <w:t>80%不等，且發燒之病人開始接受抗結核藥物治療後，34%之病人於1星期內退燒，64%於2星期內退</w:t>
      </w:r>
      <w:r>
        <w:rPr>
          <w:spacing w:val="-5"/>
        </w:rPr>
        <w:t>燒，其發燒時間的中位值為</w:t>
      </w:r>
      <w:r>
        <w:rPr>
          <w:spacing w:val="2"/>
        </w:rPr>
        <w:t>10</w:t>
      </w:r>
      <w:r>
        <w:rPr>
          <w:spacing w:val="4"/>
        </w:rPr>
        <w:t>天(最短</w:t>
      </w:r>
      <w:r>
        <w:rPr/>
        <w:t>1</w:t>
      </w:r>
      <w:r>
        <w:rPr>
          <w:spacing w:val="-17"/>
        </w:rPr>
        <w:t>天，最長</w:t>
      </w:r>
      <w:r>
        <w:rPr>
          <w:spacing w:val="2"/>
        </w:rPr>
        <w:t>109</w:t>
      </w:r>
      <w:r>
        <w:rPr>
          <w:spacing w:val="-8"/>
        </w:rPr>
        <w:t>天)。其他的全身性症狀還包括： </w:t>
      </w:r>
      <w:r>
        <w:rPr>
          <w:spacing w:val="-16"/>
        </w:rPr>
        <w:t>食慾不振、體重減輕、倦怠及夜間盜汗等。然而，罹患輕度肺結核的病人，也常是沒有任何全身性症狀。</w:t>
      </w:r>
    </w:p>
    <w:p>
      <w:pPr>
        <w:pStyle w:val="BodyText"/>
        <w:spacing w:line="220" w:lineRule="auto"/>
        <w:ind w:left="926" w:right="1357" w:firstLine="483"/>
        <w:jc w:val="both"/>
      </w:pPr>
      <w:r>
        <w:rPr/>
        <w:t>最常見的血像變化為末梢血液的白血球數增加及貧血，發生率約10%。通常白血球增加為輕度，但偶見類白血病反應（leukemoid reaction）或白血球減少，亦可見末梢血液單核球及嗜伊紅白血球增加。貧血常見於散播性(disseminated)結核病，但某些病人由於結核病直接侵犯骨髓，也可引起貧血及全血球減少。血鈉過低亦可見於結核病，比率可達11%，通常是因肺部產生類似抗利尿激素物質（anti- diuretic hormone-like substance）所引起。</w:t>
      </w:r>
    </w:p>
    <w:p>
      <w:pPr>
        <w:pStyle w:val="BodyText"/>
        <w:spacing w:line="220" w:lineRule="auto"/>
        <w:ind w:left="926" w:right="1320" w:firstLine="483"/>
        <w:jc w:val="both"/>
      </w:pPr>
      <w:r>
        <w:rPr/>
        <w:t>由於許多結核病人常合併有其他疾病，例如：糖尿病、慢性阻塞性肺病、慢性</w:t>
      </w:r>
      <w:r>
        <w:rPr>
          <w:spacing w:val="-13"/>
        </w:rPr>
        <w:t>腎衰竭、愛滋病、酗酒、癌症及藥物依賴 (包括類固醇及成份不明的中藥)等。因此， </w:t>
      </w:r>
      <w:r>
        <w:rPr/>
        <w:t>結核病的診斷必須與這些疾病的徵象及其合併症作鑑別診斷，否則很容易造成診斷錯誤與延誤治療。</w:t>
      </w:r>
    </w:p>
    <w:p>
      <w:pPr>
        <w:spacing w:after="0" w:line="220" w:lineRule="auto"/>
        <w:jc w:val="both"/>
        <w:sectPr>
          <w:pgSz w:w="12250" w:h="17190"/>
          <w:pgMar w:header="0" w:footer="828" w:top="1340" w:bottom="1020" w:left="1200" w:right="0"/>
        </w:sectPr>
      </w:pPr>
    </w:p>
    <w:p>
      <w:pPr>
        <w:pStyle w:val="Heading7"/>
        <w:numPr>
          <w:ilvl w:val="2"/>
          <w:numId w:val="13"/>
        </w:numPr>
        <w:tabs>
          <w:tab w:pos="932" w:val="left" w:leader="none"/>
        </w:tabs>
        <w:spacing w:line="240" w:lineRule="auto" w:before="12" w:after="0"/>
        <w:ind w:left="931" w:right="0" w:hanging="661"/>
        <w:jc w:val="left"/>
      </w:pPr>
      <w:r>
        <w:rPr/>
        <w:t>肺外症狀（詳見本指引第七章）</w:t>
      </w:r>
    </w:p>
    <w:p>
      <w:pPr>
        <w:pStyle w:val="ListParagraph"/>
        <w:numPr>
          <w:ilvl w:val="1"/>
          <w:numId w:val="13"/>
        </w:numPr>
        <w:tabs>
          <w:tab w:pos="637" w:val="left" w:leader="none"/>
        </w:tabs>
        <w:spacing w:line="447" w:lineRule="exact" w:before="255" w:after="0"/>
        <w:ind w:left="636" w:right="0" w:hanging="477"/>
        <w:jc w:val="left"/>
        <w:rPr>
          <w:b/>
          <w:sz w:val="25"/>
        </w:rPr>
      </w:pPr>
      <w:bookmarkStart w:name="3.2 放射線影像變化 (小兒科及合併愛滋病請分別詳見本指引第八、九章)" w:id="37"/>
      <w:bookmarkEnd w:id="37"/>
      <w:r>
        <w:rPr/>
      </w:r>
      <w:bookmarkStart w:name="3.2 放射線影像變化 (小兒科及合併愛滋病請分別詳見本指引第八、九章)" w:id="38"/>
      <w:bookmarkEnd w:id="38"/>
      <w:r>
        <w:rPr>
          <w:b/>
          <w:sz w:val="25"/>
        </w:rPr>
        <w:t>放射線影像變化 (小兒科及合併愛滋病請分別詳見本指引第八、九章)</w:t>
      </w:r>
    </w:p>
    <w:p>
      <w:pPr>
        <w:pStyle w:val="ListParagraph"/>
        <w:numPr>
          <w:ilvl w:val="2"/>
          <w:numId w:val="13"/>
        </w:numPr>
        <w:tabs>
          <w:tab w:pos="932" w:val="left" w:leader="none"/>
        </w:tabs>
        <w:spacing w:line="413" w:lineRule="exact" w:before="0" w:after="0"/>
        <w:ind w:left="931" w:right="0" w:hanging="661"/>
        <w:jc w:val="left"/>
        <w:rPr>
          <w:b/>
          <w:sz w:val="24"/>
        </w:rPr>
      </w:pPr>
      <w:r>
        <w:rPr>
          <w:b/>
          <w:sz w:val="24"/>
        </w:rPr>
        <w:t>胸部 X</w:t>
      </w:r>
      <w:r>
        <w:rPr>
          <w:b/>
          <w:spacing w:val="-1"/>
          <w:sz w:val="24"/>
        </w:rPr>
        <w:t> 光檢查</w:t>
      </w:r>
    </w:p>
    <w:p>
      <w:pPr>
        <w:pStyle w:val="ListParagraph"/>
        <w:numPr>
          <w:ilvl w:val="0"/>
          <w:numId w:val="14"/>
        </w:numPr>
        <w:tabs>
          <w:tab w:pos="927" w:val="left" w:leader="none"/>
        </w:tabs>
        <w:spacing w:line="406" w:lineRule="exact" w:before="0" w:after="0"/>
        <w:ind w:left="926" w:right="0" w:hanging="239"/>
        <w:jc w:val="left"/>
        <w:rPr>
          <w:b/>
          <w:sz w:val="24"/>
        </w:rPr>
      </w:pPr>
      <w:r>
        <w:rPr>
          <w:b/>
          <w:sz w:val="24"/>
        </w:rPr>
        <w:t>重要性</w:t>
      </w:r>
    </w:p>
    <w:p>
      <w:pPr>
        <w:pStyle w:val="BodyText"/>
        <w:spacing w:line="218" w:lineRule="auto" w:before="10"/>
        <w:ind w:left="926" w:right="1361" w:firstLine="487"/>
        <w:jc w:val="both"/>
      </w:pPr>
      <w:r>
        <w:rPr>
          <w:spacing w:val="-4"/>
        </w:rPr>
        <w:t>除了支氣管內結核外，大部分肺結核，皆有不正常的胸部</w:t>
      </w:r>
      <w:r>
        <w:rPr/>
        <w:t>X</w:t>
      </w:r>
      <w:r>
        <w:rPr>
          <w:spacing w:val="-8"/>
        </w:rPr>
        <w:t>光影像。因此，胸部</w:t>
      </w:r>
      <w:r>
        <w:rPr>
          <w:spacing w:val="4"/>
        </w:rPr>
        <w:t>X</w:t>
      </w:r>
      <w:r>
        <w:rPr>
          <w:spacing w:val="3"/>
        </w:rPr>
        <w:t>光檢查在肺結核的診斷上有極重要的角色；故每位肺結核病人均須接受正面胸部</w:t>
      </w:r>
      <w:r>
        <w:rPr/>
        <w:t>X</w:t>
      </w:r>
      <w:r>
        <w:rPr>
          <w:spacing w:val="-7"/>
        </w:rPr>
        <w:t>光檢查。當孕婦被懷疑有活動性肺結核時，即使是在妊娠前期，也應接受胸部</w:t>
      </w:r>
      <w:r>
        <w:rPr/>
        <w:t>X光</w:t>
      </w:r>
      <w:r>
        <w:rPr>
          <w:spacing w:val="3"/>
        </w:rPr>
        <w:t>檢查(胎兒部位應予適當保護)。根據臺灣近年的資料顯示：</w:t>
      </w:r>
      <w:r>
        <w:rPr>
          <w:color w:val="FF0000"/>
          <w:spacing w:val="2"/>
        </w:rPr>
        <w:t>不是肋膜積水的肺外結</w:t>
      </w:r>
      <w:r>
        <w:rPr>
          <w:color w:val="FF0000"/>
          <w:spacing w:val="1"/>
        </w:rPr>
        <w:t>核病人中，</w:t>
      </w:r>
      <w:r>
        <w:rPr>
          <w:spacing w:val="4"/>
        </w:rPr>
        <w:t>約</w:t>
      </w:r>
      <w:r>
        <w:rPr/>
        <w:t>50%的病人同時罹患肺結核。因此，肺外結核的病人，也應於初診斷</w:t>
      </w:r>
      <w:r>
        <w:rPr>
          <w:spacing w:val="3"/>
        </w:rPr>
        <w:t>時進行胸部</w:t>
      </w:r>
      <w:r>
        <w:rPr/>
        <w:t>X</w:t>
      </w:r>
      <w:r>
        <w:rPr>
          <w:spacing w:val="2"/>
        </w:rPr>
        <w:t>光檢查以排除是否同時罹患肺結核。</w:t>
      </w:r>
    </w:p>
    <w:p>
      <w:pPr>
        <w:pStyle w:val="Heading7"/>
        <w:numPr>
          <w:ilvl w:val="0"/>
          <w:numId w:val="14"/>
        </w:numPr>
        <w:tabs>
          <w:tab w:pos="927" w:val="left" w:leader="none"/>
        </w:tabs>
        <w:spacing w:line="392" w:lineRule="exact" w:before="0" w:after="0"/>
        <w:ind w:left="926" w:right="0" w:hanging="239"/>
        <w:jc w:val="left"/>
      </w:pPr>
      <w:r>
        <w:rPr/>
        <w:t>影像變化</w:t>
      </w:r>
    </w:p>
    <w:p>
      <w:pPr>
        <w:pStyle w:val="BodyText"/>
        <w:spacing w:line="218" w:lineRule="auto" w:before="9"/>
        <w:ind w:left="926" w:right="1361" w:firstLine="487"/>
        <w:jc w:val="both"/>
      </w:pPr>
      <w:r>
        <w:rPr/>
        <w:t>進行性初發結核病的胸部X光通常於肺部中葉或下葉產生浸潤性病灶，且常合併同側肺門淋巴病變。由於淋巴結的變大，常會壓迫鄰近的支氣管而導致肺葉的膨脹不全(atelectasis)。當疾病持續進展時，肺部的浸潤性病灶即易產生空洞。</w:t>
      </w:r>
    </w:p>
    <w:p>
      <w:pPr>
        <w:pStyle w:val="BodyText"/>
        <w:spacing w:line="218" w:lineRule="auto"/>
        <w:ind w:left="926" w:right="1361" w:firstLine="487"/>
        <w:jc w:val="both"/>
      </w:pPr>
      <w:r>
        <w:rPr/>
        <w:t>當潛伏結核感染再復發時，容易在病人的胸部X光產生濃淡不均且邊緣不清楚的肺實質病變，常為多發性病灶，且容易產生空洞。通常好發於單側或雙側的上肺野，特別是肺上葉(upper lobe)的頂段及後段(apical and posterior segments)及肺下葉(lower lobe)的上段( superior segment)。</w:t>
      </w:r>
    </w:p>
    <w:p>
      <w:pPr>
        <w:pStyle w:val="BodyText"/>
        <w:spacing w:line="218" w:lineRule="auto"/>
        <w:ind w:left="926" w:right="1363" w:firstLine="487"/>
        <w:jc w:val="both"/>
      </w:pPr>
      <w:r>
        <w:rPr>
          <w:spacing w:val="-1"/>
        </w:rPr>
        <w:t>當肺結核繼續惡化時，結核分枝桿菌可經由支氣管散佈至其他部分之肺部，而</w:t>
      </w:r>
      <w:r>
        <w:rPr>
          <w:spacing w:val="6"/>
        </w:rPr>
        <w:t>在胸部</w:t>
      </w:r>
      <w:r>
        <w:rPr>
          <w:spacing w:val="4"/>
        </w:rPr>
        <w:t>X</w:t>
      </w:r>
      <w:r>
        <w:rPr>
          <w:spacing w:val="3"/>
        </w:rPr>
        <w:t>光呈現支氣管性肺炎；當結核分枝桿菌入侵血管或淋巴管時，則可將結核</w:t>
      </w:r>
      <w:r>
        <w:rPr>
          <w:spacing w:val="6"/>
        </w:rPr>
        <w:t>分枝桿菌散播至其他器官，並在胸部</w:t>
      </w:r>
      <w:r>
        <w:rPr/>
        <w:t>X</w:t>
      </w:r>
      <w:r>
        <w:rPr>
          <w:spacing w:val="3"/>
        </w:rPr>
        <w:t>光形成粟粒狀病變。若隨著肺結核病灶逐漸</w:t>
      </w:r>
      <w:r>
        <w:rPr>
          <w:spacing w:val="-8"/>
        </w:rPr>
        <w:t>癒合，肺部的病變會因為結疤，而在胸部</w:t>
      </w:r>
      <w:r>
        <w:rPr/>
        <w:t>X</w:t>
      </w:r>
      <w:r>
        <w:rPr>
          <w:spacing w:val="-4"/>
        </w:rPr>
        <w:t>光表現出纖維化病灶，且合併肺體積縮小</w:t>
      </w:r>
      <w:r>
        <w:rPr>
          <w:spacing w:val="-9"/>
        </w:rPr>
        <w:t>及鈣化點。然而，肺結核的胸部</w:t>
      </w:r>
      <w:r>
        <w:rPr/>
        <w:t>X</w:t>
      </w:r>
      <w:r>
        <w:rPr>
          <w:spacing w:val="-1"/>
        </w:rPr>
        <w:t>光影像也常會表現出較不常見的變化，如侵犯部位在肺下葉、支氣管或氣管侵犯而造成肺葉膨脹不全、合併肋膜積水及形成需與肺癌</w:t>
      </w:r>
      <w:r>
        <w:rPr>
          <w:spacing w:val="2"/>
        </w:rPr>
        <w:t>進行鑑別診斷的結核瘤(</w:t>
      </w:r>
      <w:r>
        <w:rPr/>
        <w:t>tuberculoma</w:t>
      </w:r>
      <w:r>
        <w:rPr>
          <w:spacing w:val="2"/>
        </w:rPr>
        <w:t>)等。</w:t>
      </w:r>
    </w:p>
    <w:p>
      <w:pPr>
        <w:pStyle w:val="Heading7"/>
        <w:numPr>
          <w:ilvl w:val="0"/>
          <w:numId w:val="14"/>
        </w:numPr>
        <w:tabs>
          <w:tab w:pos="927" w:val="left" w:leader="none"/>
        </w:tabs>
        <w:spacing w:line="390" w:lineRule="exact" w:before="0" w:after="0"/>
        <w:ind w:left="926" w:right="0" w:hanging="239"/>
        <w:jc w:val="left"/>
      </w:pPr>
      <w:r>
        <w:rPr/>
        <w:t>活動性判定</w:t>
      </w:r>
    </w:p>
    <w:p>
      <w:pPr>
        <w:pStyle w:val="BodyText"/>
        <w:spacing w:line="218" w:lineRule="auto"/>
        <w:ind w:left="926" w:right="1361" w:firstLine="487"/>
        <w:jc w:val="both"/>
      </w:pPr>
      <w:r>
        <w:rPr/>
        <w:t>胸部X光影像可用來幫助判斷肺結核是否屬於活動性肺結核，但仍存有相當的不確定性。一般而言，活動性肺結核可見濃淡不均且邊緣不清楚的肺實質病變、壁較厚的空洞性病灶、支氣管性肺炎、粟粒狀病變、肋膜積水及與舊片比對有肺實質病灶之新變化。但若屬肺結核痊癒後所遺留的陳舊性非活動性肺結核，則胸部X光影像，常見密集的硬結伴隨鈣化點，這些小硬結也常伴隨不同程度之纖維化結疤病灶，分佈於肺上葉；同時亦可見肋膜變厚。</w:t>
      </w:r>
    </w:p>
    <w:p>
      <w:pPr>
        <w:pStyle w:val="Heading7"/>
        <w:numPr>
          <w:ilvl w:val="0"/>
          <w:numId w:val="14"/>
        </w:numPr>
        <w:tabs>
          <w:tab w:pos="927" w:val="left" w:leader="none"/>
        </w:tabs>
        <w:spacing w:line="392" w:lineRule="exact" w:before="0" w:after="0"/>
        <w:ind w:left="926" w:right="0" w:hanging="239"/>
        <w:jc w:val="left"/>
      </w:pPr>
      <w:r>
        <w:rPr/>
        <w:t>限制</w:t>
      </w:r>
    </w:p>
    <w:p>
      <w:pPr>
        <w:pStyle w:val="BodyText"/>
        <w:spacing w:line="218" w:lineRule="auto" w:before="6"/>
        <w:ind w:left="926" w:right="1306" w:firstLine="480"/>
      </w:pPr>
      <w:r>
        <w:rPr/>
        <w:t>雖然胸部X光檢查在肺結核的診斷上有極重要的角色，但由於肺結核影像變化的多樣性。因此，在肺結核的診斷上仍有其限制。特別是老年結核病人(</w:t>
      </w:r>
      <w:r>
        <w:rPr>
          <w:color w:val="FF0000"/>
        </w:rPr>
        <w:t>臺灣大於65歲</w:t>
      </w:r>
    </w:p>
    <w:p>
      <w:pPr>
        <w:spacing w:after="0" w:line="218" w:lineRule="auto"/>
        <w:sectPr>
          <w:pgSz w:w="12250" w:h="17190"/>
          <w:pgMar w:header="0" w:footer="828" w:top="1460" w:bottom="1020" w:left="1200" w:right="0"/>
        </w:sectPr>
      </w:pPr>
    </w:p>
    <w:p>
      <w:pPr>
        <w:pStyle w:val="BodyText"/>
        <w:spacing w:line="218" w:lineRule="auto" w:before="52"/>
        <w:ind w:left="926" w:right="1331"/>
        <w:jc w:val="both"/>
      </w:pPr>
      <w:r>
        <w:rPr/>
        <w:pict>
          <v:group style="position:absolute;margin-left:570pt;margin-top:1.064438pt;width:42.4pt;height:128.1pt;mso-position-horizontal-relative:page;mso-position-vertical-relative:paragraph;z-index:251673600" coordorigin="11400,21" coordsize="848,2562">
            <v:shape style="position:absolute;left:11400;top:21;width:848;height:2562" coordorigin="11400,21" coordsize="848,2562" path="m12227,21l11565,21,11501,34,11448,70,11413,122,11400,187,11400,2418,11413,2482,11448,2535,11501,2570,11565,2583,12227,2583,12247,2579,12247,25,12227,21xe" filled="true" fillcolor="#a6a6a6" stroked="false">
              <v:path arrowok="t"/>
              <v:fill type="solid"/>
            </v:shape>
            <v:shape style="position:absolute;left:11400;top:21;width:848;height:2562" type="#_x0000_t202" filled="false" stroked="false">
              <v:textbox inset="0,0,0,0">
                <w:txbxContent>
                  <w:p>
                    <w:pPr>
                      <w:spacing w:line="146" w:lineRule="auto" w:before="127"/>
                      <w:ind w:left="136" w:right="488" w:firstLine="0"/>
                      <w:jc w:val="both"/>
                      <w:rPr>
                        <w:sz w:val="22"/>
                      </w:rPr>
                    </w:pPr>
                    <w:r>
                      <w:rPr>
                        <w:sz w:val="22"/>
                      </w:rPr>
                      <w:t>第三章</w:t>
                    </w:r>
                  </w:p>
                  <w:p>
                    <w:pPr>
                      <w:spacing w:line="141" w:lineRule="auto" w:before="175"/>
                      <w:ind w:left="136" w:right="488" w:firstLine="0"/>
                      <w:jc w:val="both"/>
                      <w:rPr>
                        <w:sz w:val="22"/>
                      </w:rPr>
                    </w:pPr>
                    <w:r>
                      <w:rPr>
                        <w:sz w:val="22"/>
                      </w:rPr>
                      <w:t>結核病的診斷</w:t>
                    </w:r>
                  </w:p>
                </w:txbxContent>
              </v:textbox>
              <w10:wrap type="none"/>
            </v:shape>
            <w10:wrap type="none"/>
          </v:group>
        </w:pict>
      </w:r>
      <w:r>
        <w:rPr>
          <w:color w:val="FF0000"/>
        </w:rPr>
        <w:t>結核病個案占所有確診個案約60%</w:t>
      </w:r>
      <w:r>
        <w:rPr/>
        <w:t>)，當伴隨多種慢性疾病時，常導致較不典型的胸部X</w:t>
      </w:r>
      <w:r>
        <w:rPr>
          <w:spacing w:val="-4"/>
        </w:rPr>
        <w:t>光影像表現，例如：中、下肺葉的浸潤病灶、肺炎般的病灶，而需與肺炎進行鑑</w:t>
      </w:r>
      <w:r>
        <w:rPr>
          <w:spacing w:val="-12"/>
        </w:rPr>
        <w:t>別診斷；或如腫瘤般的影像而需與肺癌進行鑑別診斷等。因此，臨床醫師必須隨時提</w:t>
      </w:r>
      <w:r>
        <w:rPr>
          <w:spacing w:val="-10"/>
        </w:rPr>
        <w:t>高警覺，對於任一胸部</w:t>
      </w:r>
      <w:r>
        <w:rPr/>
        <w:t>X</w:t>
      </w:r>
      <w:r>
        <w:rPr>
          <w:spacing w:val="-15"/>
        </w:rPr>
        <w:t>光影像，皆應考慮肺結核存在的可能性，並進行適當的診治。</w:t>
      </w:r>
    </w:p>
    <w:p>
      <w:pPr>
        <w:pStyle w:val="Heading7"/>
        <w:numPr>
          <w:ilvl w:val="2"/>
          <w:numId w:val="13"/>
        </w:numPr>
        <w:tabs>
          <w:tab w:pos="932" w:val="left" w:leader="none"/>
        </w:tabs>
        <w:spacing w:line="428" w:lineRule="exact" w:before="129" w:after="0"/>
        <w:ind w:left="931" w:right="0" w:hanging="661"/>
        <w:jc w:val="both"/>
      </w:pPr>
      <w:r>
        <w:rPr/>
        <w:t>胸部電腦斷層掃描檢查</w:t>
      </w:r>
    </w:p>
    <w:p>
      <w:pPr>
        <w:pStyle w:val="BodyText"/>
        <w:spacing w:line="218" w:lineRule="auto" w:before="15"/>
        <w:ind w:left="926" w:right="1361" w:firstLine="480"/>
        <w:jc w:val="right"/>
      </w:pPr>
      <w:r>
        <w:rPr>
          <w:spacing w:val="-3"/>
        </w:rPr>
        <w:t>胸部電腦斷層掃描檢查，比傳統胸部</w:t>
      </w:r>
      <w:r>
        <w:rPr/>
        <w:t>X</w:t>
      </w:r>
      <w:r>
        <w:rPr>
          <w:spacing w:val="-5"/>
        </w:rPr>
        <w:t>光敏感。因此，對於肺結核的診斷，特別</w:t>
      </w:r>
      <w:r>
        <w:rPr>
          <w:spacing w:val="-12"/>
        </w:rPr>
        <w:t>是偵測空洞、胸腔內淋巴病變、粟粒狀病變、支氣管擴張、支氣管堵塞及肋膜疾病等</w:t>
      </w:r>
      <w:r>
        <w:rPr>
          <w:spacing w:val="10"/>
        </w:rPr>
        <w:t>有其重要價值。電腦斷層掃描對於偵測是否有胸部</w:t>
      </w:r>
      <w:r>
        <w:rPr>
          <w:spacing w:val="11"/>
        </w:rPr>
        <w:t>X</w:t>
      </w:r>
      <w:r>
        <w:rPr>
          <w:spacing w:val="10"/>
        </w:rPr>
        <w:t>光不易發現的</w:t>
      </w:r>
      <w:r>
        <w:rPr/>
        <w:t>tree-in-bud及</w:t>
      </w:r>
      <w:r>
        <w:rPr>
          <w:spacing w:val="-1"/>
        </w:rPr>
        <w:t>micronodules</w:t>
      </w:r>
      <w:r>
        <w:rPr/>
        <w:t>等病變，更能提供有用的診斷資訊，幫助判定是否為活動性肺結核。</w:t>
      </w:r>
      <w:r>
        <w:rPr>
          <w:spacing w:val="-11"/>
        </w:rPr>
        <w:t>雖然，胸部電腦斷層掃描檢查是很有價值的診斷工具；然而，並非所有肺結核病</w:t>
      </w:r>
    </w:p>
    <w:p>
      <w:pPr>
        <w:pStyle w:val="BodyText"/>
        <w:spacing w:line="218" w:lineRule="auto"/>
        <w:ind w:left="926" w:right="1361"/>
        <w:jc w:val="both"/>
      </w:pPr>
      <w:r>
        <w:rPr>
          <w:spacing w:val="-4"/>
        </w:rPr>
        <w:t>人皆需進行胸部電腦斷層掃描檢查。目前，僅建議對於胸部</w:t>
      </w:r>
      <w:r>
        <w:rPr/>
        <w:t>X</w:t>
      </w:r>
      <w:r>
        <w:rPr>
          <w:spacing w:val="-2"/>
        </w:rPr>
        <w:t>光變化不明顯或診斷不</w:t>
      </w:r>
      <w:r>
        <w:rPr>
          <w:spacing w:val="-4"/>
        </w:rPr>
        <w:t>明確且會影響處置時，例如：懷疑為活動性肺結核，但胸部</w:t>
      </w:r>
      <w:r>
        <w:rPr/>
        <w:t>X</w:t>
      </w:r>
      <w:r>
        <w:rPr>
          <w:spacing w:val="-3"/>
        </w:rPr>
        <w:t>光變化不明顯；或多重</w:t>
      </w:r>
      <w:r>
        <w:rPr>
          <w:spacing w:val="-10"/>
        </w:rPr>
        <w:t>抗藥性結核病是否存在空洞，而必須考慮開刀等，則電腦斷層掃描檢查有其不可或缺</w:t>
      </w:r>
      <w:r>
        <w:rPr/>
        <w:t>的診斷價值。</w:t>
      </w:r>
    </w:p>
    <w:p>
      <w:pPr>
        <w:pStyle w:val="Heading7"/>
        <w:numPr>
          <w:ilvl w:val="2"/>
          <w:numId w:val="13"/>
        </w:numPr>
        <w:tabs>
          <w:tab w:pos="932" w:val="left" w:leader="none"/>
        </w:tabs>
        <w:spacing w:line="428" w:lineRule="exact" w:before="121" w:after="0"/>
        <w:ind w:left="931" w:right="0" w:hanging="661"/>
        <w:jc w:val="both"/>
      </w:pPr>
      <w:r>
        <w:rPr/>
        <w:t>胸部核磁共振掃描</w:t>
      </w:r>
    </w:p>
    <w:p>
      <w:pPr>
        <w:pStyle w:val="BodyText"/>
        <w:spacing w:line="428" w:lineRule="exact"/>
        <w:ind w:left="1406"/>
      </w:pPr>
      <w:r>
        <w:rPr/>
        <w:t>至目前為止，在診斷肺結核方面，仍無明確的特殊角色。</w:t>
      </w:r>
    </w:p>
    <w:p>
      <w:pPr>
        <w:pStyle w:val="Heading6"/>
        <w:numPr>
          <w:ilvl w:val="1"/>
          <w:numId w:val="13"/>
        </w:numPr>
        <w:tabs>
          <w:tab w:pos="637" w:val="left" w:leader="none"/>
        </w:tabs>
        <w:spacing w:line="447" w:lineRule="exact" w:before="234" w:after="0"/>
        <w:ind w:left="636" w:right="0" w:hanging="477"/>
        <w:jc w:val="left"/>
      </w:pPr>
      <w:bookmarkStart w:name="3.3 實驗室檢查" w:id="39"/>
      <w:bookmarkEnd w:id="39"/>
      <w:r>
        <w:rPr>
          <w:b w:val="0"/>
        </w:rPr>
      </w:r>
      <w:bookmarkStart w:name="3.3 實驗室檢查" w:id="40"/>
      <w:bookmarkEnd w:id="40"/>
      <w:r>
        <w:rPr/>
        <w:t>實驗室檢查</w:t>
      </w:r>
    </w:p>
    <w:p>
      <w:pPr>
        <w:pStyle w:val="BodyText"/>
        <w:spacing w:line="223" w:lineRule="auto" w:before="10"/>
        <w:ind w:left="633" w:right="1289" w:firstLine="480"/>
      </w:pPr>
      <w:r>
        <w:rPr/>
        <w:t>所有檢驗必須</w:t>
      </w:r>
      <w:r>
        <w:rPr>
          <w:color w:val="FF0000"/>
        </w:rPr>
        <w:t>由經授權的醫檢師或特殊專業技術人員</w:t>
      </w:r>
      <w:r>
        <w:rPr/>
        <w:t>，在有品質保證及安全保障的實驗室內進行。</w:t>
      </w:r>
    </w:p>
    <w:p>
      <w:pPr>
        <w:pStyle w:val="Heading7"/>
        <w:numPr>
          <w:ilvl w:val="2"/>
          <w:numId w:val="13"/>
        </w:numPr>
        <w:tabs>
          <w:tab w:pos="932" w:val="left" w:leader="none"/>
        </w:tabs>
        <w:spacing w:line="427" w:lineRule="exact" w:before="134" w:after="0"/>
        <w:ind w:left="931" w:right="0" w:hanging="661"/>
        <w:jc w:val="left"/>
      </w:pPr>
      <w:r>
        <w:rPr/>
        <w:t>檢體之採集及運送</w:t>
      </w:r>
    </w:p>
    <w:p>
      <w:pPr>
        <w:pStyle w:val="BodyText"/>
        <w:spacing w:line="407" w:lineRule="exact"/>
        <w:ind w:left="1406"/>
      </w:pPr>
      <w:r>
        <w:rPr/>
        <w:t>請參考疾病管制署全球資訊網，檢驗資訊內容：</w:t>
      </w:r>
    </w:p>
    <w:p>
      <w:pPr>
        <w:pStyle w:val="BodyText"/>
        <w:spacing w:line="218" w:lineRule="auto" w:before="8"/>
        <w:ind w:left="926" w:right="1355" w:firstLine="480"/>
      </w:pPr>
      <w:r>
        <w:rPr/>
        <w:t>路徑：首頁(www.cdc.gov.tw)/傳染病與防疫專題/傳染病病例定義暨防疫檢體採檢送驗事項/第三類法定傳染病/結核病</w:t>
      </w:r>
    </w:p>
    <w:p>
      <w:pPr>
        <w:pStyle w:val="Heading7"/>
        <w:numPr>
          <w:ilvl w:val="2"/>
          <w:numId w:val="13"/>
        </w:numPr>
        <w:tabs>
          <w:tab w:pos="932" w:val="left" w:leader="none"/>
        </w:tabs>
        <w:spacing w:line="428" w:lineRule="exact" w:before="132" w:after="0"/>
        <w:ind w:left="931" w:right="0" w:hanging="661"/>
        <w:jc w:val="left"/>
      </w:pPr>
      <w:r>
        <w:rPr/>
        <w:t>塗片耐酸性染色鏡檢</w:t>
      </w:r>
    </w:p>
    <w:p>
      <w:pPr>
        <w:pStyle w:val="BodyText"/>
        <w:spacing w:line="218" w:lineRule="auto" w:before="15"/>
        <w:ind w:left="926" w:right="1361" w:firstLine="480"/>
        <w:jc w:val="both"/>
      </w:pPr>
      <w:r>
        <w:rPr>
          <w:spacing w:val="-5"/>
        </w:rPr>
        <w:t>塗片耐酸性染色鏡檢(簡稱塗片)發現耐酸性細菌，方法簡單又快速，並可提供第</w:t>
      </w:r>
      <w:r>
        <w:rPr>
          <w:spacing w:val="-10"/>
        </w:rPr>
        <w:t>一線醫師診斷與治療之有力依據。建議：所有懷疑罹患肺結核的病人必須送痰檢體檢</w:t>
      </w:r>
      <w:r>
        <w:rPr/>
        <w:t>驗至少2次，最佳為3次，並且至少有1次為清晨之痰檢體。</w:t>
      </w:r>
    </w:p>
    <w:p>
      <w:pPr>
        <w:pStyle w:val="BodyText"/>
        <w:spacing w:line="218" w:lineRule="auto"/>
        <w:ind w:left="926" w:right="1358" w:firstLine="480"/>
        <w:jc w:val="both"/>
      </w:pPr>
      <w:r>
        <w:rPr/>
        <w:t>塗片每mL痰檢體內含約5,000至10,000</w:t>
      </w:r>
      <w:r>
        <w:rPr>
          <w:spacing w:val="-13"/>
        </w:rPr>
        <w:t>隻細菌方能檢測出。因此，塗片陰性並不</w:t>
      </w:r>
      <w:r>
        <w:rPr>
          <w:spacing w:val="-16"/>
        </w:rPr>
        <w:t>能排除可能之結核病。但是並非所有的塗片陽性，即代表罹患結核病：部分病人的痰</w:t>
      </w:r>
      <w:r>
        <w:rPr/>
        <w:t>塗片為陽性但結核分枝桿菌培養呈陰性，此可能是肺結核病人已接受抗結核藥物治</w:t>
      </w:r>
      <w:r>
        <w:rPr>
          <w:spacing w:val="-8"/>
        </w:rPr>
        <w:t>療或其他原因，如：</w:t>
      </w:r>
      <w:r>
        <w:rPr>
          <w:color w:val="FF0000"/>
          <w:spacing w:val="-8"/>
        </w:rPr>
        <w:t>判讀錯誤、檢體過度去汙染、雜菌造成培養時間不足及非結核分枝桿菌（nontuberculous </w:t>
      </w:r>
      <w:r>
        <w:rPr>
          <w:color w:val="FF0000"/>
        </w:rPr>
        <w:t>mycobacteria</w:t>
      </w:r>
      <w:r>
        <w:rPr>
          <w:color w:val="FF0000"/>
          <w:spacing w:val="-1"/>
        </w:rPr>
        <w:t>, </w:t>
      </w:r>
      <w:r>
        <w:rPr>
          <w:color w:val="FF0000"/>
        </w:rPr>
        <w:t>NTM）等。</w:t>
      </w:r>
    </w:p>
    <w:p>
      <w:pPr>
        <w:pStyle w:val="Heading7"/>
        <w:numPr>
          <w:ilvl w:val="2"/>
          <w:numId w:val="13"/>
        </w:numPr>
        <w:tabs>
          <w:tab w:pos="932" w:val="left" w:leader="none"/>
        </w:tabs>
        <w:spacing w:line="240" w:lineRule="auto" w:before="147" w:after="0"/>
        <w:ind w:left="931" w:right="0" w:hanging="661"/>
        <w:jc w:val="both"/>
      </w:pPr>
      <w:r>
        <w:rPr/>
        <w:t>分枝桿菌培養與鑑定</w:t>
      </w:r>
    </w:p>
    <w:p>
      <w:pPr>
        <w:spacing w:after="0" w:line="240" w:lineRule="auto"/>
        <w:jc w:val="both"/>
        <w:sectPr>
          <w:pgSz w:w="12250" w:h="17190"/>
          <w:pgMar w:header="0" w:footer="828" w:top="1440" w:bottom="1020" w:left="1200" w:right="0"/>
        </w:sectPr>
      </w:pPr>
    </w:p>
    <w:p>
      <w:pPr>
        <w:pStyle w:val="ListParagraph"/>
        <w:numPr>
          <w:ilvl w:val="0"/>
          <w:numId w:val="15"/>
        </w:numPr>
        <w:tabs>
          <w:tab w:pos="927" w:val="left" w:leader="none"/>
        </w:tabs>
        <w:spacing w:line="422" w:lineRule="exact" w:before="26" w:after="0"/>
        <w:ind w:left="926" w:right="0" w:hanging="239"/>
        <w:jc w:val="left"/>
        <w:rPr>
          <w:b/>
          <w:sz w:val="24"/>
        </w:rPr>
      </w:pPr>
      <w:r>
        <w:rPr>
          <w:b/>
          <w:sz w:val="24"/>
        </w:rPr>
        <w:t>菌株培養</w:t>
      </w:r>
    </w:p>
    <w:p>
      <w:pPr>
        <w:pStyle w:val="BodyText"/>
        <w:spacing w:line="218" w:lineRule="auto" w:before="9"/>
        <w:ind w:left="926" w:right="1361" w:firstLine="480"/>
        <w:jc w:val="both"/>
      </w:pPr>
      <w:r>
        <w:rPr>
          <w:spacing w:val="-7"/>
        </w:rPr>
        <w:t>所有懷疑結核病人之檢體除塗片檢驗外，也必須同時進行分枝桿菌培養，其理由為：(</w:t>
      </w:r>
      <w:r>
        <w:rPr>
          <w:spacing w:val="-3"/>
        </w:rPr>
        <w:t>1)</w:t>
      </w:r>
      <w:r>
        <w:rPr>
          <w:spacing w:val="-4"/>
        </w:rPr>
        <w:t> 培養比塗片更敏感，每 </w:t>
      </w:r>
      <w:r>
        <w:rPr/>
        <w:t>mL</w:t>
      </w:r>
      <w:r>
        <w:rPr>
          <w:spacing w:val="-1"/>
        </w:rPr>
        <w:t> 標本 </w:t>
      </w:r>
      <w:r>
        <w:rPr/>
        <w:t>10 至 100</w:t>
      </w:r>
      <w:r>
        <w:rPr>
          <w:spacing w:val="-3"/>
        </w:rPr>
        <w:t> 隻細菌即可偵測到；(2) 分離之分</w:t>
      </w:r>
      <w:r>
        <w:rPr/>
        <w:t>枝桿菌可作菌種鑑定；(3) 培養分離之結核菌可供</w:t>
      </w:r>
      <w:r>
        <w:rPr>
          <w:color w:val="FF0000"/>
        </w:rPr>
        <w:t>傳統表現型或快速分子</w:t>
      </w:r>
      <w:r>
        <w:rPr>
          <w:spacing w:val="-4"/>
        </w:rPr>
        <w:t>藥物感受性</w:t>
      </w:r>
      <w:r>
        <w:rPr/>
        <w:t>試驗；(4) 培養之結核分枝桿菌可提供基因體分析，以作為</w:t>
      </w:r>
      <w:r>
        <w:rPr>
          <w:color w:val="FF0000"/>
        </w:rPr>
        <w:t>群聚調查</w:t>
      </w:r>
      <w:r>
        <w:rPr>
          <w:spacing w:val="-3"/>
        </w:rPr>
        <w:t>、實驗室汙染分</w:t>
      </w:r>
      <w:r>
        <w:rPr/>
        <w:t>析及流行病學監測等。</w:t>
      </w:r>
    </w:p>
    <w:p>
      <w:pPr>
        <w:pStyle w:val="BodyText"/>
        <w:spacing w:line="400" w:lineRule="exact"/>
        <w:ind w:right="1361"/>
        <w:jc w:val="right"/>
      </w:pPr>
      <w:r>
        <w:rPr>
          <w:spacing w:val="-8"/>
        </w:rPr>
        <w:t>檢體培養方面，傳統採用 </w:t>
      </w:r>
      <w:r>
        <w:rPr/>
        <w:t>Lowenstein-Jensen</w:t>
      </w:r>
      <w:r>
        <w:rPr>
          <w:spacing w:val="-2"/>
        </w:rPr>
        <w:t> 培養基或 </w:t>
      </w:r>
      <w:r>
        <w:rPr/>
        <w:t>Middlebrook</w:t>
      </w:r>
      <w:r>
        <w:rPr>
          <w:spacing w:val="-17"/>
        </w:rPr>
        <w:t> </w:t>
      </w:r>
      <w:r>
        <w:rPr/>
        <w:t>7H10</w:t>
      </w:r>
      <w:r>
        <w:rPr>
          <w:spacing w:val="-1"/>
        </w:rPr>
        <w:t> 或</w:t>
      </w:r>
    </w:p>
    <w:p>
      <w:pPr>
        <w:pStyle w:val="BodyText"/>
        <w:spacing w:line="403" w:lineRule="exact"/>
        <w:ind w:right="1361"/>
        <w:jc w:val="right"/>
      </w:pPr>
      <w:r>
        <w:rPr/>
        <w:t>7H11</w:t>
      </w:r>
      <w:r>
        <w:rPr>
          <w:spacing w:val="-6"/>
        </w:rPr>
        <w:t> 等固體培養基，需時約 </w:t>
      </w:r>
      <w:r>
        <w:rPr/>
        <w:t>3 至 8</w:t>
      </w:r>
      <w:r>
        <w:rPr>
          <w:spacing w:val="-3"/>
        </w:rPr>
        <w:t> 星期才能培養出結核分枝桿菌；</w:t>
      </w:r>
      <w:r>
        <w:rPr>
          <w:color w:val="FF0000"/>
          <w:spacing w:val="-6"/>
        </w:rPr>
        <w:t>若培養陰性，則</w:t>
      </w:r>
    </w:p>
    <w:p>
      <w:pPr>
        <w:pStyle w:val="BodyText"/>
        <w:spacing w:line="403" w:lineRule="exact"/>
        <w:ind w:right="1361"/>
        <w:jc w:val="right"/>
      </w:pPr>
      <w:r>
        <w:rPr>
          <w:color w:val="FF0000"/>
          <w:spacing w:val="4"/>
        </w:rPr>
        <w:t>必須等待 </w:t>
      </w:r>
      <w:r>
        <w:rPr>
          <w:color w:val="FF0000"/>
        </w:rPr>
        <w:t>8 星期才能發出陰性報告。</w:t>
      </w:r>
      <w:r>
        <w:rPr>
          <w:spacing w:val="1"/>
        </w:rPr>
        <w:t>自動化液體培養基系統，陽性通常需時約 </w:t>
      </w:r>
      <w:r>
        <w:rPr>
          <w:color w:val="FF0000"/>
        </w:rPr>
        <w:t>2</w:t>
      </w:r>
      <w:r>
        <w:rPr>
          <w:color w:val="FF0000"/>
          <w:spacing w:val="10"/>
        </w:rPr>
        <w:t> 至</w:t>
      </w:r>
    </w:p>
    <w:p>
      <w:pPr>
        <w:pStyle w:val="BodyText"/>
        <w:spacing w:line="218" w:lineRule="auto" w:before="9"/>
        <w:ind w:left="926" w:right="1361"/>
      </w:pPr>
      <w:r>
        <w:rPr>
          <w:color w:val="FF0000"/>
        </w:rPr>
        <w:t>4</w:t>
      </w:r>
      <w:r>
        <w:rPr>
          <w:color w:val="FF0000"/>
          <w:spacing w:val="-1"/>
        </w:rPr>
        <w:t> 星期</w:t>
      </w:r>
      <w:r>
        <w:rPr>
          <w:spacing w:val="-8"/>
        </w:rPr>
        <w:t>得知；</w:t>
      </w:r>
      <w:r>
        <w:rPr>
          <w:color w:val="FF0000"/>
          <w:spacing w:val="-5"/>
        </w:rPr>
        <w:t>若培養陰性，則必須等待 </w:t>
      </w:r>
      <w:r>
        <w:rPr>
          <w:color w:val="FF0000"/>
        </w:rPr>
        <w:t>6</w:t>
      </w:r>
      <w:r>
        <w:rPr>
          <w:color w:val="FF0000"/>
          <w:spacing w:val="-5"/>
        </w:rPr>
        <w:t> 星期</w:t>
      </w:r>
      <w:r>
        <w:rPr>
          <w:spacing w:val="-7"/>
        </w:rPr>
        <w:t>。因此，疾病管制署要求檢體必須全面</w:t>
      </w:r>
      <w:r>
        <w:rPr/>
        <w:t>同步使用固體及液體培養基進行培養。</w:t>
      </w:r>
    </w:p>
    <w:p>
      <w:pPr>
        <w:pStyle w:val="Heading7"/>
        <w:numPr>
          <w:ilvl w:val="0"/>
          <w:numId w:val="15"/>
        </w:numPr>
        <w:tabs>
          <w:tab w:pos="927" w:val="left" w:leader="none"/>
        </w:tabs>
        <w:spacing w:line="397" w:lineRule="exact" w:before="0" w:after="0"/>
        <w:ind w:left="926" w:right="0" w:hanging="239"/>
        <w:jc w:val="left"/>
      </w:pPr>
      <w:r>
        <w:rPr/>
        <w:t>菌株鑑定</w:t>
      </w:r>
    </w:p>
    <w:p>
      <w:pPr>
        <w:pStyle w:val="BodyText"/>
        <w:spacing w:line="218" w:lineRule="auto" w:before="10"/>
        <w:ind w:left="926" w:right="1358" w:firstLine="480"/>
        <w:jc w:val="both"/>
      </w:pPr>
      <w:r>
        <w:rPr>
          <w:spacing w:val="3"/>
        </w:rPr>
        <w:t>由於臺灣臨床結核病實驗室所分離之分枝桿菌中，非結核分枝桿菌所占的比率</w:t>
      </w:r>
      <w:r>
        <w:rPr>
          <w:spacing w:val="-12"/>
        </w:rPr>
        <w:t>日益增多，甚至高於結核分枝桿菌。故每套分離之分枝桿菌皆應進行菌種鑑定，以確</w:t>
      </w:r>
      <w:r>
        <w:rPr/>
        <w:t>認是否為結核分枝桿菌。</w:t>
      </w:r>
    </w:p>
    <w:p>
      <w:pPr>
        <w:pStyle w:val="BodyText"/>
        <w:spacing w:line="216" w:lineRule="auto" w:before="7"/>
        <w:ind w:left="926" w:right="1332" w:firstLine="480"/>
        <w:jc w:val="both"/>
      </w:pPr>
      <w:r>
        <w:rPr>
          <w:spacing w:val="8"/>
        </w:rPr>
        <w:t>菌株鑑定的方式可以分子生物、抗原免疫檢測及</w:t>
      </w:r>
      <w:r>
        <w:rPr/>
        <w:t>MALDI-TOF</w:t>
      </w:r>
      <w:r>
        <w:rPr>
          <w:spacing w:val="6"/>
        </w:rPr>
        <w:t>質譜儀等方法進</w:t>
      </w:r>
      <w:r>
        <w:rPr/>
        <w:t>行 。 臨 床 實 驗 室 已 廣 為 應 用 側 向 流 量 免 疫 層 析 檢 測 法 （ lateral flow </w:t>
      </w:r>
      <w:r>
        <w:rPr>
          <w:spacing w:val="-3"/>
        </w:rPr>
        <w:t>immunochromatographic </w:t>
      </w:r>
      <w:r>
        <w:rPr/>
        <w:t>test,  </w:t>
      </w:r>
      <w:r>
        <w:rPr>
          <w:spacing w:val="14"/>
        </w:rPr>
        <w:t>ICT）</w:t>
      </w:r>
      <w:r>
        <w:rPr>
          <w:spacing w:val="27"/>
        </w:rPr>
        <w:t>偵測是否含有結核分枝桿菌分泌的特定</w:t>
      </w:r>
      <w:r>
        <w:rPr/>
        <w:t>MPB64抗原，可在15分鐘內完成試驗及判讀（菌量太少時可能會有偽陰性，須以其</w:t>
      </w:r>
      <w:r>
        <w:rPr>
          <w:spacing w:val="9"/>
        </w:rPr>
        <w:t>他方法輔助判定）</w:t>
      </w:r>
      <w:r>
        <w:rPr>
          <w:spacing w:val="8"/>
        </w:rPr>
        <w:t>。但必須注意有些結核分枝桿菌群，例如：牛型結核分枝桿菌(</w:t>
      </w:r>
      <w:r>
        <w:rPr>
          <w:i/>
          <w:spacing w:val="8"/>
          <w:sz w:val="25"/>
        </w:rPr>
        <w:t>Mycobacterium </w:t>
      </w:r>
      <w:r>
        <w:rPr>
          <w:i/>
          <w:sz w:val="25"/>
        </w:rPr>
        <w:t>bovis </w:t>
      </w:r>
      <w:r>
        <w:rPr>
          <w:spacing w:val="19"/>
        </w:rPr>
        <w:t>)等，並不具有</w:t>
      </w:r>
      <w:r>
        <w:rPr>
          <w:spacing w:val="3"/>
        </w:rPr>
        <w:t>MPB64</w:t>
      </w:r>
      <w:r>
        <w:rPr>
          <w:spacing w:val="19"/>
        </w:rPr>
        <w:t>抗原；特定結核分枝桿菌如果在</w:t>
      </w:r>
      <w:r>
        <w:rPr>
          <w:i/>
          <w:sz w:val="25"/>
        </w:rPr>
        <w:t>MPB64 </w:t>
      </w:r>
      <w:r>
        <w:rPr>
          <w:spacing w:val="-10"/>
        </w:rPr>
        <w:t>基因發生變異，也有可能產生偽陰性。所以，針對檢測陰性檢體，仍必須後續觀測固體培養基上的培養結果</w:t>
      </w:r>
      <w:r>
        <w:rPr>
          <w:color w:val="FF0000"/>
          <w:spacing w:val="-10"/>
        </w:rPr>
        <w:t>及菌落型態</w:t>
      </w:r>
      <w:r>
        <w:rPr>
          <w:spacing w:val="-10"/>
        </w:rPr>
        <w:t>，必要時並以其他方法進行最後鑑定。</w:t>
      </w:r>
    </w:p>
    <w:p>
      <w:pPr>
        <w:pStyle w:val="Heading7"/>
        <w:numPr>
          <w:ilvl w:val="2"/>
          <w:numId w:val="13"/>
        </w:numPr>
        <w:tabs>
          <w:tab w:pos="932" w:val="left" w:leader="none"/>
        </w:tabs>
        <w:spacing w:line="429" w:lineRule="exact" w:before="199" w:after="0"/>
        <w:ind w:left="931" w:right="0" w:hanging="661"/>
        <w:jc w:val="both"/>
      </w:pPr>
      <w:r>
        <w:rPr/>
        <w:t>藥物感受性試驗</w:t>
      </w:r>
    </w:p>
    <w:p>
      <w:pPr>
        <w:pStyle w:val="BodyText"/>
        <w:spacing w:line="218" w:lineRule="auto" w:before="16"/>
        <w:ind w:left="926" w:right="1352" w:firstLine="487"/>
        <w:jc w:val="both"/>
      </w:pPr>
      <w:r>
        <w:rPr>
          <w:color w:val="FF0000"/>
          <w:spacing w:val="-1"/>
        </w:rPr>
        <w:t>結核菌藥物感受性試驗至少有以下目的：引導臨床正確用藥；病人治療反應不</w:t>
      </w:r>
      <w:r>
        <w:rPr>
          <w:color w:val="FF0000"/>
          <w:spacing w:val="3"/>
        </w:rPr>
        <w:t>佳時，確認是否產生抗藥性及監測抗藥性變化情形。傳統培養法包含：</w:t>
      </w:r>
      <w:r>
        <w:rPr>
          <w:color w:val="FF0000"/>
          <w:spacing w:val="2"/>
        </w:rPr>
        <w:t>(1</w:t>
      </w:r>
      <w:r>
        <w:rPr>
          <w:color w:val="FF0000"/>
          <w:spacing w:val="3"/>
        </w:rPr>
        <w:t>) 固態培</w:t>
      </w:r>
      <w:r>
        <w:rPr>
          <w:color w:val="FF0000"/>
          <w:spacing w:val="-1"/>
        </w:rPr>
        <w:t>養法：使用比例法</w:t>
      </w:r>
      <w:r>
        <w:rPr>
          <w:color w:val="FF0000"/>
        </w:rPr>
        <w:t>（proportion method）</w:t>
      </w:r>
      <w:r>
        <w:rPr>
          <w:color w:val="FF0000"/>
          <w:spacing w:val="1"/>
        </w:rPr>
        <w:t>測試抗藥性，以含藥物培養基和不含藥</w:t>
      </w:r>
      <w:r>
        <w:rPr>
          <w:color w:val="FF0000"/>
        </w:rPr>
        <w:t>物培養基所生長的菌落數目加以比較，若含藥物培養基上的菌株生長數目大於不含</w:t>
      </w:r>
      <w:r>
        <w:rPr>
          <w:color w:val="FF0000"/>
          <w:spacing w:val="3"/>
        </w:rPr>
        <w:t>藥物對照組菌株生長數目的</w:t>
      </w:r>
      <w:r>
        <w:rPr>
          <w:color w:val="FF0000"/>
          <w:spacing w:val="-21"/>
        </w:rPr>
        <w:t>1</w:t>
      </w:r>
      <w:r>
        <w:rPr>
          <w:color w:val="FF0000"/>
          <w:spacing w:val="-8"/>
        </w:rPr>
        <w:t>%，則判定該菌株對該藥物具抗藥性。現為臨床實驗室主要使用方法，對</w:t>
      </w:r>
      <w:r>
        <w:rPr>
          <w:color w:val="FF0000"/>
        </w:rPr>
        <w:t>isoniazid</w:t>
      </w:r>
      <w:r>
        <w:rPr>
          <w:color w:val="FF0000"/>
          <w:spacing w:val="4"/>
        </w:rPr>
        <w:t>及</w:t>
      </w:r>
      <w:r>
        <w:rPr>
          <w:color w:val="FF0000"/>
        </w:rPr>
        <w:t>rifampin</w:t>
      </w:r>
      <w:r>
        <w:rPr>
          <w:color w:val="FF0000"/>
          <w:spacing w:val="-3"/>
        </w:rPr>
        <w:t>的抗藥檢測準確性較佳，ethambutol</w:t>
      </w:r>
      <w:r>
        <w:rPr>
          <w:color w:val="FF0000"/>
          <w:spacing w:val="3"/>
        </w:rPr>
        <w:t>則須注</w:t>
      </w:r>
      <w:r>
        <w:rPr>
          <w:color w:val="FF0000"/>
          <w:spacing w:val="1"/>
        </w:rPr>
        <w:t>意觀察小菌落，且</w:t>
      </w:r>
      <w:r>
        <w:rPr>
          <w:color w:val="FF0000"/>
        </w:rPr>
        <w:t>pyrazinamide抗藥檢測，尚未有標準化；(2</w:t>
      </w:r>
      <w:r>
        <w:rPr>
          <w:color w:val="FF0000"/>
          <w:spacing w:val="1"/>
        </w:rPr>
        <w:t>) 液態培養法：利用</w:t>
      </w:r>
      <w:r>
        <w:rPr>
          <w:color w:val="FF0000"/>
          <w:spacing w:val="-1"/>
        </w:rPr>
        <w:t>螢光偵測細菌生長之耗氧情形，判定陽性培養與抗藥性結果。液態培養系統對於一</w:t>
      </w:r>
      <w:r>
        <w:rPr>
          <w:color w:val="FF0000"/>
          <w:spacing w:val="17"/>
        </w:rPr>
        <w:t>線藥物 </w:t>
      </w:r>
      <w:r>
        <w:rPr>
          <w:color w:val="FF0000"/>
        </w:rPr>
        <w:t>rifampin</w:t>
      </w:r>
      <w:r>
        <w:rPr>
          <w:color w:val="FF0000"/>
          <w:spacing w:val="19"/>
        </w:rPr>
        <w:t> 的抗藥檢測準確性不及固態培養法， 二線藥物雖已可檢測fluoroquinolone</w:t>
      </w:r>
      <w:r>
        <w:rPr>
          <w:color w:val="FF0000"/>
          <w:spacing w:val="2"/>
        </w:rPr>
        <w:t>及二線針劑(</w:t>
      </w:r>
      <w:r>
        <w:rPr>
          <w:color w:val="FF0000"/>
          <w:spacing w:val="-3"/>
        </w:rPr>
        <w:t>kanamycin</w:t>
      </w:r>
      <w:r>
        <w:rPr>
          <w:rFonts w:ascii="標楷體" w:eastAsia="標楷體" w:hint="eastAsia"/>
          <w:color w:val="FF0000"/>
          <w:spacing w:val="-34"/>
        </w:rPr>
        <w:t>、</w:t>
      </w:r>
      <w:r>
        <w:rPr>
          <w:color w:val="FF0000"/>
        </w:rPr>
        <w:t>amikacin</w:t>
      </w:r>
      <w:r>
        <w:rPr>
          <w:color w:val="FF0000"/>
          <w:spacing w:val="3"/>
        </w:rPr>
        <w:t>及</w:t>
      </w:r>
      <w:r>
        <w:rPr>
          <w:color w:val="FF0000"/>
        </w:rPr>
        <w:t>capreomycin</w:t>
      </w:r>
      <w:r>
        <w:rPr>
          <w:color w:val="FF0000"/>
          <w:spacing w:val="-11"/>
        </w:rPr>
        <w:t>)抗藥性，但是</w:t>
      </w:r>
      <w:r>
        <w:rPr>
          <w:color w:val="FF0000"/>
          <w:spacing w:val="9"/>
        </w:rPr>
        <w:t>需增購新軟體及無法如一線藥物檢測由機器自動判讀。所需設備與培養基相對昂</w:t>
      </w:r>
    </w:p>
    <w:p>
      <w:pPr>
        <w:spacing w:after="0" w:line="218" w:lineRule="auto"/>
        <w:jc w:val="both"/>
        <w:sectPr>
          <w:pgSz w:w="12250" w:h="17190"/>
          <w:pgMar w:header="0" w:footer="828" w:top="1440" w:bottom="1020" w:left="1200" w:right="0"/>
        </w:sectPr>
      </w:pPr>
    </w:p>
    <w:p>
      <w:pPr>
        <w:pStyle w:val="BodyText"/>
        <w:spacing w:line="420" w:lineRule="exact" w:before="23"/>
        <w:ind w:left="926"/>
      </w:pPr>
      <w:r>
        <w:rPr/>
        <w:pict>
          <v:group style="position:absolute;margin-left:570pt;margin-top:1.050923pt;width:42.4pt;height:128.1pt;mso-position-horizontal-relative:page;mso-position-vertical-relative:paragraph;z-index:251675648" coordorigin="11400,21" coordsize="848,2562">
            <v:shape style="position:absolute;left:11400;top:21;width:848;height:2562" coordorigin="11400,21" coordsize="848,2562" path="m12227,21l11565,21,11501,34,11448,69,11413,122,11400,186,11400,2418,11413,2482,11448,2535,11501,2570,11565,2583,12227,2583,12247,2579,12247,25,12227,21xe" filled="true" fillcolor="#a6a6a6" stroked="false">
              <v:path arrowok="t"/>
              <v:fill type="solid"/>
            </v:shape>
            <v:shape style="position:absolute;left:11400;top:21;width:848;height:2562" type="#_x0000_t202" filled="false" stroked="false">
              <v:textbox inset="0,0,0,0">
                <w:txbxContent>
                  <w:p>
                    <w:pPr>
                      <w:spacing w:line="146" w:lineRule="auto" w:before="127"/>
                      <w:ind w:left="136" w:right="488" w:firstLine="0"/>
                      <w:jc w:val="both"/>
                      <w:rPr>
                        <w:sz w:val="22"/>
                      </w:rPr>
                    </w:pPr>
                    <w:r>
                      <w:rPr>
                        <w:sz w:val="22"/>
                      </w:rPr>
                      <w:t>第三章</w:t>
                    </w:r>
                  </w:p>
                  <w:p>
                    <w:pPr>
                      <w:spacing w:line="141" w:lineRule="auto" w:before="175"/>
                      <w:ind w:left="136" w:right="488" w:firstLine="0"/>
                      <w:jc w:val="both"/>
                      <w:rPr>
                        <w:sz w:val="22"/>
                      </w:rPr>
                    </w:pPr>
                    <w:r>
                      <w:rPr>
                        <w:sz w:val="22"/>
                      </w:rPr>
                      <w:t>結核病的診斷</w:t>
                    </w:r>
                  </w:p>
                </w:txbxContent>
              </v:textbox>
              <w10:wrap type="none"/>
            </v:shape>
            <w10:wrap type="none"/>
          </v:group>
        </w:pict>
      </w:r>
      <w:r>
        <w:rPr>
          <w:color w:val="FF0000"/>
        </w:rPr>
        <w:t>貴。此外，疾病管制署參考實驗室會針對特殊治療需求，提供液態最低抑菌濃度</w:t>
      </w:r>
    </w:p>
    <w:p>
      <w:pPr>
        <w:pStyle w:val="BodyText"/>
        <w:spacing w:line="400" w:lineRule="exact"/>
        <w:ind w:left="926"/>
      </w:pPr>
      <w:r>
        <w:rPr>
          <w:color w:val="FF0000"/>
        </w:rPr>
        <w:t>(minimum inhibitory concentration, MIC)定量抗藥測試方法之結果。</w:t>
      </w:r>
    </w:p>
    <w:p>
      <w:pPr>
        <w:pStyle w:val="BodyText"/>
        <w:spacing w:line="218" w:lineRule="auto" w:before="9"/>
        <w:ind w:left="926" w:right="1301" w:firstLine="480"/>
        <w:jc w:val="both"/>
      </w:pPr>
      <w:r>
        <w:rPr>
          <w:spacing w:val="-4"/>
        </w:rPr>
        <w:t>由於技術上的限制，現行的傳統藥物感受性試驗結果，並無法</w:t>
      </w:r>
      <w:r>
        <w:rPr/>
        <w:t>100%正確的預測</w:t>
      </w:r>
      <w:r>
        <w:rPr>
          <w:spacing w:val="-8"/>
        </w:rPr>
        <w:t>抗結核藥物是否有效。因此，臨床醫師在判讀時，除必須考慮實驗室的檢驗品質外， </w:t>
      </w:r>
      <w:r>
        <w:rPr/>
        <w:t>也必須考慮個別藥物檢驗的正確性。依照世界衛生組織提供的藥物能力試驗結果發</w:t>
      </w:r>
      <w:r>
        <w:rPr>
          <w:spacing w:val="31"/>
        </w:rPr>
        <w:t>現：第一 線抗結核 藥物中的 </w:t>
      </w:r>
      <w:r>
        <w:rPr/>
        <w:t>isoniazid</w:t>
      </w:r>
      <w:r>
        <w:rPr>
          <w:spacing w:val="-2"/>
        </w:rPr>
        <w:t> 及 </w:t>
      </w:r>
      <w:r>
        <w:rPr/>
        <w:t>rifampicin</w:t>
      </w:r>
      <w:r>
        <w:rPr>
          <w:spacing w:val="26"/>
        </w:rPr>
        <w:t> 有很高 的準確性 ，但</w:t>
      </w:r>
      <w:r>
        <w:rPr>
          <w:spacing w:val="-4"/>
        </w:rPr>
        <w:t>Streptomycin</w:t>
      </w:r>
      <w:r>
        <w:rPr>
          <w:spacing w:val="-41"/>
        </w:rPr>
        <w:t>、</w:t>
      </w:r>
      <w:r>
        <w:rPr/>
        <w:t>ethambutol及pyrazinamide</w:t>
      </w:r>
      <w:r>
        <w:rPr>
          <w:spacing w:val="-9"/>
        </w:rPr>
        <w:t>的準確性則略低。第二線抗結核藥物中</w:t>
      </w:r>
      <w:r>
        <w:rPr>
          <w:spacing w:val="7"/>
        </w:rPr>
        <w:t>的針劑注射藥物(如</w:t>
      </w:r>
      <w:r>
        <w:rPr/>
        <w:t>amikacin</w:t>
      </w:r>
      <w:r>
        <w:rPr>
          <w:spacing w:val="7"/>
        </w:rPr>
        <w:t>、</w:t>
      </w:r>
      <w:r>
        <w:rPr/>
        <w:t>kanamycin</w:t>
      </w:r>
      <w:r>
        <w:rPr>
          <w:spacing w:val="7"/>
        </w:rPr>
        <w:t>及</w:t>
      </w:r>
      <w:r>
        <w:rPr/>
        <w:t>capreomycin</w:t>
      </w:r>
      <w:r>
        <w:rPr>
          <w:spacing w:val="3"/>
        </w:rPr>
        <w:t>)和</w:t>
      </w:r>
      <w:r>
        <w:rPr/>
        <w:t>fluoroquinolones類藥物也有較高的準確性，但其他藥物的資訊則仍較為不足。</w:t>
      </w:r>
    </w:p>
    <w:p>
      <w:pPr>
        <w:pStyle w:val="BodyText"/>
        <w:spacing w:line="218" w:lineRule="auto"/>
        <w:ind w:left="926" w:right="1361" w:firstLine="487"/>
        <w:jc w:val="both"/>
      </w:pPr>
      <w:r>
        <w:rPr>
          <w:spacing w:val="1"/>
        </w:rPr>
        <w:t>為了要確認結核病人接受有效之抗結核藥物治療，所有病人第一次培養陽性的</w:t>
      </w:r>
      <w:r>
        <w:rPr>
          <w:spacing w:val="-4"/>
        </w:rPr>
        <w:t>結核分枝桿菌必須進行第一線抗結核藥物(如：</w:t>
      </w:r>
      <w:r>
        <w:rPr>
          <w:spacing w:val="-10"/>
        </w:rPr>
        <w:t>isoniazid</w:t>
      </w:r>
      <w:r>
        <w:rPr>
          <w:spacing w:val="-45"/>
        </w:rPr>
        <w:t>、</w:t>
      </w:r>
      <w:r>
        <w:rPr/>
        <w:t>rifampin及ethambutol等) </w:t>
      </w:r>
      <w:r>
        <w:rPr>
          <w:spacing w:val="-12"/>
        </w:rPr>
        <w:t>的感受性試驗。另外，為瞭解抗藥性變化情形，病人接受治療</w:t>
      </w:r>
      <w:r>
        <w:rPr>
          <w:color w:val="FF0000"/>
        </w:rPr>
        <w:t>滿二個月</w:t>
      </w:r>
      <w:r>
        <w:rPr>
          <w:spacing w:val="-3"/>
        </w:rPr>
        <w:t>及以後之檢體</w:t>
      </w:r>
      <w:r>
        <w:rPr>
          <w:spacing w:val="-11"/>
        </w:rPr>
        <w:t>若培養仍呈陽性，或陰轉後之檢體再度培養陽性的結核病人，其菌株也必須進行藥物</w:t>
      </w:r>
      <w:r>
        <w:rPr/>
        <w:t>感受性試驗。</w:t>
      </w:r>
    </w:p>
    <w:p>
      <w:pPr>
        <w:pStyle w:val="BodyText"/>
        <w:spacing w:line="218" w:lineRule="auto"/>
        <w:ind w:left="926" w:right="1358" w:firstLine="480"/>
        <w:jc w:val="both"/>
      </w:pPr>
      <w:r>
        <w:rPr>
          <w:spacing w:val="3"/>
        </w:rPr>
        <w:t>藥物感受性試驗之結果必須儘快報告，其內容包括：方法、藥物、濃度及敏感</w:t>
      </w:r>
      <w:r>
        <w:rPr/>
        <w:t>(susceptible</w:t>
      </w:r>
      <w:r>
        <w:rPr>
          <w:spacing w:val="1"/>
        </w:rPr>
        <w:t>) 或抗藥 (</w:t>
      </w:r>
      <w:r>
        <w:rPr/>
        <w:t>resistant</w:t>
      </w:r>
      <w:r>
        <w:rPr>
          <w:spacing w:val="-10"/>
        </w:rPr>
        <w:t>)。最好直接通知其主治醫師，並且，一旦報告有抗</w:t>
      </w:r>
      <w:r>
        <w:rPr>
          <w:spacing w:val="-5"/>
        </w:rPr>
        <w:t>藥性結核分枝桿菌，無診治此類病人經驗之醫師應儘快將病人轉介至結核病專家或</w:t>
      </w:r>
      <w:r>
        <w:rPr/>
        <w:t>通報至衛生主管機關進行轉介。</w:t>
      </w:r>
    </w:p>
    <w:p>
      <w:pPr>
        <w:pStyle w:val="Heading7"/>
        <w:numPr>
          <w:ilvl w:val="2"/>
          <w:numId w:val="13"/>
        </w:numPr>
        <w:tabs>
          <w:tab w:pos="932" w:val="left" w:leader="none"/>
        </w:tabs>
        <w:spacing w:line="438" w:lineRule="exact" w:before="181" w:after="0"/>
        <w:ind w:left="931" w:right="0" w:hanging="661"/>
        <w:jc w:val="both"/>
      </w:pPr>
      <w:r>
        <w:rPr/>
        <w:t>分子檢測</w:t>
      </w:r>
    </w:p>
    <w:p>
      <w:pPr>
        <w:pStyle w:val="ListParagraph"/>
        <w:numPr>
          <w:ilvl w:val="0"/>
          <w:numId w:val="16"/>
        </w:numPr>
        <w:tabs>
          <w:tab w:pos="942" w:val="left" w:leader="none"/>
        </w:tabs>
        <w:spacing w:line="421" w:lineRule="exact" w:before="0" w:after="0"/>
        <w:ind w:left="942" w:right="0" w:hanging="265"/>
        <w:jc w:val="both"/>
        <w:rPr>
          <w:b/>
          <w:sz w:val="24"/>
        </w:rPr>
      </w:pPr>
      <w:r>
        <w:rPr>
          <w:b/>
          <w:sz w:val="24"/>
        </w:rPr>
        <w:t>結核分枝桿菌核酸增幅</w:t>
      </w:r>
      <w:r>
        <w:rPr>
          <w:sz w:val="24"/>
        </w:rPr>
        <w:t>(nucleic</w:t>
      </w:r>
      <w:r>
        <w:rPr>
          <w:spacing w:val="-1"/>
          <w:sz w:val="24"/>
        </w:rPr>
        <w:t> </w:t>
      </w:r>
      <w:r>
        <w:rPr>
          <w:sz w:val="24"/>
        </w:rPr>
        <w:t>acid amplification,</w:t>
      </w:r>
      <w:r>
        <w:rPr>
          <w:spacing w:val="-1"/>
          <w:sz w:val="24"/>
        </w:rPr>
        <w:t> </w:t>
      </w:r>
      <w:r>
        <w:rPr>
          <w:sz w:val="24"/>
        </w:rPr>
        <w:t>NAA)</w:t>
      </w:r>
      <w:r>
        <w:rPr>
          <w:b/>
          <w:sz w:val="24"/>
        </w:rPr>
        <w:t>檢驗</w:t>
      </w:r>
    </w:p>
    <w:p>
      <w:pPr>
        <w:pStyle w:val="BodyText"/>
        <w:spacing w:line="218" w:lineRule="auto" w:before="12"/>
        <w:ind w:left="926" w:right="1339" w:firstLine="487"/>
        <w:jc w:val="right"/>
      </w:pPr>
      <w:r>
        <w:rPr>
          <w:spacing w:val="-1"/>
        </w:rPr>
        <w:t>分子生物技術運用於結核分枝桿菌之快速偵測、抗藥性檢測及基因分型，是不</w:t>
      </w:r>
      <w:r>
        <w:rPr>
          <w:spacing w:val="1"/>
        </w:rPr>
        <w:t>可阻擋的趨勢。但是現階段仍無法完全取代傳統的塗片、培養及藥物感受性試驗。</w:t>
      </w:r>
      <w:r>
        <w:rPr>
          <w:spacing w:val="3"/>
        </w:rPr>
        <w:t>結核分枝桿菌</w:t>
      </w:r>
      <w:r>
        <w:rPr/>
        <w:t>NAA</w:t>
      </w:r>
      <w:r>
        <w:rPr>
          <w:spacing w:val="-6"/>
        </w:rPr>
        <w:t> </w:t>
      </w:r>
      <w:r>
        <w:rPr>
          <w:spacing w:val="-4"/>
        </w:rPr>
        <w:t>test</w:t>
      </w:r>
      <w:r>
        <w:rPr>
          <w:spacing w:val="-2"/>
        </w:rPr>
        <w:t>，應選擇符合體外檢測試劑規範的試劑組，並在適當的</w:t>
      </w:r>
    </w:p>
    <w:p>
      <w:pPr>
        <w:pStyle w:val="BodyText"/>
        <w:spacing w:line="218" w:lineRule="auto" w:before="3"/>
        <w:ind w:left="926" w:right="1357"/>
        <w:jc w:val="right"/>
      </w:pPr>
      <w:r>
        <w:rPr>
          <w:spacing w:val="8"/>
        </w:rPr>
        <w:t>品管與生物安全規範操作條件下執行。利用聚合酶鏈鎖反應</w:t>
      </w:r>
      <w:r>
        <w:rPr/>
        <w:t>（polymerase</w:t>
      </w:r>
      <w:r>
        <w:rPr>
          <w:spacing w:val="2"/>
        </w:rPr>
        <w:t> </w:t>
      </w:r>
      <w:r>
        <w:rPr/>
        <w:t>chain reaction</w:t>
      </w:r>
      <w:r>
        <w:rPr>
          <w:spacing w:val="27"/>
        </w:rPr>
        <w:t>, </w:t>
      </w:r>
      <w:r>
        <w:rPr>
          <w:spacing w:val="3"/>
        </w:rPr>
        <w:t>PCR）</w:t>
      </w:r>
      <w:r>
        <w:rPr>
          <w:spacing w:val="6"/>
        </w:rPr>
        <w:t>可偵測臨床檢體之結核分枝桿菌</w:t>
      </w:r>
      <w:r>
        <w:rPr>
          <w:color w:val="FF0000"/>
          <w:spacing w:val="7"/>
        </w:rPr>
        <w:t>約</w:t>
      </w:r>
      <w:r>
        <w:rPr>
          <w:color w:val="FF0000"/>
        </w:rPr>
        <w:t>10-130</w:t>
      </w:r>
      <w:r>
        <w:rPr>
          <w:color w:val="FF0000"/>
          <w:spacing w:val="6"/>
        </w:rPr>
        <w:t>隻細菌</w:t>
      </w:r>
      <w:r>
        <w:rPr>
          <w:spacing w:val="6"/>
        </w:rPr>
        <w:t>，且可於幾小時</w:t>
      </w:r>
      <w:r>
        <w:rPr>
          <w:spacing w:val="-8"/>
        </w:rPr>
        <w:t>內完成。若檢體為塗片陽性，其敏感度約達</w:t>
      </w:r>
      <w:r>
        <w:rPr/>
        <w:t>92%</w:t>
      </w:r>
      <w:r>
        <w:rPr>
          <w:spacing w:val="3"/>
        </w:rPr>
        <w:t>至</w:t>
      </w:r>
      <w:r>
        <w:rPr>
          <w:spacing w:val="-8"/>
        </w:rPr>
        <w:t>100</w:t>
      </w:r>
      <w:r>
        <w:rPr>
          <w:spacing w:val="-1"/>
        </w:rPr>
        <w:t>%，特異度大於</w:t>
      </w:r>
      <w:r>
        <w:rPr>
          <w:spacing w:val="-10"/>
        </w:rPr>
        <w:t>95</w:t>
      </w:r>
      <w:r>
        <w:rPr>
          <w:spacing w:val="-4"/>
        </w:rPr>
        <w:t>%；若檢體</w:t>
      </w:r>
      <w:r>
        <w:rPr>
          <w:spacing w:val="9"/>
        </w:rPr>
        <w:t>為塗片陰性但培養陽性時，其敏感度下降至</w:t>
      </w:r>
      <w:r>
        <w:rPr>
          <w:spacing w:val="3"/>
        </w:rPr>
        <w:t>40</w:t>
      </w:r>
      <w:r>
        <w:rPr>
          <w:spacing w:val="6"/>
        </w:rPr>
        <w:t>%至</w:t>
      </w:r>
      <w:r>
        <w:rPr>
          <w:spacing w:val="5"/>
        </w:rPr>
        <w:t>93</w:t>
      </w:r>
      <w:r>
        <w:rPr>
          <w:spacing w:val="6"/>
        </w:rPr>
        <w:t>%，但特異度仍維持在大於 95</w:t>
      </w:r>
      <w:r>
        <w:rPr>
          <w:spacing w:val="2"/>
        </w:rPr>
        <w:t>%。此外，世界衛生組織建議的即時分子檢驗技術(</w:t>
      </w:r>
      <w:r>
        <w:rPr/>
        <w:t>Xpert</w:t>
      </w:r>
      <w:r>
        <w:rPr>
          <w:spacing w:val="4"/>
        </w:rPr>
        <w:t> </w:t>
      </w:r>
      <w:r>
        <w:rPr/>
        <w:t>MTB/RMP</w:t>
      </w:r>
      <w:r>
        <w:rPr>
          <w:spacing w:val="6"/>
        </w:rPr>
        <w:t> </w:t>
      </w:r>
      <w:r>
        <w:rPr/>
        <w:t>assay)</w:t>
      </w:r>
      <w:r>
        <w:rPr>
          <w:spacing w:val="2"/>
        </w:rPr>
        <w:t>，可在一般</w:t>
      </w:r>
      <w:r>
        <w:rPr>
          <w:color w:val="FF0000"/>
          <w:spacing w:val="3"/>
        </w:rPr>
        <w:t>二級</w:t>
      </w:r>
      <w:r>
        <w:rPr>
          <w:spacing w:val="-4"/>
        </w:rPr>
        <w:t>實驗室環境使用，約在</w:t>
      </w:r>
      <w:r>
        <w:rPr/>
        <w:t>2-3</w:t>
      </w:r>
      <w:r>
        <w:rPr>
          <w:spacing w:val="-7"/>
        </w:rPr>
        <w:t>小時即得到檢驗結果；在塗片陽性檢體，其敏</w:t>
      </w:r>
      <w:r>
        <w:rPr>
          <w:spacing w:val="3"/>
        </w:rPr>
        <w:t>感度達</w:t>
      </w:r>
      <w:r>
        <w:rPr/>
        <w:t>98%、特異度達99</w:t>
      </w:r>
      <w:r>
        <w:rPr>
          <w:spacing w:val="-1"/>
        </w:rPr>
        <w:t>%；若檢體為塗片陰性，其敏感度下降至</w:t>
      </w:r>
      <w:r>
        <w:rPr/>
        <w:t>68%</w:t>
      </w:r>
      <w:r>
        <w:rPr>
          <w:spacing w:val="2"/>
        </w:rPr>
        <w:t>及但特異度</w:t>
      </w:r>
      <w:r>
        <w:rPr>
          <w:spacing w:val="3"/>
        </w:rPr>
        <w:t>仍維持為</w:t>
      </w:r>
      <w:r>
        <w:rPr/>
        <w:t>99%；</w:t>
      </w:r>
      <w:r>
        <w:rPr>
          <w:color w:val="FF0000"/>
          <w:spacing w:val="3"/>
        </w:rPr>
        <w:t>但是不同流行區域</w:t>
      </w:r>
      <w:r>
        <w:rPr>
          <w:color w:val="FF0000"/>
        </w:rPr>
        <w:t>NAA</w:t>
      </w:r>
      <w:r>
        <w:rPr>
          <w:color w:val="FF0000"/>
          <w:spacing w:val="24"/>
        </w:rPr>
        <w:t> </w:t>
      </w:r>
      <w:r>
        <w:rPr>
          <w:color w:val="FF0000"/>
        </w:rPr>
        <w:t>test</w:t>
      </w:r>
      <w:r>
        <w:rPr>
          <w:color w:val="FF0000"/>
          <w:spacing w:val="2"/>
        </w:rPr>
        <w:t>的使用表現(</w:t>
      </w:r>
      <w:r>
        <w:rPr>
          <w:color w:val="FF0000"/>
          <w:spacing w:val="-3"/>
        </w:rPr>
        <w:t>performance</w:t>
      </w:r>
      <w:r>
        <w:rPr>
          <w:color w:val="FF0000"/>
        </w:rPr>
        <w:t>)會有差異。</w:t>
      </w:r>
      <w:r>
        <w:rPr>
          <w:spacing w:val="-1"/>
        </w:rPr>
        <w:t>一般而言，目前已通過核准上市的商品化</w:t>
      </w:r>
      <w:r>
        <w:rPr/>
        <w:t>NAA</w:t>
      </w:r>
      <w:r>
        <w:rPr>
          <w:spacing w:val="-19"/>
        </w:rPr>
        <w:t> </w:t>
      </w:r>
      <w:r>
        <w:rPr/>
        <w:t>test對於塗片陽性，都有很好的</w:t>
      </w:r>
    </w:p>
    <w:p>
      <w:pPr>
        <w:pStyle w:val="BodyText"/>
        <w:spacing w:line="218" w:lineRule="auto" w:before="13"/>
        <w:ind w:left="926" w:right="1361"/>
        <w:jc w:val="both"/>
      </w:pPr>
      <w:r>
        <w:rPr/>
        <w:t>檢驗效果；但對於塗片陰性的檢體，則其檢驗結果差異性較大。因此，醫師及實驗室人員對塗片陰性的檢體，進行結核分枝桿菌NAA test時，務必充分明白該試驗方式的敏感度、特異度及臨床價值。</w:t>
      </w:r>
    </w:p>
    <w:p>
      <w:pPr>
        <w:spacing w:after="0" w:line="218" w:lineRule="auto"/>
        <w:jc w:val="both"/>
        <w:sectPr>
          <w:pgSz w:w="12250" w:h="17190"/>
          <w:pgMar w:header="0" w:footer="828" w:top="1440" w:bottom="1020" w:left="1200" w:right="0"/>
        </w:sectPr>
      </w:pPr>
    </w:p>
    <w:p>
      <w:pPr>
        <w:pStyle w:val="BodyText"/>
        <w:spacing w:line="218" w:lineRule="auto" w:before="52"/>
        <w:ind w:left="926" w:right="1359" w:firstLine="487"/>
        <w:jc w:val="both"/>
      </w:pPr>
      <w:r>
        <w:rPr/>
        <w:t>NAA test 的優點為：(1)非結核分枝桿菌所佔的比率日益增多，</w:t>
      </w:r>
      <w:r>
        <w:rPr>
          <w:color w:val="FF0000"/>
        </w:rPr>
        <w:t>NAA test 可協助排除非結核分枝桿菌</w:t>
      </w:r>
      <w:r>
        <w:rPr/>
        <w:t>；且 NAA test 比塗片有較高的陽性預測值(於痰塗片呈陽性者&gt;95%)；(2)約 50%至 80%的塗片陰性而培養陽性的檢體，可提早數星期快速偵測到結核分枝桿菌。因此，建議對於任一位臨床懷疑肺結核但尚未被確認，或檢驗結果可能會改變處置的疑似病人，進行 NAA test 應是標準步驟。但若臨床表現或影像變化皆不像肺結核，則並不建議進行常規的 NAA test (參考圖 3-1)。</w:t>
      </w:r>
    </w:p>
    <w:p>
      <w:pPr>
        <w:pStyle w:val="Heading7"/>
        <w:numPr>
          <w:ilvl w:val="0"/>
          <w:numId w:val="16"/>
        </w:numPr>
        <w:tabs>
          <w:tab w:pos="942" w:val="left" w:leader="none"/>
        </w:tabs>
        <w:spacing w:line="422" w:lineRule="exact" w:before="150" w:after="0"/>
        <w:ind w:left="942" w:right="0" w:hanging="265"/>
        <w:jc w:val="both"/>
      </w:pPr>
      <w:r>
        <w:rPr/>
        <w:t>核酸增幅檢驗結核分枝桿菌的判讀</w:t>
      </w:r>
    </w:p>
    <w:p>
      <w:pPr>
        <w:pStyle w:val="BodyText"/>
        <w:spacing w:line="218" w:lineRule="auto" w:before="9"/>
        <w:ind w:left="926" w:right="1359" w:firstLine="487"/>
        <w:jc w:val="both"/>
      </w:pPr>
      <w:r>
        <w:rPr/>
        <w:t>由於分子生物技術的檢測敏感度高，因此，申請此項檢測者，必須依據充分的臨床資料，再配合實驗室細菌學檢查的結果，才能作最後的綜合判斷。一般會收集三個不同採集日期檢體，並分別做塗片及培養。通常會取第一個塗片陽性的檢體進行NAA test；</w:t>
      </w:r>
      <w:r>
        <w:rPr>
          <w:color w:val="FF0000"/>
        </w:rPr>
        <w:t>但也可以塗片陰性的檢體進行NAA test</w:t>
      </w:r>
      <w:r>
        <w:rPr/>
        <w:t>。如果有臨床必要性</w:t>
      </w:r>
      <w:r>
        <w:rPr>
          <w:color w:val="FF0000"/>
        </w:rPr>
        <w:t>(如NAA test為陰性，但又在另一檢體驗出塗片陽性且尚未被診斷為非結核分枝桿菌等)</w:t>
      </w:r>
      <w:r>
        <w:rPr/>
        <w:t>，則可再次進行NAA test確認。如果檢體的塗片及NAA test皆呈陽性，則可推斷為罹患結核病。若塗片呈現陽性，但是NAA test呈陰性，則必須檢查是否因PCR反應中含有核酸複製的抑制物所致。若無抑制物的影響，則可推測病人之痰中存在有非結核分枝桿菌而非結核菌。若塗片呈陰性，但NAA test呈陽性，則可依臨床綜合判斷或考慮再進行另一套檢體的NAA test；如果仍得到陽性結果，則可推論此病人可能得到結核病。最後，如果兩者皆為陰性，則表示痰液中應無結核分枝桿菌</w:t>
      </w:r>
      <w:r>
        <w:rPr>
          <w:color w:val="FF0000"/>
        </w:rPr>
        <w:t>或存在菌量極低</w:t>
      </w:r>
      <w:r>
        <w:rPr/>
        <w:t>。然而，診斷仍需要綜合臨床資料及實驗室培養的結果，才能作最終的判斷而非僅靠NAA test結果。</w:t>
      </w:r>
    </w:p>
    <w:p>
      <w:pPr>
        <w:pStyle w:val="Heading7"/>
        <w:numPr>
          <w:ilvl w:val="0"/>
          <w:numId w:val="16"/>
        </w:numPr>
        <w:tabs>
          <w:tab w:pos="942" w:val="left" w:leader="none"/>
        </w:tabs>
        <w:spacing w:line="415" w:lineRule="exact" w:before="138" w:after="0"/>
        <w:ind w:left="942" w:right="0" w:hanging="265"/>
        <w:jc w:val="both"/>
      </w:pPr>
      <w:r>
        <w:rPr/>
        <w:t>抗藥性分子檢測</w:t>
      </w:r>
    </w:p>
    <w:p>
      <w:pPr>
        <w:pStyle w:val="BodyText"/>
        <w:spacing w:line="216" w:lineRule="auto" w:before="7"/>
        <w:ind w:left="926" w:right="1301" w:firstLine="480"/>
        <w:jc w:val="both"/>
      </w:pPr>
      <w:r>
        <w:rPr>
          <w:color w:val="FF0000"/>
        </w:rPr>
        <w:t>分子檢測方法係利用與抗藥性相關之基因(例如：</w:t>
      </w:r>
      <w:r>
        <w:rPr>
          <w:i/>
          <w:color w:val="FF0000"/>
          <w:sz w:val="25"/>
        </w:rPr>
        <w:t>rpoB</w:t>
      </w:r>
      <w:r>
        <w:rPr>
          <w:color w:val="FF0000"/>
        </w:rPr>
        <w:t>基因與rifampin抗藥性， </w:t>
      </w:r>
      <w:r>
        <w:rPr>
          <w:i/>
          <w:color w:val="FF0000"/>
          <w:w w:val="95"/>
          <w:sz w:val="25"/>
        </w:rPr>
        <w:t>katG</w:t>
      </w:r>
      <w:r>
        <w:rPr>
          <w:color w:val="FF0000"/>
          <w:w w:val="95"/>
        </w:rPr>
        <w:t>及</w:t>
      </w:r>
      <w:r>
        <w:rPr>
          <w:i/>
          <w:color w:val="FF0000"/>
          <w:w w:val="95"/>
          <w:sz w:val="25"/>
        </w:rPr>
        <w:t>inhA</w:t>
      </w:r>
      <w:r>
        <w:rPr>
          <w:color w:val="FF0000"/>
          <w:w w:val="95"/>
        </w:rPr>
        <w:t>等基因與isoniazid</w:t>
      </w:r>
      <w:r>
        <w:rPr>
          <w:color w:val="FF0000"/>
          <w:spacing w:val="-5"/>
          <w:w w:val="95"/>
        </w:rPr>
        <w:t>抗藥性有關)直接定序方法或商用試劑，快速確認抗藥     </w:t>
      </w:r>
      <w:r>
        <w:rPr>
          <w:color w:val="FF0000"/>
          <w:spacing w:val="-11"/>
        </w:rPr>
        <w:t>性，縮短傳統藥物感受性試驗所需之冗長時間。世界衛生組織推薦的線性探針檢測法(line-probe </w:t>
      </w:r>
      <w:r>
        <w:rPr>
          <w:color w:val="FF0000"/>
        </w:rPr>
        <w:t>assay)分析抗藥性基因突變點的GenoType MTBDR</w:t>
      </w:r>
      <w:r>
        <w:rPr>
          <w:color w:val="FF0000"/>
          <w:spacing w:val="2"/>
        </w:rPr>
        <w:t>試劑適用於塗片陽</w:t>
      </w:r>
      <w:r>
        <w:rPr>
          <w:color w:val="FF0000"/>
          <w:spacing w:val="-2"/>
        </w:rPr>
        <w:t>性的臨床痰檢體(陰性會有較高比例無法判定)或培養陽性菌株，快速檢測</w:t>
      </w:r>
      <w:r>
        <w:rPr>
          <w:color w:val="FF0000"/>
        </w:rPr>
        <w:t>isoniazid</w:t>
      </w:r>
      <w:r>
        <w:rPr>
          <w:color w:val="FF0000"/>
          <w:spacing w:val="-11"/>
        </w:rPr>
        <w:t>、</w:t>
      </w:r>
      <w:r>
        <w:rPr>
          <w:color w:val="FF0000"/>
          <w:spacing w:val="-4"/>
        </w:rPr>
        <w:t>rifampicin</w:t>
      </w:r>
      <w:r>
        <w:rPr>
          <w:color w:val="FF0000"/>
          <w:spacing w:val="-30"/>
        </w:rPr>
        <w:t>、</w:t>
      </w:r>
      <w:r>
        <w:rPr>
          <w:color w:val="FF0000"/>
        </w:rPr>
        <w:t>fluoroquinolone</w:t>
      </w:r>
      <w:r>
        <w:rPr>
          <w:color w:val="FF0000"/>
          <w:spacing w:val="-1"/>
        </w:rPr>
        <w:t>及二線針劑(</w:t>
      </w:r>
      <w:r>
        <w:rPr>
          <w:color w:val="FF0000"/>
          <w:spacing w:val="-4"/>
        </w:rPr>
        <w:t>kanamycin</w:t>
      </w:r>
      <w:r>
        <w:rPr>
          <w:color w:val="FF0000"/>
          <w:spacing w:val="-30"/>
        </w:rPr>
        <w:t>、</w:t>
      </w:r>
      <w:r>
        <w:rPr>
          <w:color w:val="FF0000"/>
          <w:spacing w:val="-5"/>
        </w:rPr>
        <w:t>amikacin</w:t>
      </w:r>
      <w:r>
        <w:rPr>
          <w:color w:val="FF0000"/>
          <w:spacing w:val="-30"/>
        </w:rPr>
        <w:t>、</w:t>
      </w:r>
      <w:r>
        <w:rPr>
          <w:color w:val="FF0000"/>
        </w:rPr>
        <w:t>capreomycin)是否抗藥。但是對isoniazid</w:t>
      </w:r>
      <w:r>
        <w:rPr>
          <w:color w:val="FF0000"/>
          <w:spacing w:val="15"/>
        </w:rPr>
        <w:t> (</w:t>
      </w:r>
      <w:r>
        <w:rPr>
          <w:color w:val="FF0000"/>
        </w:rPr>
        <w:t>85%)及fluoroquinolone</w:t>
      </w:r>
      <w:r>
        <w:rPr>
          <w:color w:val="FF0000"/>
          <w:spacing w:val="16"/>
        </w:rPr>
        <w:t> (</w:t>
      </w:r>
      <w:r>
        <w:rPr>
          <w:color w:val="FF0000"/>
        </w:rPr>
        <w:t>86%) 是否抗藥性的敏感度較</w:t>
      </w:r>
      <w:r>
        <w:rPr>
          <w:color w:val="FF0000"/>
          <w:spacing w:val="-12"/>
        </w:rPr>
        <w:t>差；此類試劑費用高，亦需要有適合的硬體設施，人員操作技術要求高，另需注意避</w:t>
      </w:r>
      <w:r>
        <w:rPr>
          <w:color w:val="FF0000"/>
          <w:spacing w:val="18"/>
        </w:rPr>
        <w:t>免因為檢體間汙染造成偽陽性。世界衛生組織亦推薦半自動化、半定量(</w:t>
      </w:r>
      <w:r>
        <w:rPr>
          <w:color w:val="FF0000"/>
        </w:rPr>
        <w:t>semi- quantitative)的分子檢驗，例如Xpert MTB/RMP</w:t>
      </w:r>
      <w:r>
        <w:rPr>
          <w:color w:val="FF0000"/>
          <w:spacing w:val="10"/>
        </w:rPr>
        <w:t> (</w:t>
      </w:r>
      <w:r>
        <w:rPr>
          <w:color w:val="FF0000"/>
        </w:rPr>
        <w:t>Xpert)及Xpert MTB/RMP Ultra (Xpert Ultra)，可快速同時完成結核分枝桿菌鑑定與rifampicin</w:t>
      </w:r>
      <w:r>
        <w:rPr>
          <w:color w:val="FF0000"/>
          <w:spacing w:val="3"/>
        </w:rPr>
        <w:t>抗藥性檢測。</w:t>
      </w:r>
      <w:r>
        <w:rPr>
          <w:color w:val="FF0000"/>
        </w:rPr>
        <w:t>Xpert Ultra的偵測標的除單一(single copy)的</w:t>
      </w:r>
      <w:r>
        <w:rPr>
          <w:i/>
          <w:color w:val="FF0000"/>
          <w:sz w:val="25"/>
        </w:rPr>
        <w:t>rpoB</w:t>
      </w:r>
      <w:r>
        <w:rPr>
          <w:color w:val="FF0000"/>
        </w:rPr>
        <w:t>外，另增加多重(multi-copy)的</w:t>
      </w:r>
      <w:r>
        <w:rPr>
          <w:i/>
          <w:color w:val="FF0000"/>
          <w:sz w:val="25"/>
        </w:rPr>
        <w:t>IS6110 </w:t>
      </w:r>
      <w:r>
        <w:rPr>
          <w:color w:val="FF0000"/>
          <w:spacing w:val="15"/>
        </w:rPr>
        <w:t>及</w:t>
      </w:r>
      <w:r>
        <w:rPr>
          <w:i/>
          <w:color w:val="FF0000"/>
          <w:spacing w:val="4"/>
          <w:sz w:val="25"/>
        </w:rPr>
        <w:t>IS1081</w:t>
      </w:r>
      <w:r>
        <w:rPr>
          <w:color w:val="FF0000"/>
          <w:spacing w:val="12"/>
        </w:rPr>
        <w:t>；偵測極限為每毫升</w:t>
      </w:r>
      <w:r>
        <w:rPr>
          <w:color w:val="FF0000"/>
        </w:rPr>
        <w:t>11.8 colony forming unit</w:t>
      </w:r>
      <w:r>
        <w:rPr>
          <w:color w:val="FF0000"/>
          <w:spacing w:val="18"/>
        </w:rPr>
        <w:t> (</w:t>
      </w:r>
      <w:r>
        <w:rPr>
          <w:color w:val="FF0000"/>
          <w:spacing w:val="2"/>
        </w:rPr>
        <w:t>CFU</w:t>
      </w:r>
      <w:r>
        <w:rPr>
          <w:color w:val="FF0000"/>
          <w:spacing w:val="10"/>
        </w:rPr>
        <w:t>)優於</w:t>
      </w:r>
      <w:r>
        <w:rPr>
          <w:color w:val="FF0000"/>
          <w:spacing w:val="2"/>
        </w:rPr>
        <w:t>Xpert</w:t>
      </w:r>
      <w:r>
        <w:rPr>
          <w:color w:val="FF0000"/>
          <w:spacing w:val="15"/>
        </w:rPr>
        <w:t>的</w:t>
      </w:r>
      <w:r>
        <w:rPr>
          <w:color w:val="FF0000"/>
        </w:rPr>
        <w:t>131 </w:t>
      </w:r>
      <w:r>
        <w:rPr>
          <w:color w:val="FF0000"/>
          <w:spacing w:val="-12"/>
        </w:rPr>
        <w:t>CFU，</w:t>
      </w:r>
      <w:r>
        <w:rPr>
          <w:color w:val="FF0000"/>
        </w:rPr>
        <w:t>且檢測體積增加為50µL是Xpert的2</w:t>
      </w:r>
      <w:r>
        <w:rPr>
          <w:color w:val="FF0000"/>
          <w:spacing w:val="-12"/>
        </w:rPr>
        <w:t>倍。因為</w:t>
      </w:r>
      <w:r>
        <w:rPr>
          <w:color w:val="FF0000"/>
        </w:rPr>
        <w:t>Xpert Ultra增加微量(trace)</w:t>
      </w:r>
      <w:r>
        <w:rPr>
          <w:color w:val="FF0000"/>
          <w:spacing w:val="18"/>
        </w:rPr>
        <w:t> 結核</w:t>
      </w:r>
    </w:p>
    <w:p>
      <w:pPr>
        <w:spacing w:after="0" w:line="216" w:lineRule="auto"/>
        <w:jc w:val="both"/>
        <w:sectPr>
          <w:pgSz w:w="12250" w:h="17190"/>
          <w:pgMar w:header="0" w:footer="828" w:top="1440" w:bottom="1020" w:left="1200" w:right="0"/>
        </w:sectPr>
      </w:pPr>
    </w:p>
    <w:p>
      <w:pPr>
        <w:pStyle w:val="BodyText"/>
        <w:spacing w:line="218" w:lineRule="auto" w:before="52"/>
        <w:ind w:left="926" w:right="1361"/>
        <w:jc w:val="both"/>
      </w:pPr>
      <w:r>
        <w:rPr/>
        <w:pict>
          <v:group style="position:absolute;margin-left:570pt;margin-top:1.064438pt;width:42.4pt;height:128.1pt;mso-position-horizontal-relative:page;mso-position-vertical-relative:paragraph;z-index:251677696" coordorigin="11400,21" coordsize="848,2562">
            <v:shape style="position:absolute;left:11400;top:21;width:848;height:2562" coordorigin="11400,21" coordsize="848,2562" path="m12227,21l11565,21,11501,34,11448,70,11413,122,11400,187,11400,2418,11413,2482,11448,2535,11501,2570,11565,2583,12227,2583,12247,2579,12247,25,12227,21xe" filled="true" fillcolor="#a6a6a6" stroked="false">
              <v:path arrowok="t"/>
              <v:fill type="solid"/>
            </v:shape>
            <v:shape style="position:absolute;left:11400;top:21;width:848;height:2562" type="#_x0000_t202" filled="false" stroked="false">
              <v:textbox inset="0,0,0,0">
                <w:txbxContent>
                  <w:p>
                    <w:pPr>
                      <w:spacing w:line="146" w:lineRule="auto" w:before="127"/>
                      <w:ind w:left="136" w:right="488" w:firstLine="0"/>
                      <w:jc w:val="both"/>
                      <w:rPr>
                        <w:sz w:val="22"/>
                      </w:rPr>
                    </w:pPr>
                    <w:r>
                      <w:rPr>
                        <w:sz w:val="22"/>
                      </w:rPr>
                      <w:t>第三章</w:t>
                    </w:r>
                  </w:p>
                  <w:p>
                    <w:pPr>
                      <w:spacing w:line="141" w:lineRule="auto" w:before="175"/>
                      <w:ind w:left="136" w:right="488" w:firstLine="0"/>
                      <w:jc w:val="both"/>
                      <w:rPr>
                        <w:sz w:val="22"/>
                      </w:rPr>
                    </w:pPr>
                    <w:r>
                      <w:rPr>
                        <w:sz w:val="22"/>
                      </w:rPr>
                      <w:t>結核病的診斷</w:t>
                    </w:r>
                  </w:p>
                </w:txbxContent>
              </v:textbox>
              <w10:wrap type="none"/>
            </v:shape>
            <w10:wrap type="none"/>
          </v:group>
        </w:pict>
      </w:r>
      <w:r>
        <w:rPr>
          <w:color w:val="FF0000"/>
          <w:spacing w:val="-3"/>
        </w:rPr>
        <w:t>分枝桿菌的報告，使得檢測敏感度增加，特異度稍降低</w:t>
      </w:r>
      <w:r>
        <w:rPr>
          <w:spacing w:val="-3"/>
        </w:rPr>
        <w:t>。</w:t>
      </w:r>
      <w:r>
        <w:rPr/>
        <w:t>Xpert</w:t>
      </w:r>
      <w:r>
        <w:rPr>
          <w:spacing w:val="-2"/>
        </w:rPr>
        <w:t>可應用於塗片陰性及</w:t>
      </w:r>
      <w:r>
        <w:rPr>
          <w:spacing w:val="-8"/>
        </w:rPr>
        <w:t>陽性痰液檢測，其對於</w:t>
      </w:r>
      <w:r>
        <w:rPr/>
        <w:t>rifampin抗藥之敏感度為95%而特異度可達</w:t>
      </w:r>
      <w:r>
        <w:rPr>
          <w:spacing w:val="-16"/>
        </w:rPr>
        <w:t>98</w:t>
      </w:r>
      <w:r>
        <w:rPr>
          <w:spacing w:val="-8"/>
        </w:rPr>
        <w:t>%；惟當檢查對</w:t>
      </w:r>
      <w:r>
        <w:rPr/>
        <w:t>象的rifampin抗藥性低於5%</w:t>
      </w:r>
      <w:r>
        <w:rPr>
          <w:spacing w:val="-7"/>
        </w:rPr>
        <w:t>時(如新結核病人)，其陽性預測值會降至</w:t>
      </w:r>
      <w:r>
        <w:rPr/>
        <w:t>70%</w:t>
      </w:r>
      <w:r>
        <w:rPr>
          <w:spacing w:val="-17"/>
        </w:rPr>
        <w:t>以下，故仍</w:t>
      </w:r>
      <w:r>
        <w:rPr/>
        <w:t>需傳統藥物感受性試驗結果或其他分子檢測法再確認是否為rifampin抗藥。</w:t>
      </w:r>
    </w:p>
    <w:p>
      <w:pPr>
        <w:pStyle w:val="BodyText"/>
        <w:spacing w:line="216" w:lineRule="auto"/>
        <w:ind w:left="926" w:right="1303" w:firstLine="483"/>
        <w:jc w:val="both"/>
      </w:pPr>
      <w:r>
        <w:rPr>
          <w:spacing w:val="3"/>
        </w:rPr>
        <w:t>因此，為加速確診多重抗藥性及</w:t>
      </w:r>
      <w:r>
        <w:rPr/>
        <w:t>rifampin</w:t>
      </w:r>
      <w:r>
        <w:rPr>
          <w:spacing w:val="2"/>
        </w:rPr>
        <w:t>抗藥結核病個案，以提早進行相關防</w:t>
      </w:r>
      <w:r>
        <w:rPr>
          <w:spacing w:val="-6"/>
        </w:rPr>
        <w:t>治措施，凡發現的結核病個案為：</w:t>
      </w:r>
      <w:r>
        <w:rPr>
          <w:spacing w:val="-3"/>
        </w:rPr>
        <w:t>(1)</w:t>
      </w:r>
      <w:r>
        <w:rPr>
          <w:spacing w:val="-4"/>
        </w:rPr>
        <w:t>結核病再治個案(包含治療失落、失敗及復發)； </w:t>
      </w:r>
      <w:r>
        <w:rPr/>
        <w:t>(2)多重抗藥性結核個案及rifampin</w:t>
      </w:r>
      <w:r>
        <w:rPr>
          <w:spacing w:val="-3"/>
        </w:rPr>
        <w:t>抗藥結核病的接觸者轉為個案者；</w:t>
      </w:r>
      <w:r>
        <w:rPr>
          <w:spacing w:val="-5"/>
        </w:rPr>
        <w:t>(3)</w:t>
      </w:r>
      <w:r>
        <w:rPr/>
        <w:t>疾病管制署每年因疫情分析而公告的國內高風險地區之新發生個案；(4)曾停留在世界衛生組織公布之結核病或多重抗藥結核病</w:t>
      </w:r>
      <w:hyperlink r:id="rId19">
        <w:r>
          <w:rPr>
            <w:spacing w:val="-2"/>
          </w:rPr>
          <w:t>高負擔國家</w:t>
        </w:r>
      </w:hyperlink>
      <w:r>
        <w:rPr>
          <w:spacing w:val="-3"/>
        </w:rPr>
        <w:t>，一年內累積時間達</w:t>
      </w:r>
      <w:r>
        <w:rPr/>
        <w:t>1</w:t>
      </w:r>
      <w:r>
        <w:rPr>
          <w:spacing w:val="-2"/>
        </w:rPr>
        <w:t>個月以上之個案； </w:t>
      </w:r>
      <w:r>
        <w:rPr>
          <w:color w:val="FF0000"/>
          <w:spacing w:val="-2"/>
        </w:rPr>
        <w:t>(5</w:t>
      </w:r>
      <w:r>
        <w:rPr>
          <w:color w:val="FF0000"/>
          <w:spacing w:val="1"/>
        </w:rPr>
        <w:t>)臨床經分子快速檢測為</w:t>
      </w:r>
      <w:r>
        <w:rPr>
          <w:color w:val="FF0000"/>
        </w:rPr>
        <w:t>rifampin</w:t>
      </w:r>
      <w:r>
        <w:rPr>
          <w:color w:val="FF0000"/>
          <w:spacing w:val="2"/>
        </w:rPr>
        <w:t>抗藥之結核病個案；</w:t>
      </w:r>
      <w:r>
        <w:rPr>
          <w:color w:val="FF0000"/>
        </w:rPr>
        <w:t>(6</w:t>
      </w:r>
      <w:r>
        <w:rPr>
          <w:color w:val="FF0000"/>
          <w:spacing w:val="1"/>
        </w:rPr>
        <w:t>)治療</w:t>
      </w:r>
      <w:r>
        <w:rPr>
          <w:color w:val="FF0000"/>
          <w:spacing w:val="3"/>
        </w:rPr>
        <w:t>2個月之痰培養仍為</w:t>
      </w:r>
      <w:r>
        <w:rPr>
          <w:color w:val="FF0000"/>
          <w:spacing w:val="-8"/>
        </w:rPr>
        <w:t>陽性者；</w:t>
      </w:r>
      <w:r>
        <w:rPr>
          <w:color w:val="FF0000"/>
        </w:rPr>
        <w:t>(7)isoniazid</w:t>
      </w:r>
      <w:r>
        <w:rPr>
          <w:color w:val="FF0000"/>
          <w:spacing w:val="-11"/>
        </w:rPr>
        <w:t>抗藥，擬使用二線藥者，</w:t>
      </w:r>
      <w:r>
        <w:rPr>
          <w:color w:val="FF0000"/>
          <w:spacing w:val="-7"/>
        </w:rPr>
        <w:t>(8)</w:t>
      </w:r>
      <w:r>
        <w:rPr>
          <w:color w:val="FF0000"/>
          <w:spacing w:val="-10"/>
        </w:rPr>
        <w:t>因藥物副作用，擬使用二線藥物者； (9)</w:t>
      </w:r>
      <w:r>
        <w:rPr>
          <w:color w:val="FF0000"/>
          <w:spacing w:val="-12"/>
        </w:rPr>
        <w:t>通報結核病之畜牧場人員；(</w:t>
      </w:r>
      <w:r>
        <w:rPr>
          <w:color w:val="FF0000"/>
          <w:spacing w:val="-4"/>
        </w:rPr>
        <w:t>10)</w:t>
      </w:r>
      <w:r>
        <w:rPr>
          <w:i/>
          <w:color w:val="FF0000"/>
          <w:spacing w:val="-4"/>
          <w:sz w:val="25"/>
        </w:rPr>
        <w:t>M</w:t>
      </w:r>
      <w:r>
        <w:rPr>
          <w:i/>
          <w:color w:val="FF0000"/>
          <w:spacing w:val="-8"/>
          <w:sz w:val="25"/>
        </w:rPr>
        <w:t>. </w:t>
      </w:r>
      <w:r>
        <w:rPr>
          <w:i/>
          <w:color w:val="FF0000"/>
          <w:sz w:val="25"/>
        </w:rPr>
        <w:t>bovis</w:t>
      </w:r>
      <w:r>
        <w:rPr>
          <w:color w:val="FF0000"/>
          <w:spacing w:val="-5"/>
        </w:rPr>
        <w:t>肺結核個案之接觸者轉為個案者；或</w:t>
      </w:r>
      <w:r>
        <w:rPr>
          <w:color w:val="FF0000"/>
        </w:rPr>
        <w:t>(11) 潛伏結核感染治療(LTBI)個案結核病發病者</w:t>
      </w:r>
      <w:r>
        <w:rPr/>
        <w:t>，應進行快速分子檢測。</w:t>
      </w:r>
    </w:p>
    <w:p>
      <w:pPr>
        <w:pStyle w:val="Heading7"/>
        <w:numPr>
          <w:ilvl w:val="0"/>
          <w:numId w:val="16"/>
        </w:numPr>
        <w:tabs>
          <w:tab w:pos="942" w:val="left" w:leader="none"/>
        </w:tabs>
        <w:spacing w:line="422" w:lineRule="exact" w:before="201" w:after="0"/>
        <w:ind w:left="942" w:right="0" w:hanging="264"/>
        <w:jc w:val="both"/>
      </w:pPr>
      <w:r>
        <w:rPr/>
        <w:t>核酸增幅檢驗結核菌抗藥性的判讀</w:t>
      </w:r>
    </w:p>
    <w:p>
      <w:pPr>
        <w:pStyle w:val="BodyText"/>
        <w:spacing w:line="216" w:lineRule="auto" w:before="12"/>
        <w:ind w:left="926" w:right="1332" w:firstLine="480"/>
        <w:jc w:val="both"/>
      </w:pPr>
      <w:r>
        <w:rPr/>
        <w:t>由於結核分枝桿菌的分子檢驗與傳統的藥物感受性試驗結果仍未能100%</w:t>
      </w:r>
      <w:r>
        <w:rPr>
          <w:spacing w:val="-6"/>
        </w:rPr>
        <w:t>相同， </w:t>
      </w:r>
      <w:r>
        <w:rPr>
          <w:spacing w:val="-12"/>
        </w:rPr>
        <w:t>因此，臨床醫師在判讀時，仍要參考過去的治療史及是否有抗藥性結核病的危險因子來綜合判斷。由於藉由</w:t>
      </w:r>
      <w:r>
        <w:rPr>
          <w:i/>
          <w:spacing w:val="-12"/>
          <w:sz w:val="25"/>
        </w:rPr>
        <w:t>rpoB</w:t>
      </w:r>
      <w:r>
        <w:rPr>
          <w:spacing w:val="-12"/>
        </w:rPr>
        <w:t>基因突變快速診斷rifampin抗藥的敏感度為95%，並考</w:t>
      </w:r>
      <w:r>
        <w:rPr>
          <w:spacing w:val="-16"/>
        </w:rPr>
        <w:t>量到臺灣每位新診斷結核病人都會進行結核藥物感受性試驗，且新病人中</w:t>
      </w:r>
      <w:r>
        <w:rPr/>
        <w:t>rifampin抗藥(2%)及多重抗藥性結核個案</w:t>
      </w:r>
      <w:r>
        <w:rPr>
          <w:color w:val="FF0000"/>
          <w:spacing w:val="-3"/>
        </w:rPr>
        <w:t>機率低(&lt;</w:t>
      </w:r>
      <w:r>
        <w:rPr>
          <w:color w:val="FF0000"/>
          <w:spacing w:val="-7"/>
        </w:rPr>
        <w:t>1%)</w:t>
      </w:r>
      <w:r>
        <w:rPr>
          <w:spacing w:val="-10"/>
        </w:rPr>
        <w:t>，因此，除非情況特殊，否則病人抗藥性的判定建議如下：</w:t>
      </w:r>
    </w:p>
    <w:p>
      <w:pPr>
        <w:pStyle w:val="ListParagraph"/>
        <w:numPr>
          <w:ilvl w:val="1"/>
          <w:numId w:val="16"/>
        </w:numPr>
        <w:tabs>
          <w:tab w:pos="1244" w:val="left" w:leader="none"/>
        </w:tabs>
        <w:spacing w:line="223" w:lineRule="auto" w:before="0" w:after="0"/>
        <w:ind w:left="1243" w:right="1343" w:hanging="312"/>
        <w:jc w:val="both"/>
        <w:rPr>
          <w:sz w:val="24"/>
        </w:rPr>
      </w:pPr>
      <w:r>
        <w:rPr>
          <w:spacing w:val="2"/>
          <w:sz w:val="24"/>
        </w:rPr>
        <w:t>當分子檢驗呈 </w:t>
      </w:r>
      <w:r>
        <w:rPr>
          <w:sz w:val="24"/>
        </w:rPr>
        <w:t>rifampin</w:t>
      </w:r>
      <w:r>
        <w:rPr>
          <w:spacing w:val="1"/>
          <w:sz w:val="24"/>
        </w:rPr>
        <w:t> 敏感時，即視同 </w:t>
      </w:r>
      <w:r>
        <w:rPr>
          <w:sz w:val="24"/>
        </w:rPr>
        <w:t>rifampin 可能有效，並等待傳統藥物的</w:t>
      </w:r>
      <w:r>
        <w:rPr>
          <w:spacing w:val="19"/>
          <w:sz w:val="24"/>
        </w:rPr>
        <w:t>感受性試驗結果；</w:t>
      </w:r>
      <w:r>
        <w:rPr>
          <w:color w:val="FF0000"/>
          <w:spacing w:val="14"/>
          <w:sz w:val="24"/>
        </w:rPr>
        <w:t>但若傳統培養 </w:t>
      </w:r>
      <w:r>
        <w:rPr>
          <w:color w:val="FF0000"/>
          <w:sz w:val="24"/>
        </w:rPr>
        <w:t>rifampin</w:t>
      </w:r>
      <w:r>
        <w:rPr>
          <w:color w:val="FF0000"/>
          <w:spacing w:val="17"/>
          <w:sz w:val="24"/>
        </w:rPr>
        <w:t> 抗藥，建議依傳統培養結果視為</w:t>
      </w:r>
      <w:r>
        <w:rPr>
          <w:color w:val="FF0000"/>
          <w:sz w:val="24"/>
        </w:rPr>
        <w:t>rifampin 抗藥個案。</w:t>
      </w:r>
    </w:p>
    <w:p>
      <w:pPr>
        <w:pStyle w:val="ListParagraph"/>
        <w:numPr>
          <w:ilvl w:val="1"/>
          <w:numId w:val="16"/>
        </w:numPr>
        <w:tabs>
          <w:tab w:pos="1244" w:val="left" w:leader="none"/>
        </w:tabs>
        <w:spacing w:line="417" w:lineRule="exact" w:before="0" w:after="0"/>
        <w:ind w:left="1243" w:right="0" w:hanging="313"/>
        <w:jc w:val="both"/>
        <w:rPr>
          <w:sz w:val="24"/>
        </w:rPr>
      </w:pPr>
      <w:r>
        <w:rPr>
          <w:spacing w:val="-1"/>
          <w:sz w:val="24"/>
        </w:rPr>
        <w:t>當分子檢驗呈 </w:t>
      </w:r>
      <w:r>
        <w:rPr>
          <w:sz w:val="24"/>
        </w:rPr>
        <w:t>rifampin 抗藥時，</w:t>
      </w:r>
    </w:p>
    <w:p>
      <w:pPr>
        <w:pStyle w:val="ListParagraph"/>
        <w:numPr>
          <w:ilvl w:val="1"/>
          <w:numId w:val="17"/>
        </w:numPr>
        <w:tabs>
          <w:tab w:pos="1464" w:val="left" w:leader="none"/>
        </w:tabs>
        <w:spacing w:line="218" w:lineRule="auto" w:before="28" w:after="0"/>
        <w:ind w:left="1463" w:right="1340" w:hanging="512"/>
        <w:jc w:val="both"/>
        <w:rPr>
          <w:sz w:val="24"/>
        </w:rPr>
      </w:pPr>
      <w:r>
        <w:rPr>
          <w:spacing w:val="17"/>
          <w:sz w:val="24"/>
        </w:rPr>
        <w:t>若病人屬於多重抗藥性或 </w:t>
      </w:r>
      <w:r>
        <w:rPr>
          <w:sz w:val="24"/>
        </w:rPr>
        <w:t>rifampin</w:t>
      </w:r>
      <w:r>
        <w:rPr>
          <w:spacing w:val="11"/>
          <w:sz w:val="24"/>
        </w:rPr>
        <w:t> 抗藥性高危險群時， 應即可先診斷為</w:t>
      </w:r>
      <w:r>
        <w:rPr>
          <w:sz w:val="24"/>
        </w:rPr>
        <w:t>rifampin 抗藥；但建議應使用其他分子方法，</w:t>
      </w:r>
      <w:r>
        <w:rPr>
          <w:color w:val="FF0000"/>
          <w:sz w:val="24"/>
        </w:rPr>
        <w:t>如：疾病管制署參考實驗室執行</w:t>
      </w:r>
      <w:r>
        <w:rPr>
          <w:color w:val="FF0000"/>
          <w:spacing w:val="-4"/>
          <w:sz w:val="24"/>
        </w:rPr>
        <w:t>抗藥基因序列分析等來確認抗藥性基因位點(判讀可參照世界衛生組織的建議)</w:t>
      </w:r>
      <w:r>
        <w:rPr>
          <w:sz w:val="24"/>
        </w:rPr>
        <w:t>， </w:t>
      </w:r>
      <w:r>
        <w:rPr>
          <w:spacing w:val="2"/>
          <w:sz w:val="24"/>
        </w:rPr>
        <w:t>判定 </w:t>
      </w:r>
      <w:r>
        <w:rPr>
          <w:sz w:val="24"/>
        </w:rPr>
        <w:t>isoniazid</w:t>
      </w:r>
      <w:r>
        <w:rPr>
          <w:spacing w:val="4"/>
          <w:sz w:val="24"/>
        </w:rPr>
        <w:t> 及 </w:t>
      </w:r>
      <w:r>
        <w:rPr>
          <w:sz w:val="24"/>
        </w:rPr>
        <w:t>rifampin 是否抗藥；並由疾病管制署參考實驗室進行菌株pyrazinamide</w:t>
      </w:r>
      <w:r>
        <w:rPr>
          <w:spacing w:val="15"/>
          <w:sz w:val="24"/>
        </w:rPr>
        <w:t>、針劑注射藥物(</w:t>
      </w:r>
      <w:r>
        <w:rPr>
          <w:sz w:val="24"/>
        </w:rPr>
        <w:t>amikacin</w:t>
      </w:r>
      <w:r>
        <w:rPr>
          <w:spacing w:val="19"/>
          <w:sz w:val="24"/>
        </w:rPr>
        <w:t>、</w:t>
      </w:r>
      <w:r>
        <w:rPr>
          <w:sz w:val="24"/>
        </w:rPr>
        <w:t>kanamycin</w:t>
      </w:r>
      <w:r>
        <w:rPr>
          <w:spacing w:val="19"/>
          <w:sz w:val="24"/>
        </w:rPr>
        <w:t> 及 </w:t>
      </w:r>
      <w:r>
        <w:rPr>
          <w:sz w:val="24"/>
        </w:rPr>
        <w:t>capreomycin)及fluoroquinolone</w:t>
      </w:r>
      <w:r>
        <w:rPr>
          <w:spacing w:val="-1"/>
          <w:sz w:val="24"/>
        </w:rPr>
        <w:t> 類藥物的分子檢測。</w:t>
      </w:r>
    </w:p>
    <w:p>
      <w:pPr>
        <w:pStyle w:val="ListParagraph"/>
        <w:numPr>
          <w:ilvl w:val="1"/>
          <w:numId w:val="17"/>
        </w:numPr>
        <w:tabs>
          <w:tab w:pos="1464" w:val="left" w:leader="none"/>
        </w:tabs>
        <w:spacing w:line="218" w:lineRule="auto" w:before="44" w:after="0"/>
        <w:ind w:left="1464" w:right="1301" w:hanging="512"/>
        <w:jc w:val="both"/>
        <w:rPr>
          <w:sz w:val="24"/>
        </w:rPr>
      </w:pPr>
      <w:r>
        <w:rPr>
          <w:spacing w:val="-1"/>
          <w:sz w:val="24"/>
        </w:rPr>
        <w:t>若病人屬多重抗藥性或 </w:t>
      </w:r>
      <w:r>
        <w:rPr>
          <w:sz w:val="24"/>
        </w:rPr>
        <w:t>rifampin</w:t>
      </w:r>
      <w:r>
        <w:rPr>
          <w:spacing w:val="-6"/>
          <w:sz w:val="24"/>
        </w:rPr>
        <w:t> 抗藥性低危險群時，宜使用分子檢驗再次確認</w:t>
      </w:r>
      <w:r>
        <w:rPr>
          <w:spacing w:val="-5"/>
          <w:sz w:val="24"/>
        </w:rPr>
        <w:t>是否為 </w:t>
      </w:r>
      <w:r>
        <w:rPr>
          <w:sz w:val="24"/>
        </w:rPr>
        <w:t>rifampin</w:t>
      </w:r>
      <w:r>
        <w:rPr>
          <w:spacing w:val="-6"/>
          <w:sz w:val="24"/>
        </w:rPr>
        <w:t> 抗藥。若第二次檢驗 </w:t>
      </w:r>
      <w:r>
        <w:rPr>
          <w:sz w:val="24"/>
        </w:rPr>
        <w:t>rifampin</w:t>
      </w:r>
      <w:r>
        <w:rPr>
          <w:spacing w:val="-8"/>
          <w:sz w:val="24"/>
        </w:rPr>
        <w:t> 仍為抗藥性，則可診斷為抗藥； </w:t>
      </w:r>
      <w:r>
        <w:rPr>
          <w:spacing w:val="2"/>
          <w:sz w:val="24"/>
        </w:rPr>
        <w:t>但若第二次檢驗結果 </w:t>
      </w:r>
      <w:r>
        <w:rPr>
          <w:sz w:val="24"/>
        </w:rPr>
        <w:t>rifampin</w:t>
      </w:r>
      <w:r>
        <w:rPr>
          <w:spacing w:val="2"/>
          <w:sz w:val="24"/>
        </w:rPr>
        <w:t> 為敏感，則先視為 </w:t>
      </w:r>
      <w:r>
        <w:rPr>
          <w:sz w:val="24"/>
        </w:rPr>
        <w:t>rifampin 敏感，並將菌株送至疾病管制署參考實驗室進行傳統藥物感受性試驗</w:t>
      </w:r>
      <w:r>
        <w:rPr>
          <w:color w:val="FF0000"/>
          <w:spacing w:val="-4"/>
          <w:sz w:val="24"/>
        </w:rPr>
        <w:t>(包含：液態最低抑菌濃度測試法及固態比例法)</w:t>
      </w:r>
      <w:r>
        <w:rPr>
          <w:spacing w:val="-4"/>
          <w:sz w:val="24"/>
        </w:rPr>
        <w:t>再確認；等待結果出來後，再進行最後綜合判斷。</w:t>
      </w:r>
    </w:p>
    <w:p>
      <w:pPr>
        <w:spacing w:after="0" w:line="218" w:lineRule="auto"/>
        <w:jc w:val="both"/>
        <w:rPr>
          <w:sz w:val="24"/>
        </w:rPr>
        <w:sectPr>
          <w:pgSz w:w="12250" w:h="17190"/>
          <w:pgMar w:header="0" w:footer="828" w:top="1440" w:bottom="1020" w:left="1200" w:right="0"/>
        </w:sectPr>
      </w:pPr>
    </w:p>
    <w:p>
      <w:pPr>
        <w:pStyle w:val="ListParagraph"/>
        <w:numPr>
          <w:ilvl w:val="1"/>
          <w:numId w:val="17"/>
        </w:numPr>
        <w:tabs>
          <w:tab w:pos="1464" w:val="left" w:leader="none"/>
        </w:tabs>
        <w:spacing w:line="216" w:lineRule="auto" w:before="55" w:after="0"/>
        <w:ind w:left="1463" w:right="1303" w:hanging="512"/>
        <w:jc w:val="both"/>
        <w:rPr>
          <w:sz w:val="24"/>
        </w:rPr>
      </w:pPr>
      <w:r>
        <w:rPr>
          <w:spacing w:val="6"/>
          <w:sz w:val="24"/>
        </w:rPr>
        <w:t>若分子檢驗檢出 </w:t>
      </w:r>
      <w:r>
        <w:rPr>
          <w:sz w:val="24"/>
        </w:rPr>
        <w:t>rifampin</w:t>
      </w:r>
      <w:r>
        <w:rPr>
          <w:spacing w:val="3"/>
          <w:sz w:val="24"/>
        </w:rPr>
        <w:t> 抗藥時，但傳統藥物感受性試驗呈現敏感。</w:t>
      </w:r>
      <w:r>
        <w:rPr>
          <w:color w:val="FF0000"/>
          <w:spacing w:val="3"/>
          <w:sz w:val="24"/>
        </w:rPr>
        <w:t>例如： </w:t>
      </w:r>
      <w:r>
        <w:rPr>
          <w:color w:val="FF0000"/>
          <w:spacing w:val="2"/>
          <w:sz w:val="24"/>
        </w:rPr>
        <w:t>菌株於 </w:t>
      </w:r>
      <w:r>
        <w:rPr>
          <w:i/>
          <w:color w:val="FF0000"/>
          <w:sz w:val="25"/>
        </w:rPr>
        <w:t>rpoB </w:t>
      </w:r>
      <w:r>
        <w:rPr>
          <w:color w:val="FF0000"/>
          <w:spacing w:val="-2"/>
          <w:sz w:val="24"/>
        </w:rPr>
        <w:t>基因發生爭議性突變，或因為 </w:t>
      </w:r>
      <w:r>
        <w:rPr>
          <w:color w:val="FF0000"/>
          <w:sz w:val="24"/>
        </w:rPr>
        <w:t>silent</w:t>
      </w:r>
      <w:r>
        <w:rPr>
          <w:color w:val="FF0000"/>
          <w:spacing w:val="-5"/>
          <w:sz w:val="24"/>
        </w:rPr>
        <w:t> 突變，或是 </w:t>
      </w:r>
      <w:r>
        <w:rPr>
          <w:color w:val="FF0000"/>
          <w:sz w:val="24"/>
        </w:rPr>
        <w:t>MGIT</w:t>
      </w:r>
      <w:r>
        <w:rPr>
          <w:color w:val="FF0000"/>
          <w:spacing w:val="2"/>
          <w:sz w:val="24"/>
        </w:rPr>
        <w:t> 液態藥敏</w:t>
      </w:r>
      <w:r>
        <w:rPr>
          <w:color w:val="FF0000"/>
          <w:spacing w:val="4"/>
          <w:sz w:val="24"/>
        </w:rPr>
        <w:t>有 </w:t>
      </w:r>
      <w:r>
        <w:rPr>
          <w:color w:val="FF0000"/>
          <w:sz w:val="24"/>
        </w:rPr>
        <w:t>rifampin</w:t>
      </w:r>
      <w:r>
        <w:rPr>
          <w:color w:val="FF0000"/>
          <w:spacing w:val="3"/>
          <w:sz w:val="24"/>
        </w:rPr>
        <w:t> 偽陰性，導致與傳統藥敏結果不一致。</w:t>
      </w:r>
      <w:r>
        <w:rPr>
          <w:spacing w:val="3"/>
          <w:sz w:val="24"/>
        </w:rPr>
        <w:t>因此，應將菌株送至疾病</w:t>
      </w:r>
      <w:r>
        <w:rPr>
          <w:spacing w:val="-10"/>
          <w:sz w:val="24"/>
        </w:rPr>
        <w:t>管制署的參考實驗室，進行傳統藥物感受性試驗(包含：液態最低抑菌濃度測試</w:t>
      </w:r>
      <w:r>
        <w:rPr>
          <w:spacing w:val="2"/>
          <w:sz w:val="24"/>
        </w:rPr>
        <w:t>法及固態比例法)再確認。</w:t>
      </w:r>
      <w:r>
        <w:rPr>
          <w:color w:val="FF0000"/>
          <w:spacing w:val="-1"/>
          <w:sz w:val="24"/>
        </w:rPr>
        <w:t>此類病人之診斷相當困難，因此建議：個案若在</w:t>
      </w:r>
      <w:r>
        <w:rPr>
          <w:color w:val="FF0000"/>
          <w:spacing w:val="3"/>
          <w:sz w:val="24"/>
        </w:rPr>
        <w:t>｢</w:t>
      </w:r>
      <w:r>
        <w:rPr>
          <w:color w:val="FF0000"/>
          <w:sz w:val="24"/>
        </w:rPr>
        <w:t>抗</w:t>
      </w:r>
      <w:r>
        <w:rPr>
          <w:color w:val="FF0000"/>
          <w:spacing w:val="-4"/>
          <w:sz w:val="24"/>
        </w:rPr>
        <w:t>藥性結核病醫療照護體系」就醫，可經由體系內討論，由團隊決定個案是否使</w:t>
      </w:r>
      <w:r>
        <w:rPr>
          <w:color w:val="FF0000"/>
          <w:spacing w:val="5"/>
          <w:sz w:val="24"/>
        </w:rPr>
        <w:t>用 </w:t>
      </w:r>
      <w:r>
        <w:rPr>
          <w:color w:val="FF0000"/>
          <w:sz w:val="24"/>
        </w:rPr>
        <w:t>rifampin</w:t>
      </w:r>
      <w:r>
        <w:rPr>
          <w:color w:val="FF0000"/>
          <w:spacing w:val="-7"/>
          <w:sz w:val="24"/>
        </w:rPr>
        <w:t> 抗藥處方治療；倘個案並非在</w:t>
      </w:r>
      <w:r>
        <w:rPr>
          <w:color w:val="FF0000"/>
          <w:sz w:val="24"/>
        </w:rPr>
        <w:t>｢</w:t>
      </w:r>
      <w:r>
        <w:rPr>
          <w:color w:val="FF0000"/>
          <w:spacing w:val="-8"/>
          <w:sz w:val="24"/>
        </w:rPr>
        <w:t>抗藥性結核病醫療照護體系」就醫， </w:t>
      </w:r>
      <w:r>
        <w:rPr>
          <w:color w:val="FF0000"/>
          <w:spacing w:val="7"/>
          <w:sz w:val="24"/>
        </w:rPr>
        <w:t>醫師若要採用 </w:t>
      </w:r>
      <w:r>
        <w:rPr>
          <w:color w:val="FF0000"/>
          <w:sz w:val="24"/>
        </w:rPr>
        <w:t>rifampin</w:t>
      </w:r>
      <w:r>
        <w:rPr>
          <w:color w:val="FF0000"/>
          <w:spacing w:val="3"/>
          <w:sz w:val="24"/>
        </w:rPr>
        <w:t> 抗藥處方，首次處方需提送縣市診療諮詢小組審查； </w:t>
      </w:r>
      <w:r>
        <w:rPr>
          <w:color w:val="FF0000"/>
          <w:spacing w:val="6"/>
          <w:sz w:val="24"/>
        </w:rPr>
        <w:t>醫師若要採用非 </w:t>
      </w:r>
      <w:r>
        <w:rPr>
          <w:color w:val="FF0000"/>
          <w:sz w:val="24"/>
        </w:rPr>
        <w:t>rifampin</w:t>
      </w:r>
      <w:r>
        <w:rPr>
          <w:color w:val="FF0000"/>
          <w:spacing w:val="3"/>
          <w:sz w:val="24"/>
        </w:rPr>
        <w:t> 抗藥處方，則必須提送疾病管制署「抗藥性結核病</w:t>
      </w:r>
      <w:r>
        <w:rPr>
          <w:color w:val="FF0000"/>
          <w:spacing w:val="2"/>
          <w:sz w:val="24"/>
        </w:rPr>
        <w:t>醫療照護體系」檢討暨困難治療個案討論會討論。</w:t>
      </w:r>
    </w:p>
    <w:p>
      <w:pPr>
        <w:pStyle w:val="ListParagraph"/>
        <w:numPr>
          <w:ilvl w:val="2"/>
          <w:numId w:val="13"/>
        </w:numPr>
        <w:tabs>
          <w:tab w:pos="932" w:val="left" w:leader="none"/>
        </w:tabs>
        <w:spacing w:line="428" w:lineRule="exact" w:before="120" w:after="0"/>
        <w:ind w:left="931" w:right="0" w:hanging="661"/>
        <w:jc w:val="both"/>
        <w:rPr>
          <w:b/>
          <w:color w:val="FF0000"/>
          <w:sz w:val="24"/>
        </w:rPr>
      </w:pPr>
      <w:r>
        <w:rPr>
          <w:b/>
          <w:color w:val="FF0000"/>
          <w:sz w:val="24"/>
        </w:rPr>
        <w:t>結核菌素皮膚測驗及丙型干擾素釋放試驗</w:t>
      </w:r>
    </w:p>
    <w:p>
      <w:pPr>
        <w:pStyle w:val="BodyText"/>
        <w:spacing w:line="218" w:lineRule="auto" w:before="15"/>
        <w:ind w:left="926" w:right="1339" w:firstLine="487"/>
        <w:jc w:val="both"/>
      </w:pPr>
      <w:r>
        <w:rPr>
          <w:color w:val="FF0000"/>
          <w:spacing w:val="6"/>
        </w:rPr>
        <w:t>由於結核菌素皮膚測驗及丙型干擾素釋放試驗的敏感度與特異度皆非</w:t>
      </w:r>
      <w:r>
        <w:rPr>
          <w:color w:val="FF0000"/>
        </w:rPr>
        <w:t>100%， </w:t>
      </w:r>
      <w:r>
        <w:rPr>
          <w:color w:val="FF0000"/>
          <w:spacing w:val="1"/>
        </w:rPr>
        <w:t>且無法用來區分潛伏結核感染或活動性肺結核；再加上臺灣早年結核病盛行率高， </w:t>
      </w:r>
      <w:r>
        <w:rPr>
          <w:color w:val="FF0000"/>
        </w:rPr>
        <w:t>許多人曾被結核分枝桿菌感染但並未發病；因此目前並未將此兩項檢驗列為結核病</w:t>
      </w:r>
      <w:r>
        <w:rPr>
          <w:color w:val="FF0000"/>
          <w:spacing w:val="-11"/>
        </w:rPr>
        <w:t>的診斷依據。(關於結核菌素皮膚測驗或丙型干擾素釋放試驗，請詳見本指引第十章)</w:t>
      </w:r>
    </w:p>
    <w:p>
      <w:pPr>
        <w:pStyle w:val="Heading7"/>
        <w:numPr>
          <w:ilvl w:val="2"/>
          <w:numId w:val="13"/>
        </w:numPr>
        <w:tabs>
          <w:tab w:pos="932" w:val="left" w:leader="none"/>
        </w:tabs>
        <w:spacing w:line="427" w:lineRule="exact" w:before="106" w:after="0"/>
        <w:ind w:left="931" w:right="0" w:hanging="661"/>
        <w:jc w:val="both"/>
      </w:pPr>
      <w:r>
        <w:rPr/>
        <w:t>血清學檢驗</w:t>
      </w:r>
    </w:p>
    <w:p>
      <w:pPr>
        <w:spacing w:line="427" w:lineRule="exact" w:before="0"/>
        <w:ind w:left="1406" w:right="0" w:firstLine="0"/>
        <w:jc w:val="left"/>
        <w:rPr>
          <w:sz w:val="22"/>
        </w:rPr>
      </w:pPr>
      <w:r>
        <w:rPr>
          <w:sz w:val="24"/>
        </w:rPr>
        <w:t>依世界衛生組織的評估報告</w:t>
      </w:r>
      <w:r>
        <w:rPr>
          <w:sz w:val="22"/>
        </w:rPr>
        <w:t>，此項檢測目前尚不建議用於常規之結核病診斷。</w:t>
      </w:r>
    </w:p>
    <w:p>
      <w:pPr>
        <w:pStyle w:val="Heading6"/>
        <w:numPr>
          <w:ilvl w:val="1"/>
          <w:numId w:val="13"/>
        </w:numPr>
        <w:tabs>
          <w:tab w:pos="637" w:val="left" w:leader="none"/>
        </w:tabs>
        <w:spacing w:line="240" w:lineRule="auto" w:before="234" w:after="0"/>
        <w:ind w:left="636" w:right="0" w:hanging="477"/>
        <w:jc w:val="both"/>
      </w:pPr>
      <w:bookmarkStart w:name="3.4 肺結核的診斷重點及流程" w:id="41"/>
      <w:bookmarkEnd w:id="41"/>
      <w:r>
        <w:rPr>
          <w:b w:val="0"/>
        </w:rPr>
      </w:r>
      <w:bookmarkStart w:name="3.4 肺結核的診斷重點及流程" w:id="42"/>
      <w:bookmarkEnd w:id="42"/>
      <w:r>
        <w:rPr/>
        <w:t>肺結核的診斷重點及流程</w:t>
      </w:r>
    </w:p>
    <w:p>
      <w:pPr>
        <w:pStyle w:val="Heading7"/>
        <w:numPr>
          <w:ilvl w:val="2"/>
          <w:numId w:val="13"/>
        </w:numPr>
        <w:tabs>
          <w:tab w:pos="932" w:val="left" w:leader="none"/>
        </w:tabs>
        <w:spacing w:line="427" w:lineRule="exact" w:before="0" w:after="0"/>
        <w:ind w:left="931" w:right="0" w:hanging="661"/>
        <w:jc w:val="both"/>
      </w:pPr>
      <w:r>
        <w:rPr/>
        <w:t>診斷重點</w:t>
      </w:r>
    </w:p>
    <w:p>
      <w:pPr>
        <w:pStyle w:val="BodyText"/>
        <w:spacing w:line="218" w:lineRule="auto" w:before="15"/>
        <w:ind w:left="926" w:right="1361" w:firstLine="480"/>
        <w:jc w:val="both"/>
      </w:pPr>
      <w:r>
        <w:rPr>
          <w:spacing w:val="-11"/>
        </w:rPr>
        <w:t>要診斷肺結核病，必須綜合臨床表現，加上放射線學變化，再以實驗室檢驗加以</w:t>
      </w:r>
      <w:r>
        <w:rPr/>
        <w:t>證實；必要時，甚至必須佐以病理的變化及組織的培養才算完整。因此，必須特別</w:t>
      </w:r>
      <w:r>
        <w:rPr>
          <w:spacing w:val="3"/>
        </w:rPr>
        <w:t>強調：</w:t>
      </w:r>
    </w:p>
    <w:p>
      <w:pPr>
        <w:pStyle w:val="ListParagraph"/>
        <w:numPr>
          <w:ilvl w:val="0"/>
          <w:numId w:val="18"/>
        </w:numPr>
        <w:tabs>
          <w:tab w:pos="929" w:val="left" w:leader="none"/>
        </w:tabs>
        <w:spacing w:line="388" w:lineRule="exact" w:before="0" w:after="0"/>
        <w:ind w:left="928" w:right="0" w:hanging="241"/>
        <w:jc w:val="both"/>
        <w:rPr>
          <w:sz w:val="24"/>
        </w:rPr>
      </w:pPr>
      <w:r>
        <w:rPr>
          <w:sz w:val="24"/>
        </w:rPr>
        <w:t>對任何疑似肺結核病人，臨床醫師必須儘可能取得細菌學檢查陽性的證據。</w:t>
      </w:r>
    </w:p>
    <w:p>
      <w:pPr>
        <w:pStyle w:val="ListParagraph"/>
        <w:numPr>
          <w:ilvl w:val="0"/>
          <w:numId w:val="18"/>
        </w:numPr>
        <w:tabs>
          <w:tab w:pos="929" w:val="left" w:leader="none"/>
        </w:tabs>
        <w:spacing w:line="218" w:lineRule="auto" w:before="8" w:after="0"/>
        <w:ind w:left="928" w:right="1361" w:hanging="240"/>
        <w:jc w:val="both"/>
        <w:rPr>
          <w:sz w:val="24"/>
        </w:rPr>
      </w:pPr>
      <w:r>
        <w:rPr>
          <w:spacing w:val="-7"/>
          <w:sz w:val="24"/>
        </w:rPr>
        <w:t>對於細菌學檢查陰性的疑似肺結核病人，並不能完全排除肺結核的可能性。如近幾年</w:t>
      </w:r>
      <w:r>
        <w:rPr>
          <w:spacing w:val="2"/>
          <w:sz w:val="24"/>
        </w:rPr>
        <w:t>臺灣確診的肺結核病人中，痰塗片陽性者僅約為 </w:t>
      </w:r>
      <w:r>
        <w:rPr>
          <w:sz w:val="24"/>
        </w:rPr>
        <w:t>40</w:t>
      </w:r>
      <w:r>
        <w:rPr>
          <w:spacing w:val="-1"/>
          <w:sz w:val="24"/>
        </w:rPr>
        <w:t>%，而痰培養檢查陽性者也僅約</w:t>
      </w:r>
      <w:r>
        <w:rPr>
          <w:spacing w:val="2"/>
          <w:sz w:val="24"/>
        </w:rPr>
        <w:t>為 </w:t>
      </w:r>
      <w:r>
        <w:rPr>
          <w:sz w:val="24"/>
        </w:rPr>
        <w:t>80%。因此，若病人有典型的肺結核臨床表現及胸部 X</w:t>
      </w:r>
      <w:r>
        <w:rPr>
          <w:spacing w:val="-2"/>
          <w:sz w:val="24"/>
        </w:rPr>
        <w:t> 光變化，經完整的檢查與</w:t>
      </w:r>
      <w:r>
        <w:rPr>
          <w:sz w:val="24"/>
        </w:rPr>
        <w:t>評估後，再投予抗結核藥物治療；即使是痰塗片、NAA</w:t>
      </w:r>
      <w:r>
        <w:rPr>
          <w:spacing w:val="2"/>
          <w:sz w:val="24"/>
        </w:rPr>
        <w:t> </w:t>
      </w:r>
      <w:r>
        <w:rPr>
          <w:sz w:val="24"/>
        </w:rPr>
        <w:t>test</w:t>
      </w:r>
      <w:r>
        <w:rPr>
          <w:spacing w:val="-1"/>
          <w:sz w:val="24"/>
        </w:rPr>
        <w:t> 及細菌培養均為陰性， </w:t>
      </w:r>
      <w:r>
        <w:rPr>
          <w:sz w:val="24"/>
        </w:rPr>
        <w:t>觀察其治療後之臨床及胸部 X 光反應，仍應足夠作為診斷之依據。</w:t>
      </w:r>
    </w:p>
    <w:p>
      <w:pPr>
        <w:pStyle w:val="ListParagraph"/>
        <w:numPr>
          <w:ilvl w:val="0"/>
          <w:numId w:val="18"/>
        </w:numPr>
        <w:tabs>
          <w:tab w:pos="929" w:val="left" w:leader="none"/>
        </w:tabs>
        <w:spacing w:line="218" w:lineRule="auto" w:before="0" w:after="0"/>
        <w:ind w:left="928" w:right="1362" w:hanging="240"/>
        <w:jc w:val="both"/>
        <w:rPr>
          <w:sz w:val="24"/>
        </w:rPr>
      </w:pPr>
      <w:r>
        <w:rPr>
          <w:sz w:val="24"/>
        </w:rPr>
        <w:t>為加速肺結核的正確診斷，對於疑似結核病人皆建議應進行 NAA</w:t>
      </w:r>
      <w:r>
        <w:rPr>
          <w:spacing w:val="5"/>
          <w:sz w:val="24"/>
        </w:rPr>
        <w:t> </w:t>
      </w:r>
      <w:r>
        <w:rPr>
          <w:sz w:val="24"/>
        </w:rPr>
        <w:t>test</w:t>
      </w:r>
      <w:r>
        <w:rPr>
          <w:spacing w:val="-2"/>
          <w:sz w:val="24"/>
        </w:rPr>
        <w:t>。同時，由於</w:t>
      </w:r>
      <w:r>
        <w:rPr>
          <w:spacing w:val="1"/>
          <w:sz w:val="24"/>
        </w:rPr>
        <w:t>非結核分枝桿菌所佔的比率日益增多，因此對於胸部 </w:t>
      </w:r>
      <w:r>
        <w:rPr>
          <w:sz w:val="24"/>
        </w:rPr>
        <w:t>X</w:t>
      </w:r>
      <w:r>
        <w:rPr>
          <w:spacing w:val="-2"/>
          <w:sz w:val="24"/>
        </w:rPr>
        <w:t> 光檢查顯示肺結核可能性不</w:t>
      </w:r>
      <w:r>
        <w:rPr>
          <w:sz w:val="24"/>
        </w:rPr>
        <w:t>高並不符合肺結核典型變化但是塗片陽性者，更是務必進行 NAA</w:t>
      </w:r>
      <w:r>
        <w:rPr>
          <w:spacing w:val="5"/>
          <w:sz w:val="24"/>
        </w:rPr>
        <w:t> </w:t>
      </w:r>
      <w:r>
        <w:rPr>
          <w:sz w:val="24"/>
        </w:rPr>
        <w:t>test</w:t>
      </w:r>
      <w:r>
        <w:rPr>
          <w:spacing w:val="-2"/>
          <w:sz w:val="24"/>
        </w:rPr>
        <w:t>，儘速鑑別診</w:t>
      </w:r>
      <w:r>
        <w:rPr>
          <w:sz w:val="24"/>
        </w:rPr>
        <w:t>斷是否為非結核分枝桿菌，而非貿然下診斷為肺結核。</w:t>
      </w:r>
    </w:p>
    <w:p>
      <w:pPr>
        <w:pStyle w:val="Heading7"/>
        <w:numPr>
          <w:ilvl w:val="2"/>
          <w:numId w:val="13"/>
        </w:numPr>
        <w:tabs>
          <w:tab w:pos="882" w:val="left" w:leader="none"/>
        </w:tabs>
        <w:spacing w:line="427" w:lineRule="exact" w:before="85" w:after="0"/>
        <w:ind w:left="882" w:right="0" w:hanging="611"/>
        <w:jc w:val="both"/>
      </w:pPr>
      <w:r>
        <w:rPr/>
        <w:t>診斷流程</w:t>
      </w:r>
    </w:p>
    <w:p>
      <w:pPr>
        <w:pStyle w:val="BodyText"/>
        <w:spacing w:line="427" w:lineRule="exact"/>
        <w:ind w:left="1406"/>
      </w:pPr>
      <w:r>
        <w:rPr/>
        <w:t>建議肺結核的診斷流程（圖3-1）如下：</w:t>
      </w:r>
    </w:p>
    <w:p>
      <w:pPr>
        <w:spacing w:after="0" w:line="427" w:lineRule="exact"/>
        <w:sectPr>
          <w:pgSz w:w="12250" w:h="17190"/>
          <w:pgMar w:header="0" w:footer="828" w:top="1440" w:bottom="1020" w:left="1200" w:right="0"/>
        </w:sectPr>
      </w:pPr>
    </w:p>
    <w:p>
      <w:pPr>
        <w:pStyle w:val="BodyText"/>
        <w:spacing w:line="425" w:lineRule="exact" w:before="23"/>
        <w:ind w:left="1406"/>
      </w:pPr>
      <w:r>
        <w:rPr/>
        <w:pict>
          <v:group style="position:absolute;margin-left:570pt;margin-top:1.050923pt;width:42.4pt;height:128.1pt;mso-position-horizontal-relative:page;mso-position-vertical-relative:paragraph;z-index:251679744" coordorigin="11400,21" coordsize="848,2562">
            <v:shape style="position:absolute;left:11400;top:21;width:848;height:2562" coordorigin="11400,21" coordsize="848,2562" path="m12227,21l11565,21,11501,34,11448,69,11413,122,11400,186,11400,2418,11413,2482,11448,2535,11501,2570,11565,2583,12227,2583,12247,2579,12247,25,12227,21xe" filled="true" fillcolor="#a6a6a6" stroked="false">
              <v:path arrowok="t"/>
              <v:fill type="solid"/>
            </v:shape>
            <v:shape style="position:absolute;left:11400;top:21;width:848;height:2562" type="#_x0000_t202" filled="false" stroked="false">
              <v:textbox inset="0,0,0,0">
                <w:txbxContent>
                  <w:p>
                    <w:pPr>
                      <w:spacing w:line="146" w:lineRule="auto" w:before="127"/>
                      <w:ind w:left="136" w:right="488" w:firstLine="0"/>
                      <w:jc w:val="both"/>
                      <w:rPr>
                        <w:sz w:val="22"/>
                      </w:rPr>
                    </w:pPr>
                    <w:r>
                      <w:rPr>
                        <w:sz w:val="22"/>
                      </w:rPr>
                      <w:t>第三章</w:t>
                    </w:r>
                  </w:p>
                  <w:p>
                    <w:pPr>
                      <w:spacing w:line="141" w:lineRule="auto" w:before="175"/>
                      <w:ind w:left="136" w:right="488" w:firstLine="0"/>
                      <w:jc w:val="both"/>
                      <w:rPr>
                        <w:sz w:val="22"/>
                      </w:rPr>
                    </w:pPr>
                    <w:r>
                      <w:rPr>
                        <w:sz w:val="22"/>
                      </w:rPr>
                      <w:t>結核病的診斷</w:t>
                    </w:r>
                  </w:p>
                </w:txbxContent>
              </v:textbox>
              <w10:wrap type="none"/>
            </v:shape>
            <w10:wrap type="none"/>
          </v:group>
        </w:pict>
      </w:r>
      <w:r>
        <w:rPr>
          <w:spacing w:val="-1"/>
        </w:rPr>
        <w:t>對疑似肺結核的病人，如咳嗽</w:t>
      </w:r>
      <w:r>
        <w:rPr/>
        <w:t>2~3星期等，或健康檢查進行胸部X光檢查時：</w:t>
      </w:r>
    </w:p>
    <w:p>
      <w:pPr>
        <w:pStyle w:val="ListParagraph"/>
        <w:numPr>
          <w:ilvl w:val="3"/>
          <w:numId w:val="13"/>
        </w:numPr>
        <w:tabs>
          <w:tab w:pos="929" w:val="left" w:leader="none"/>
        </w:tabs>
        <w:spacing w:line="223" w:lineRule="auto" w:before="6" w:after="0"/>
        <w:ind w:left="928" w:right="1362" w:hanging="240"/>
        <w:jc w:val="left"/>
        <w:rPr>
          <w:sz w:val="24"/>
        </w:rPr>
      </w:pPr>
      <w:r>
        <w:rPr>
          <w:spacing w:val="8"/>
          <w:sz w:val="24"/>
        </w:rPr>
        <w:t>如果胸部 </w:t>
      </w:r>
      <w:r>
        <w:rPr>
          <w:sz w:val="24"/>
        </w:rPr>
        <w:t>X</w:t>
      </w:r>
      <w:r>
        <w:rPr>
          <w:spacing w:val="-1"/>
          <w:sz w:val="24"/>
        </w:rPr>
        <w:t> 光檢查正常，則可能為其他診斷而非肺結核；但必要時，如支氣管內結</w:t>
      </w:r>
      <w:r>
        <w:rPr>
          <w:sz w:val="24"/>
        </w:rPr>
        <w:t>核無法排除時，仍可進一步進行痰塗片、NAA test 及細菌培養檢驗等。</w:t>
      </w:r>
    </w:p>
    <w:p>
      <w:pPr>
        <w:pStyle w:val="ListParagraph"/>
        <w:numPr>
          <w:ilvl w:val="3"/>
          <w:numId w:val="13"/>
        </w:numPr>
        <w:tabs>
          <w:tab w:pos="929" w:val="left" w:leader="none"/>
        </w:tabs>
        <w:spacing w:line="402" w:lineRule="exact" w:before="0" w:after="0"/>
        <w:ind w:left="928" w:right="0" w:hanging="241"/>
        <w:jc w:val="left"/>
        <w:rPr>
          <w:sz w:val="24"/>
        </w:rPr>
      </w:pPr>
      <w:r>
        <w:rPr>
          <w:sz w:val="24"/>
        </w:rPr>
        <w:t>如果胸部 X 光檢查發現異常時，應儘可能與過去的胸部 X 光進行比較。如果：</w:t>
      </w:r>
    </w:p>
    <w:p>
      <w:pPr>
        <w:pStyle w:val="ListParagraph"/>
        <w:numPr>
          <w:ilvl w:val="4"/>
          <w:numId w:val="13"/>
        </w:numPr>
        <w:tabs>
          <w:tab w:pos="1412" w:val="left" w:leader="none"/>
        </w:tabs>
        <w:spacing w:line="223" w:lineRule="auto" w:before="7" w:after="0"/>
        <w:ind w:left="1411" w:right="1289" w:hanging="480"/>
        <w:jc w:val="both"/>
        <w:rPr>
          <w:sz w:val="24"/>
        </w:rPr>
      </w:pPr>
      <w:r>
        <w:rPr>
          <w:sz w:val="24"/>
        </w:rPr>
        <w:t>胸部X</w:t>
      </w:r>
      <w:r>
        <w:rPr>
          <w:spacing w:val="-6"/>
          <w:sz w:val="24"/>
        </w:rPr>
        <w:t>光檢查高度懷疑結核病：應立即給予進行痰塗片、</w:t>
      </w:r>
      <w:r>
        <w:rPr>
          <w:sz w:val="24"/>
        </w:rPr>
        <w:t>NAA</w:t>
      </w:r>
      <w:r>
        <w:rPr>
          <w:spacing w:val="-15"/>
          <w:sz w:val="24"/>
        </w:rPr>
        <w:t> </w:t>
      </w:r>
      <w:r>
        <w:rPr>
          <w:sz w:val="24"/>
        </w:rPr>
        <w:t>test及細菌培養檢</w:t>
      </w:r>
      <w:r>
        <w:rPr>
          <w:spacing w:val="-37"/>
          <w:sz w:val="24"/>
        </w:rPr>
        <w:t>驗。若</w:t>
      </w:r>
      <w:r>
        <w:rPr>
          <w:sz w:val="24"/>
        </w:rPr>
        <w:t>(1</w:t>
      </w:r>
      <w:r>
        <w:rPr>
          <w:spacing w:val="-13"/>
          <w:sz w:val="24"/>
        </w:rPr>
        <w:t>)塗片陽性，雖然臨床醫師可直接下診斷為肺結核，但建議仍應進行</w:t>
      </w:r>
      <w:r>
        <w:rPr>
          <w:sz w:val="24"/>
        </w:rPr>
        <w:t>NAA test；(2)塗片陰性、NAA</w:t>
      </w:r>
      <w:r>
        <w:rPr>
          <w:spacing w:val="48"/>
          <w:sz w:val="24"/>
        </w:rPr>
        <w:t> </w:t>
      </w:r>
      <w:r>
        <w:rPr>
          <w:sz w:val="24"/>
        </w:rPr>
        <w:t>test陽性，則可依臨床判斷診斷為肺結核或再進行第</w:t>
      </w:r>
      <w:r>
        <w:rPr>
          <w:spacing w:val="5"/>
          <w:sz w:val="24"/>
        </w:rPr>
        <w:t>二 次 </w:t>
      </w:r>
      <w:r>
        <w:rPr>
          <w:sz w:val="24"/>
        </w:rPr>
        <w:t>NAA test ； (3</w:t>
      </w:r>
      <w:r>
        <w:rPr>
          <w:spacing w:val="5"/>
          <w:sz w:val="24"/>
        </w:rPr>
        <w:t>) 塗 片 陰 性 及 </w:t>
      </w:r>
      <w:r>
        <w:rPr>
          <w:sz w:val="24"/>
        </w:rPr>
        <w:t>NAA test</w:t>
      </w:r>
      <w:r>
        <w:rPr>
          <w:spacing w:val="4"/>
          <w:sz w:val="24"/>
        </w:rPr>
        <w:t> 陰 性 ， 則 可 給 予 抗 生 素(fluoroquinolones及二線針劑類抗生素除外)治療1</w:t>
      </w:r>
      <w:r>
        <w:rPr>
          <w:spacing w:val="-16"/>
          <w:sz w:val="24"/>
        </w:rPr>
        <w:t>星期，再進行胸部</w:t>
      </w:r>
      <w:r>
        <w:rPr>
          <w:sz w:val="24"/>
        </w:rPr>
        <w:t>X光檢查並</w:t>
      </w:r>
      <w:r>
        <w:rPr>
          <w:spacing w:val="-7"/>
          <w:sz w:val="24"/>
        </w:rPr>
        <w:t>比較。如果胸部</w:t>
      </w:r>
      <w:r>
        <w:rPr>
          <w:sz w:val="24"/>
        </w:rPr>
        <w:t>X</w:t>
      </w:r>
      <w:r>
        <w:rPr>
          <w:spacing w:val="-7"/>
          <w:sz w:val="24"/>
        </w:rPr>
        <w:t>光檢查有明顯改善，可能為肺炎等其他診斷而非肺結核；如果</w:t>
      </w:r>
      <w:r>
        <w:rPr>
          <w:spacing w:val="7"/>
          <w:sz w:val="24"/>
        </w:rPr>
        <w:t>胸部</w:t>
      </w:r>
      <w:r>
        <w:rPr>
          <w:spacing w:val="5"/>
          <w:sz w:val="24"/>
        </w:rPr>
        <w:t>X</w:t>
      </w:r>
      <w:r>
        <w:rPr>
          <w:spacing w:val="2"/>
          <w:sz w:val="24"/>
        </w:rPr>
        <w:t>光檢查未有明顯改善，則臨床醫師應審慎評估是否為肺結核的可能性。</w:t>
      </w:r>
    </w:p>
    <w:p>
      <w:pPr>
        <w:pStyle w:val="ListParagraph"/>
        <w:numPr>
          <w:ilvl w:val="4"/>
          <w:numId w:val="13"/>
        </w:numPr>
        <w:tabs>
          <w:tab w:pos="1419" w:val="left" w:leader="none"/>
        </w:tabs>
        <w:spacing w:line="223" w:lineRule="auto" w:before="0" w:after="0"/>
        <w:ind w:left="1418" w:right="1307" w:hanging="488"/>
        <w:jc w:val="both"/>
        <w:rPr>
          <w:sz w:val="24"/>
        </w:rPr>
      </w:pPr>
      <w:r>
        <w:rPr>
          <w:spacing w:val="6"/>
          <w:sz w:val="24"/>
        </w:rPr>
        <w:t>胸部</w:t>
      </w:r>
      <w:r>
        <w:rPr>
          <w:spacing w:val="4"/>
          <w:sz w:val="24"/>
        </w:rPr>
        <w:t>X</w:t>
      </w:r>
      <w:r>
        <w:rPr>
          <w:spacing w:val="3"/>
          <w:sz w:val="24"/>
        </w:rPr>
        <w:t>光檢查認為肺結核可能性不高，但卻無法完全排除者：臨床醫師可視狀</w:t>
      </w:r>
      <w:r>
        <w:rPr>
          <w:spacing w:val="-6"/>
          <w:sz w:val="24"/>
        </w:rPr>
        <w:t>況進行痰塗片、</w:t>
      </w:r>
      <w:r>
        <w:rPr>
          <w:sz w:val="23"/>
        </w:rPr>
        <w:t>NAA</w:t>
      </w:r>
      <w:r>
        <w:rPr>
          <w:spacing w:val="-17"/>
          <w:sz w:val="23"/>
        </w:rPr>
        <w:t> </w:t>
      </w:r>
      <w:r>
        <w:rPr>
          <w:sz w:val="23"/>
        </w:rPr>
        <w:t>test</w:t>
      </w:r>
      <w:r>
        <w:rPr>
          <w:spacing w:val="-11"/>
          <w:sz w:val="23"/>
        </w:rPr>
        <w:t> </w:t>
      </w:r>
      <w:r>
        <w:rPr>
          <w:spacing w:val="-6"/>
          <w:sz w:val="24"/>
        </w:rPr>
        <w:t>(若可能性相當低，則不建議此檢驗)及細菌培養檢驗。</w:t>
      </w:r>
      <w:r>
        <w:rPr>
          <w:spacing w:val="4"/>
          <w:sz w:val="24"/>
        </w:rPr>
        <w:t>若</w:t>
      </w:r>
      <w:r>
        <w:rPr>
          <w:sz w:val="24"/>
        </w:rPr>
        <w:t>(1</w:t>
      </w:r>
      <w:r>
        <w:rPr>
          <w:spacing w:val="-5"/>
          <w:sz w:val="24"/>
        </w:rPr>
        <w:t>)塗片陽性，則臨床醫師務必要求實驗室進行</w:t>
      </w:r>
      <w:r>
        <w:rPr>
          <w:sz w:val="24"/>
        </w:rPr>
        <w:t>NAA</w:t>
      </w:r>
      <w:r>
        <w:rPr>
          <w:spacing w:val="-15"/>
          <w:sz w:val="24"/>
        </w:rPr>
        <w:t> </w:t>
      </w:r>
      <w:r>
        <w:rPr>
          <w:spacing w:val="-9"/>
          <w:sz w:val="24"/>
        </w:rPr>
        <w:t>test</w:t>
      </w:r>
      <w:r>
        <w:rPr>
          <w:sz w:val="24"/>
        </w:rPr>
        <w:t>，以確認是否為結核菌或非結核分枝桿菌；</w:t>
      </w:r>
      <w:r>
        <w:rPr>
          <w:spacing w:val="-3"/>
          <w:sz w:val="24"/>
        </w:rPr>
        <w:t>(2)</w:t>
      </w:r>
      <w:r>
        <w:rPr>
          <w:spacing w:val="-4"/>
          <w:sz w:val="24"/>
        </w:rPr>
        <w:t>若塗片陰性、</w:t>
      </w:r>
      <w:r>
        <w:rPr>
          <w:sz w:val="24"/>
        </w:rPr>
        <w:t>NAA</w:t>
      </w:r>
      <w:r>
        <w:rPr>
          <w:spacing w:val="-14"/>
          <w:sz w:val="24"/>
        </w:rPr>
        <w:t> </w:t>
      </w:r>
      <w:r>
        <w:rPr>
          <w:sz w:val="24"/>
        </w:rPr>
        <w:t>test</w:t>
      </w:r>
      <w:r>
        <w:rPr>
          <w:spacing w:val="-3"/>
          <w:sz w:val="24"/>
        </w:rPr>
        <w:t>陽性，則可依臨床判斷或再進</w:t>
      </w:r>
      <w:r>
        <w:rPr>
          <w:spacing w:val="3"/>
          <w:sz w:val="24"/>
        </w:rPr>
        <w:t>行第二次</w:t>
      </w:r>
      <w:r>
        <w:rPr>
          <w:sz w:val="23"/>
        </w:rPr>
        <w:t>NAA</w:t>
      </w:r>
      <w:r>
        <w:rPr>
          <w:spacing w:val="-14"/>
          <w:sz w:val="23"/>
        </w:rPr>
        <w:t> </w:t>
      </w:r>
      <w:r>
        <w:rPr>
          <w:spacing w:val="-6"/>
          <w:sz w:val="23"/>
        </w:rPr>
        <w:t>test</w:t>
      </w:r>
      <w:r>
        <w:rPr>
          <w:spacing w:val="-6"/>
          <w:sz w:val="24"/>
        </w:rPr>
        <w:t>；(3</w:t>
      </w:r>
      <w:r>
        <w:rPr>
          <w:sz w:val="24"/>
        </w:rPr>
        <w:t>)塗片陰性且NAA</w:t>
      </w:r>
      <w:r>
        <w:rPr>
          <w:spacing w:val="-14"/>
          <w:sz w:val="24"/>
        </w:rPr>
        <w:t> </w:t>
      </w:r>
      <w:r>
        <w:rPr>
          <w:sz w:val="24"/>
        </w:rPr>
        <w:t>test</w:t>
      </w:r>
      <w:r>
        <w:rPr>
          <w:spacing w:val="3"/>
          <w:sz w:val="24"/>
        </w:rPr>
        <w:t>陰性或未</w:t>
      </w:r>
      <w:r>
        <w:rPr>
          <w:sz w:val="24"/>
        </w:rPr>
        <w:t>NAA</w:t>
      </w:r>
      <w:r>
        <w:rPr>
          <w:spacing w:val="-15"/>
          <w:sz w:val="24"/>
        </w:rPr>
        <w:t> </w:t>
      </w:r>
      <w:r>
        <w:rPr>
          <w:spacing w:val="-9"/>
          <w:sz w:val="24"/>
        </w:rPr>
        <w:t>test</w:t>
      </w:r>
      <w:r>
        <w:rPr>
          <w:sz w:val="24"/>
        </w:rPr>
        <w:t>，雖然肺結核仍</w:t>
      </w:r>
      <w:r>
        <w:rPr>
          <w:spacing w:val="3"/>
          <w:sz w:val="24"/>
        </w:rPr>
        <w:t>無法完全排除，但應優先考慮其他疾病而非肺結核。</w:t>
      </w:r>
    </w:p>
    <w:p>
      <w:pPr>
        <w:pStyle w:val="ListParagraph"/>
        <w:numPr>
          <w:ilvl w:val="4"/>
          <w:numId w:val="13"/>
        </w:numPr>
        <w:tabs>
          <w:tab w:pos="1419" w:val="left" w:leader="none"/>
        </w:tabs>
        <w:spacing w:line="223" w:lineRule="auto" w:before="0" w:after="0"/>
        <w:ind w:left="1418" w:right="1361" w:hanging="488"/>
        <w:jc w:val="both"/>
        <w:rPr>
          <w:sz w:val="24"/>
        </w:rPr>
      </w:pPr>
      <w:r>
        <w:rPr>
          <w:spacing w:val="6"/>
          <w:sz w:val="24"/>
        </w:rPr>
        <w:t>胸部</w:t>
      </w:r>
      <w:r>
        <w:rPr>
          <w:spacing w:val="4"/>
          <w:sz w:val="24"/>
        </w:rPr>
        <w:t>X</w:t>
      </w:r>
      <w:r>
        <w:rPr>
          <w:spacing w:val="3"/>
          <w:sz w:val="24"/>
        </w:rPr>
        <w:t>光檢查認為肺結核可能性相當低：依病情進行胸部電腦斷層掃描檢查或</w:t>
      </w:r>
      <w:r>
        <w:rPr>
          <w:spacing w:val="-1"/>
          <w:sz w:val="24"/>
        </w:rPr>
        <w:t>支氣管鏡等檢查。若未能得到正確的診斷或仍有必要時，臨床醫師可視狀況進</w:t>
      </w:r>
      <w:r>
        <w:rPr>
          <w:spacing w:val="3"/>
          <w:sz w:val="24"/>
        </w:rPr>
        <w:t>行痰塗片、</w:t>
      </w:r>
      <w:r>
        <w:rPr>
          <w:sz w:val="24"/>
        </w:rPr>
        <w:t>NAA test (若可能性相當低，則不建議此檢驗)及細菌培養檢驗。</w:t>
      </w:r>
    </w:p>
    <w:p>
      <w:pPr>
        <w:pStyle w:val="BodyText"/>
        <w:spacing w:line="424" w:lineRule="exact" w:before="110"/>
        <w:ind w:left="400"/>
      </w:pPr>
      <w:r>
        <w:rPr/>
        <w:t>另外，建議對於肺結核是否有抗藥性的診斷原則如下：</w:t>
      </w:r>
    </w:p>
    <w:p>
      <w:pPr>
        <w:pStyle w:val="ListParagraph"/>
        <w:numPr>
          <w:ilvl w:val="0"/>
          <w:numId w:val="19"/>
        </w:numPr>
        <w:tabs>
          <w:tab w:pos="933" w:val="left" w:leader="none"/>
        </w:tabs>
        <w:spacing w:line="220" w:lineRule="auto" w:before="8" w:after="0"/>
        <w:ind w:left="932" w:right="1361" w:hanging="244"/>
        <w:jc w:val="both"/>
        <w:rPr>
          <w:sz w:val="24"/>
        </w:rPr>
      </w:pPr>
      <w:r>
        <w:rPr>
          <w:spacing w:val="9"/>
          <w:sz w:val="24"/>
        </w:rPr>
        <w:t>所有病人第一次培養陽性的結核分枝桿菌</w:t>
      </w:r>
      <w:r>
        <w:rPr>
          <w:color w:val="FF0000"/>
          <w:spacing w:val="9"/>
          <w:sz w:val="24"/>
        </w:rPr>
        <w:t>菌</w:t>
      </w:r>
      <w:r>
        <w:rPr>
          <w:spacing w:val="8"/>
          <w:sz w:val="24"/>
        </w:rPr>
        <w:t>株必須進行第一線抗結核藥物的感受</w:t>
      </w:r>
      <w:r>
        <w:rPr>
          <w:spacing w:val="-1"/>
          <w:sz w:val="24"/>
        </w:rPr>
        <w:t>性試驗。病人接受治療</w:t>
      </w:r>
      <w:r>
        <w:rPr>
          <w:color w:val="FF0000"/>
          <w:spacing w:val="3"/>
          <w:sz w:val="24"/>
        </w:rPr>
        <w:t>滿二個月</w:t>
      </w:r>
      <w:r>
        <w:rPr>
          <w:spacing w:val="1"/>
          <w:sz w:val="24"/>
        </w:rPr>
        <w:t>及後續的檢體細菌培養仍呈陽性，或陰轉後的檢體</w:t>
      </w:r>
      <w:r>
        <w:rPr>
          <w:spacing w:val="2"/>
          <w:sz w:val="24"/>
        </w:rPr>
        <w:t>再度細菌培養陽性的結核病人，其菌株也必須進行藥物感受性試驗。</w:t>
      </w:r>
    </w:p>
    <w:p>
      <w:pPr>
        <w:pStyle w:val="ListParagraph"/>
        <w:numPr>
          <w:ilvl w:val="0"/>
          <w:numId w:val="19"/>
        </w:numPr>
        <w:tabs>
          <w:tab w:pos="933" w:val="left" w:leader="none"/>
        </w:tabs>
        <w:spacing w:line="218" w:lineRule="auto" w:before="5" w:after="0"/>
        <w:ind w:left="932" w:right="1361" w:hanging="244"/>
        <w:jc w:val="both"/>
        <w:rPr>
          <w:sz w:val="24"/>
        </w:rPr>
      </w:pPr>
      <w:r>
        <w:rPr>
          <w:spacing w:val="2"/>
          <w:sz w:val="24"/>
        </w:rPr>
        <w:t>以下族群，建議快速分子檢測：(1</w:t>
      </w:r>
      <w:r>
        <w:rPr>
          <w:sz w:val="24"/>
        </w:rPr>
        <w:t>)結核病再治個案(包含治療失落、失敗及復發)； </w:t>
      </w:r>
      <w:r>
        <w:rPr>
          <w:spacing w:val="2"/>
          <w:sz w:val="24"/>
        </w:rPr>
        <w:t>(2)多重抗藥性結核個案及 </w:t>
      </w:r>
      <w:r>
        <w:rPr>
          <w:sz w:val="24"/>
        </w:rPr>
        <w:t>rifampin 抗藥結核病的接觸者轉為個案者；(3</w:t>
      </w:r>
      <w:r>
        <w:rPr>
          <w:spacing w:val="2"/>
          <w:sz w:val="24"/>
        </w:rPr>
        <w:t>)疾病管制</w:t>
      </w:r>
      <w:r>
        <w:rPr>
          <w:sz w:val="24"/>
        </w:rPr>
        <w:t>署每年因疫情分析而公告的國內高風險地區之新發生個案；</w:t>
      </w:r>
      <w:r>
        <w:rPr>
          <w:spacing w:val="-9"/>
          <w:sz w:val="24"/>
        </w:rPr>
        <w:t>(4</w:t>
      </w:r>
      <w:r>
        <w:rPr>
          <w:sz w:val="24"/>
        </w:rPr>
        <w:t>)曾停留在世界衛生組</w:t>
      </w:r>
      <w:r>
        <w:rPr>
          <w:spacing w:val="3"/>
          <w:sz w:val="24"/>
        </w:rPr>
        <w:t>織公布之結核病或多重抗藥結核病</w:t>
      </w:r>
      <w:hyperlink r:id="rId19">
        <w:r>
          <w:rPr>
            <w:spacing w:val="-2"/>
            <w:sz w:val="24"/>
          </w:rPr>
          <w:t>高負擔國家</w:t>
        </w:r>
      </w:hyperlink>
      <w:r>
        <w:rPr>
          <w:spacing w:val="-1"/>
          <w:sz w:val="24"/>
        </w:rPr>
        <w:t>，一年內累積時間達 </w:t>
      </w:r>
      <w:r>
        <w:rPr>
          <w:sz w:val="24"/>
        </w:rPr>
        <w:t>1</w:t>
      </w:r>
      <w:r>
        <w:rPr>
          <w:spacing w:val="2"/>
          <w:sz w:val="24"/>
        </w:rPr>
        <w:t> 個月以上之個案；</w:t>
      </w:r>
      <w:r>
        <w:rPr>
          <w:color w:val="FF0000"/>
          <w:spacing w:val="2"/>
          <w:sz w:val="24"/>
        </w:rPr>
        <w:t>(5</w:t>
      </w:r>
      <w:r>
        <w:rPr>
          <w:color w:val="FF0000"/>
          <w:spacing w:val="1"/>
          <w:sz w:val="24"/>
        </w:rPr>
        <w:t>)臨床經分子快速檢測為 </w:t>
      </w:r>
      <w:r>
        <w:rPr>
          <w:color w:val="FF0000"/>
          <w:sz w:val="24"/>
        </w:rPr>
        <w:t>rifampin 抗藥之結核病個案；(6)</w:t>
      </w:r>
      <w:r>
        <w:rPr>
          <w:color w:val="FF0000"/>
          <w:spacing w:val="3"/>
          <w:sz w:val="24"/>
        </w:rPr>
        <w:t>治療 </w:t>
      </w:r>
      <w:r>
        <w:rPr>
          <w:color w:val="FF0000"/>
          <w:sz w:val="24"/>
        </w:rPr>
        <w:t>2</w:t>
      </w:r>
      <w:r>
        <w:rPr>
          <w:color w:val="FF0000"/>
          <w:spacing w:val="2"/>
          <w:sz w:val="24"/>
        </w:rPr>
        <w:t> 個月之痰培</w:t>
      </w:r>
      <w:r>
        <w:rPr>
          <w:color w:val="FF0000"/>
          <w:spacing w:val="1"/>
          <w:sz w:val="24"/>
        </w:rPr>
        <w:t>養仍為陽性者；(</w:t>
      </w:r>
      <w:r>
        <w:rPr>
          <w:color w:val="FF0000"/>
          <w:sz w:val="24"/>
        </w:rPr>
        <w:t>7)isoniazid</w:t>
      </w:r>
      <w:r>
        <w:rPr>
          <w:color w:val="FF0000"/>
          <w:spacing w:val="2"/>
          <w:sz w:val="24"/>
        </w:rPr>
        <w:t> 抗藥，擬使用二線藥者，(8)因藥物副作用，擬使用二</w:t>
      </w:r>
      <w:r>
        <w:rPr>
          <w:color w:val="FF0000"/>
          <w:spacing w:val="-2"/>
          <w:sz w:val="24"/>
        </w:rPr>
        <w:t>線藥物者；</w:t>
      </w:r>
      <w:r>
        <w:rPr>
          <w:color w:val="FF0000"/>
          <w:sz w:val="24"/>
        </w:rPr>
        <w:t>(9</w:t>
      </w:r>
      <w:r>
        <w:rPr>
          <w:color w:val="FF0000"/>
          <w:spacing w:val="-1"/>
          <w:sz w:val="24"/>
        </w:rPr>
        <w:t>)通報結核病之畜牧場人員；(</w:t>
      </w:r>
      <w:r>
        <w:rPr>
          <w:color w:val="FF0000"/>
          <w:sz w:val="24"/>
        </w:rPr>
        <w:t>10)</w:t>
      </w:r>
      <w:r>
        <w:rPr>
          <w:i/>
          <w:color w:val="FF0000"/>
          <w:sz w:val="25"/>
        </w:rPr>
        <w:t>M</w:t>
      </w:r>
      <w:r>
        <w:rPr>
          <w:i/>
          <w:color w:val="FF0000"/>
          <w:spacing w:val="-15"/>
          <w:sz w:val="25"/>
        </w:rPr>
        <w:t>. </w:t>
      </w:r>
      <w:r>
        <w:rPr>
          <w:i/>
          <w:color w:val="FF0000"/>
          <w:sz w:val="25"/>
        </w:rPr>
        <w:t>bovis</w:t>
      </w:r>
      <w:r>
        <w:rPr>
          <w:i/>
          <w:color w:val="FF0000"/>
          <w:spacing w:val="-20"/>
          <w:sz w:val="25"/>
        </w:rPr>
        <w:t> </w:t>
      </w:r>
      <w:r>
        <w:rPr>
          <w:color w:val="FF0000"/>
          <w:spacing w:val="2"/>
          <w:sz w:val="24"/>
        </w:rPr>
        <w:t>肺結核個案之接觸者轉為個</w:t>
      </w:r>
      <w:r>
        <w:rPr>
          <w:color w:val="FF0000"/>
          <w:spacing w:val="-14"/>
          <w:sz w:val="24"/>
        </w:rPr>
        <w:t>案者；或</w:t>
      </w:r>
      <w:r>
        <w:rPr>
          <w:color w:val="FF0000"/>
          <w:sz w:val="24"/>
        </w:rPr>
        <w:t>(11)潛伏結核感染治療(LTBI</w:t>
      </w:r>
      <w:r>
        <w:rPr>
          <w:color w:val="FF0000"/>
          <w:spacing w:val="-5"/>
          <w:sz w:val="24"/>
        </w:rPr>
        <w:t>)個案結核病發病者。不論病人的痰塗片是否為</w:t>
      </w:r>
      <w:r>
        <w:rPr>
          <w:color w:val="FF0000"/>
          <w:spacing w:val="3"/>
          <w:sz w:val="24"/>
        </w:rPr>
        <w:t>陽性</w:t>
      </w:r>
      <w:r>
        <w:rPr>
          <w:spacing w:val="3"/>
          <w:sz w:val="24"/>
        </w:rPr>
        <w:t>，應進行快速分子檢測。</w:t>
      </w:r>
    </w:p>
    <w:p>
      <w:pPr>
        <w:pStyle w:val="ListParagraph"/>
        <w:numPr>
          <w:ilvl w:val="0"/>
          <w:numId w:val="19"/>
        </w:numPr>
        <w:tabs>
          <w:tab w:pos="933" w:val="left" w:leader="none"/>
        </w:tabs>
        <w:spacing w:line="220" w:lineRule="auto" w:before="19" w:after="0"/>
        <w:ind w:left="932" w:right="1361" w:hanging="244"/>
        <w:jc w:val="both"/>
        <w:rPr>
          <w:sz w:val="24"/>
        </w:rPr>
      </w:pPr>
      <w:r>
        <w:rPr>
          <w:spacing w:val="3"/>
          <w:sz w:val="24"/>
        </w:rPr>
        <w:t>若分子檢驗的結果與傳統的抗藥性檢驗結果不一致時，可依 </w:t>
      </w:r>
      <w:r>
        <w:rPr>
          <w:sz w:val="24"/>
        </w:rPr>
        <w:t>3.3.5.4</w:t>
      </w:r>
      <w:r>
        <w:rPr>
          <w:spacing w:val="9"/>
          <w:sz w:val="24"/>
        </w:rPr>
        <w:t> 的原則判讀； </w:t>
      </w:r>
      <w:r>
        <w:rPr>
          <w:spacing w:val="3"/>
          <w:sz w:val="24"/>
        </w:rPr>
        <w:t>若仍有疑義時，可與疾病管制署轄區區管中心聯絡，並請安排專家提供協詢。</w:t>
      </w:r>
    </w:p>
    <w:p>
      <w:pPr>
        <w:spacing w:after="0" w:line="220" w:lineRule="auto"/>
        <w:jc w:val="both"/>
        <w:rPr>
          <w:sz w:val="24"/>
        </w:rPr>
        <w:sectPr>
          <w:pgSz w:w="12250" w:h="17190"/>
          <w:pgMar w:header="0" w:footer="828" w:top="1440" w:bottom="1020" w:left="1200" w:right="0"/>
        </w:sectPr>
      </w:pPr>
    </w:p>
    <w:p>
      <w:pPr>
        <w:pStyle w:val="Heading6"/>
        <w:spacing w:line="444" w:lineRule="exact" w:before="18"/>
        <w:ind w:left="160"/>
      </w:pPr>
      <w:bookmarkStart w:name="參考文獻" w:id="43"/>
      <w:bookmarkEnd w:id="43"/>
      <w:r>
        <w:rPr>
          <w:b w:val="0"/>
        </w:rPr>
      </w:r>
      <w:r>
        <w:rPr/>
        <w:t>參考文獻</w:t>
      </w:r>
    </w:p>
    <w:p>
      <w:pPr>
        <w:pStyle w:val="ListParagraph"/>
        <w:numPr>
          <w:ilvl w:val="0"/>
          <w:numId w:val="20"/>
        </w:numPr>
        <w:tabs>
          <w:tab w:pos="927" w:val="left" w:leader="none"/>
        </w:tabs>
        <w:spacing w:line="225" w:lineRule="auto" w:before="3" w:after="0"/>
        <w:ind w:left="926" w:right="1359" w:hanging="403"/>
        <w:jc w:val="both"/>
        <w:rPr>
          <w:sz w:val="23"/>
        </w:rPr>
      </w:pPr>
      <w:r>
        <w:rPr>
          <w:sz w:val="23"/>
        </w:rPr>
        <w:t>American Thoracic Society and the Centers for Disease Control and Prevention. Diagnostic standards and classification of tuberculosis in adults and children. Am J Respir Crit Care Med 2000; 161:</w:t>
      </w:r>
      <w:r>
        <w:rPr>
          <w:spacing w:val="-6"/>
          <w:sz w:val="23"/>
        </w:rPr>
        <w:t> </w:t>
      </w:r>
      <w:r>
        <w:rPr>
          <w:sz w:val="23"/>
        </w:rPr>
        <w:t>1376-95.</w:t>
      </w:r>
    </w:p>
    <w:p>
      <w:pPr>
        <w:pStyle w:val="ListParagraph"/>
        <w:numPr>
          <w:ilvl w:val="0"/>
          <w:numId w:val="20"/>
        </w:numPr>
        <w:tabs>
          <w:tab w:pos="927" w:val="left" w:leader="none"/>
        </w:tabs>
        <w:spacing w:line="225" w:lineRule="auto" w:before="7" w:after="0"/>
        <w:ind w:left="926" w:right="1363" w:hanging="403"/>
        <w:jc w:val="both"/>
        <w:rPr>
          <w:sz w:val="23"/>
        </w:rPr>
      </w:pPr>
      <w:r>
        <w:rPr>
          <w:sz w:val="23"/>
        </w:rPr>
        <w:t>Andreu J, Cáceres J, Pallisa E, et al. Radiological manifestations of pulmonary tuberculosis. Eur J Radiology 2004; 51:</w:t>
      </w:r>
      <w:r>
        <w:rPr>
          <w:spacing w:val="-6"/>
          <w:sz w:val="23"/>
        </w:rPr>
        <w:t> </w:t>
      </w:r>
      <w:r>
        <w:rPr>
          <w:sz w:val="23"/>
        </w:rPr>
        <w:t>139–49.</w:t>
      </w:r>
    </w:p>
    <w:p>
      <w:pPr>
        <w:pStyle w:val="ListParagraph"/>
        <w:numPr>
          <w:ilvl w:val="0"/>
          <w:numId w:val="20"/>
        </w:numPr>
        <w:tabs>
          <w:tab w:pos="927" w:val="left" w:leader="none"/>
        </w:tabs>
        <w:spacing w:line="228" w:lineRule="auto" w:before="1" w:after="0"/>
        <w:ind w:left="926" w:right="1361" w:hanging="403"/>
        <w:jc w:val="both"/>
        <w:rPr>
          <w:sz w:val="23"/>
        </w:rPr>
      </w:pPr>
      <w:r>
        <w:rPr>
          <w:sz w:val="23"/>
        </w:rPr>
        <w:t>Centers</w:t>
      </w:r>
      <w:r>
        <w:rPr>
          <w:spacing w:val="-7"/>
          <w:sz w:val="23"/>
        </w:rPr>
        <w:t> </w:t>
      </w:r>
      <w:r>
        <w:rPr>
          <w:sz w:val="23"/>
        </w:rPr>
        <w:t>for</w:t>
      </w:r>
      <w:r>
        <w:rPr>
          <w:spacing w:val="-8"/>
          <w:sz w:val="23"/>
        </w:rPr>
        <w:t> </w:t>
      </w:r>
      <w:r>
        <w:rPr>
          <w:sz w:val="23"/>
        </w:rPr>
        <w:t>Disease</w:t>
      </w:r>
      <w:r>
        <w:rPr>
          <w:spacing w:val="-6"/>
          <w:sz w:val="23"/>
        </w:rPr>
        <w:t> </w:t>
      </w:r>
      <w:r>
        <w:rPr>
          <w:sz w:val="23"/>
        </w:rPr>
        <w:t>Control</w:t>
      </w:r>
      <w:r>
        <w:rPr>
          <w:spacing w:val="-6"/>
          <w:sz w:val="23"/>
        </w:rPr>
        <w:t> </w:t>
      </w:r>
      <w:r>
        <w:rPr>
          <w:sz w:val="23"/>
        </w:rPr>
        <w:t>and</w:t>
      </w:r>
      <w:r>
        <w:rPr>
          <w:spacing w:val="-7"/>
          <w:sz w:val="23"/>
        </w:rPr>
        <w:t> </w:t>
      </w:r>
      <w:r>
        <w:rPr>
          <w:sz w:val="23"/>
        </w:rPr>
        <w:t>Prevention.</w:t>
      </w:r>
      <w:r>
        <w:rPr>
          <w:spacing w:val="-8"/>
          <w:sz w:val="23"/>
        </w:rPr>
        <w:t> </w:t>
      </w:r>
      <w:r>
        <w:rPr>
          <w:sz w:val="23"/>
        </w:rPr>
        <w:t>Controlling</w:t>
      </w:r>
      <w:r>
        <w:rPr>
          <w:spacing w:val="-6"/>
          <w:sz w:val="23"/>
        </w:rPr>
        <w:t> </w:t>
      </w:r>
      <w:r>
        <w:rPr>
          <w:sz w:val="23"/>
        </w:rPr>
        <w:t>tuberculosis</w:t>
      </w:r>
      <w:r>
        <w:rPr>
          <w:spacing w:val="-6"/>
          <w:sz w:val="23"/>
        </w:rPr>
        <w:t> </w:t>
      </w:r>
      <w:r>
        <w:rPr>
          <w:sz w:val="23"/>
        </w:rPr>
        <w:t>in</w:t>
      </w:r>
      <w:r>
        <w:rPr>
          <w:spacing w:val="-8"/>
          <w:sz w:val="23"/>
        </w:rPr>
        <w:t> </w:t>
      </w:r>
      <w:r>
        <w:rPr>
          <w:sz w:val="23"/>
        </w:rPr>
        <w:t>the</w:t>
      </w:r>
      <w:r>
        <w:rPr>
          <w:spacing w:val="-7"/>
          <w:sz w:val="23"/>
        </w:rPr>
        <w:t> </w:t>
      </w:r>
      <w:r>
        <w:rPr>
          <w:sz w:val="23"/>
        </w:rPr>
        <w:t>United States. Recommendations from the American Thoracic Society, CDC, and the Infectious Diseases Society of America. MMWR Morb Mortal Wkly Rep 2005; 54: No.</w:t>
      </w:r>
      <w:r>
        <w:rPr>
          <w:spacing w:val="-2"/>
          <w:sz w:val="23"/>
        </w:rPr>
        <w:t> </w:t>
      </w:r>
      <w:r>
        <w:rPr>
          <w:sz w:val="23"/>
        </w:rPr>
        <w:t>RR-12.</w:t>
      </w:r>
    </w:p>
    <w:p>
      <w:pPr>
        <w:pStyle w:val="ListParagraph"/>
        <w:numPr>
          <w:ilvl w:val="0"/>
          <w:numId w:val="20"/>
        </w:numPr>
        <w:tabs>
          <w:tab w:pos="927" w:val="left" w:leader="none"/>
        </w:tabs>
        <w:spacing w:line="225" w:lineRule="auto" w:before="0" w:after="0"/>
        <w:ind w:left="926" w:right="1364" w:hanging="403"/>
        <w:jc w:val="both"/>
        <w:rPr>
          <w:sz w:val="23"/>
        </w:rPr>
      </w:pPr>
      <w:r>
        <w:rPr>
          <w:sz w:val="23"/>
        </w:rPr>
        <w:t>Burrill J. Williams CJ. Bain G, et al. Tuberculosis: a radiologic review. RadioGraphics 2007; 27:</w:t>
      </w:r>
      <w:r>
        <w:rPr>
          <w:spacing w:val="-3"/>
          <w:sz w:val="23"/>
        </w:rPr>
        <w:t> </w:t>
      </w:r>
      <w:r>
        <w:rPr>
          <w:sz w:val="23"/>
        </w:rPr>
        <w:t>1255–73.</w:t>
      </w:r>
    </w:p>
    <w:p>
      <w:pPr>
        <w:pStyle w:val="ListParagraph"/>
        <w:numPr>
          <w:ilvl w:val="0"/>
          <w:numId w:val="20"/>
        </w:numPr>
        <w:tabs>
          <w:tab w:pos="927" w:val="left" w:leader="none"/>
        </w:tabs>
        <w:spacing w:line="228" w:lineRule="auto" w:before="0" w:after="0"/>
        <w:ind w:left="926" w:right="1360" w:hanging="402"/>
        <w:jc w:val="both"/>
        <w:rPr>
          <w:sz w:val="23"/>
        </w:rPr>
      </w:pPr>
      <w:r>
        <w:rPr>
          <w:sz w:val="23"/>
        </w:rPr>
        <w:t>Jeong YJ, Lee KS. Pulmonary tuberculosis: up-to-date imaging and management. AJR 2008; 191:</w:t>
      </w:r>
      <w:r>
        <w:rPr>
          <w:spacing w:val="-4"/>
          <w:sz w:val="23"/>
        </w:rPr>
        <w:t> </w:t>
      </w:r>
      <w:r>
        <w:rPr>
          <w:sz w:val="23"/>
        </w:rPr>
        <w:t>834–44.</w:t>
      </w:r>
    </w:p>
    <w:p>
      <w:pPr>
        <w:pStyle w:val="ListParagraph"/>
        <w:numPr>
          <w:ilvl w:val="0"/>
          <w:numId w:val="20"/>
        </w:numPr>
        <w:tabs>
          <w:tab w:pos="927" w:val="left" w:leader="none"/>
        </w:tabs>
        <w:spacing w:line="228" w:lineRule="auto" w:before="0" w:after="0"/>
        <w:ind w:left="926" w:right="1359" w:hanging="403"/>
        <w:jc w:val="both"/>
        <w:rPr>
          <w:sz w:val="23"/>
        </w:rPr>
      </w:pPr>
      <w:r>
        <w:rPr>
          <w:sz w:val="23"/>
        </w:rPr>
        <w:t>Lee</w:t>
      </w:r>
      <w:r>
        <w:rPr>
          <w:spacing w:val="-7"/>
          <w:sz w:val="23"/>
        </w:rPr>
        <w:t> </w:t>
      </w:r>
      <w:r>
        <w:rPr>
          <w:sz w:val="23"/>
        </w:rPr>
        <w:t>JJ,</w:t>
      </w:r>
      <w:r>
        <w:rPr>
          <w:spacing w:val="-6"/>
          <w:sz w:val="23"/>
        </w:rPr>
        <w:t> </w:t>
      </w:r>
      <w:r>
        <w:rPr>
          <w:sz w:val="23"/>
        </w:rPr>
        <w:t>Chong</w:t>
      </w:r>
      <w:r>
        <w:rPr>
          <w:spacing w:val="-5"/>
          <w:sz w:val="23"/>
        </w:rPr>
        <w:t> </w:t>
      </w:r>
      <w:r>
        <w:rPr>
          <w:sz w:val="23"/>
        </w:rPr>
        <w:t>PY,</w:t>
      </w:r>
      <w:r>
        <w:rPr>
          <w:spacing w:val="-6"/>
          <w:sz w:val="23"/>
        </w:rPr>
        <w:t> </w:t>
      </w:r>
      <w:r>
        <w:rPr>
          <w:sz w:val="23"/>
        </w:rPr>
        <w:t>Lin</w:t>
      </w:r>
      <w:r>
        <w:rPr>
          <w:spacing w:val="-6"/>
          <w:sz w:val="23"/>
        </w:rPr>
        <w:t> </w:t>
      </w:r>
      <w:r>
        <w:rPr>
          <w:sz w:val="23"/>
        </w:rPr>
        <w:t>CB,</w:t>
      </w:r>
      <w:r>
        <w:rPr>
          <w:spacing w:val="-6"/>
          <w:sz w:val="23"/>
        </w:rPr>
        <w:t> </w:t>
      </w:r>
      <w:r>
        <w:rPr>
          <w:sz w:val="23"/>
        </w:rPr>
        <w:t>et</w:t>
      </w:r>
      <w:r>
        <w:rPr>
          <w:spacing w:val="-5"/>
          <w:sz w:val="23"/>
        </w:rPr>
        <w:t> </w:t>
      </w:r>
      <w:r>
        <w:rPr>
          <w:sz w:val="23"/>
        </w:rPr>
        <w:t>al.</w:t>
      </w:r>
      <w:r>
        <w:rPr>
          <w:spacing w:val="-6"/>
          <w:sz w:val="23"/>
        </w:rPr>
        <w:t> </w:t>
      </w:r>
      <w:r>
        <w:rPr>
          <w:sz w:val="23"/>
        </w:rPr>
        <w:t>High</w:t>
      </w:r>
      <w:r>
        <w:rPr>
          <w:spacing w:val="-5"/>
          <w:sz w:val="23"/>
        </w:rPr>
        <w:t> </w:t>
      </w:r>
      <w:r>
        <w:rPr>
          <w:sz w:val="23"/>
        </w:rPr>
        <w:t>resolution</w:t>
      </w:r>
      <w:r>
        <w:rPr>
          <w:spacing w:val="-5"/>
          <w:sz w:val="23"/>
        </w:rPr>
        <w:t> </w:t>
      </w:r>
      <w:r>
        <w:rPr>
          <w:sz w:val="23"/>
        </w:rPr>
        <w:t>chest</w:t>
      </w:r>
      <w:r>
        <w:rPr>
          <w:spacing w:val="-5"/>
          <w:sz w:val="23"/>
        </w:rPr>
        <w:t> </w:t>
      </w:r>
      <w:r>
        <w:rPr>
          <w:sz w:val="23"/>
        </w:rPr>
        <w:t>CT</w:t>
      </w:r>
      <w:r>
        <w:rPr>
          <w:spacing w:val="-6"/>
          <w:sz w:val="23"/>
        </w:rPr>
        <w:t> </w:t>
      </w:r>
      <w:r>
        <w:rPr>
          <w:sz w:val="23"/>
        </w:rPr>
        <w:t>in</w:t>
      </w:r>
      <w:r>
        <w:rPr>
          <w:spacing w:val="-5"/>
          <w:sz w:val="23"/>
        </w:rPr>
        <w:t> </w:t>
      </w:r>
      <w:r>
        <w:rPr>
          <w:sz w:val="23"/>
        </w:rPr>
        <w:t>patients</w:t>
      </w:r>
      <w:r>
        <w:rPr>
          <w:spacing w:val="-5"/>
          <w:sz w:val="23"/>
        </w:rPr>
        <w:t> </w:t>
      </w:r>
      <w:r>
        <w:rPr>
          <w:sz w:val="23"/>
        </w:rPr>
        <w:t>with</w:t>
      </w:r>
      <w:r>
        <w:rPr>
          <w:spacing w:val="-5"/>
          <w:sz w:val="23"/>
        </w:rPr>
        <w:t> </w:t>
      </w:r>
      <w:r>
        <w:rPr>
          <w:sz w:val="23"/>
        </w:rPr>
        <w:t>pulmonary tuberculosis: characteristic findings before and after antituberculous therapy. Eur J Radiology 2008; 67:</w:t>
      </w:r>
      <w:r>
        <w:rPr>
          <w:spacing w:val="-3"/>
          <w:sz w:val="23"/>
        </w:rPr>
        <w:t> </w:t>
      </w:r>
      <w:r>
        <w:rPr>
          <w:sz w:val="23"/>
        </w:rPr>
        <w:t>100–4.</w:t>
      </w:r>
    </w:p>
    <w:p>
      <w:pPr>
        <w:pStyle w:val="ListParagraph"/>
        <w:numPr>
          <w:ilvl w:val="0"/>
          <w:numId w:val="20"/>
        </w:numPr>
        <w:tabs>
          <w:tab w:pos="927" w:val="left" w:leader="none"/>
        </w:tabs>
        <w:spacing w:line="223" w:lineRule="auto" w:before="0" w:after="0"/>
        <w:ind w:left="926" w:right="1360" w:hanging="402"/>
        <w:jc w:val="both"/>
        <w:rPr>
          <w:color w:val="FF0000"/>
          <w:sz w:val="23"/>
        </w:rPr>
      </w:pPr>
      <w:r>
        <w:rPr>
          <w:color w:val="FF0000"/>
          <w:sz w:val="23"/>
        </w:rPr>
        <w:t>Huang WL, Chi TL, Wu MH, Jou R. Performance assessment of the GenoType MTBDR</w:t>
      </w:r>
      <w:r>
        <w:rPr>
          <w:i/>
          <w:color w:val="FF0000"/>
          <w:sz w:val="24"/>
        </w:rPr>
        <w:t>sl </w:t>
      </w:r>
      <w:r>
        <w:rPr>
          <w:color w:val="FF0000"/>
          <w:sz w:val="23"/>
        </w:rPr>
        <w:t>test and DNA sequencing for detection of second-line and ethambutol </w:t>
      </w:r>
      <w:r>
        <w:rPr>
          <w:color w:val="FF0000"/>
          <w:spacing w:val="-3"/>
          <w:sz w:val="23"/>
        </w:rPr>
        <w:t>drug resistance among patients infected with multidrug-resistant Mycobacterium </w:t>
      </w:r>
      <w:r>
        <w:rPr>
          <w:color w:val="FF0000"/>
          <w:sz w:val="23"/>
        </w:rPr>
        <w:t>tuberculosis. J Clin Microbiol</w:t>
      </w:r>
      <w:r>
        <w:rPr>
          <w:color w:val="FF0000"/>
          <w:spacing w:val="-3"/>
          <w:sz w:val="23"/>
        </w:rPr>
        <w:t> </w:t>
      </w:r>
      <w:r>
        <w:rPr>
          <w:color w:val="FF0000"/>
          <w:sz w:val="23"/>
        </w:rPr>
        <w:t>2011;49:2502-8.</w:t>
      </w:r>
    </w:p>
    <w:p>
      <w:pPr>
        <w:pStyle w:val="ListParagraph"/>
        <w:numPr>
          <w:ilvl w:val="0"/>
          <w:numId w:val="20"/>
        </w:numPr>
        <w:tabs>
          <w:tab w:pos="926" w:val="left" w:leader="none"/>
        </w:tabs>
        <w:spacing w:line="228" w:lineRule="auto" w:before="0" w:after="0"/>
        <w:ind w:left="925" w:right="1362" w:hanging="403"/>
        <w:jc w:val="both"/>
        <w:rPr>
          <w:sz w:val="23"/>
        </w:rPr>
      </w:pPr>
      <w:r>
        <w:rPr>
          <w:sz w:val="23"/>
        </w:rPr>
        <w:t>Tuberculosis Coalition for Technical Assistance. International standards for tuberculosis care. 3</w:t>
      </w:r>
      <w:r>
        <w:rPr>
          <w:sz w:val="23"/>
          <w:vertAlign w:val="superscript"/>
        </w:rPr>
        <w:t>rd</w:t>
      </w:r>
      <w:r>
        <w:rPr>
          <w:sz w:val="23"/>
          <w:vertAlign w:val="baseline"/>
        </w:rPr>
        <w:t> ed,</w:t>
      </w:r>
      <w:r>
        <w:rPr>
          <w:spacing w:val="-24"/>
          <w:sz w:val="23"/>
          <w:vertAlign w:val="baseline"/>
        </w:rPr>
        <w:t> </w:t>
      </w:r>
      <w:r>
        <w:rPr>
          <w:sz w:val="23"/>
          <w:vertAlign w:val="baseline"/>
        </w:rPr>
        <w:t>2014.</w:t>
      </w:r>
    </w:p>
    <w:p>
      <w:pPr>
        <w:spacing w:line="386" w:lineRule="exact" w:before="0"/>
        <w:ind w:left="926" w:right="0" w:firstLine="0"/>
        <w:jc w:val="left"/>
        <w:rPr>
          <w:sz w:val="23"/>
        </w:rPr>
      </w:pPr>
      <w:hyperlink r:id="rId20">
        <w:r>
          <w:rPr>
            <w:sz w:val="23"/>
            <w:u w:val="single"/>
          </w:rPr>
          <w:t>http://www.who.int/tb/publications/ISTC_3rdEd.pdf.</w:t>
        </w:r>
      </w:hyperlink>
    </w:p>
    <w:p>
      <w:pPr>
        <w:pStyle w:val="ListParagraph"/>
        <w:numPr>
          <w:ilvl w:val="0"/>
          <w:numId w:val="20"/>
        </w:numPr>
        <w:tabs>
          <w:tab w:pos="899" w:val="left" w:leader="none"/>
        </w:tabs>
        <w:spacing w:line="225" w:lineRule="auto" w:before="0" w:after="0"/>
        <w:ind w:left="898" w:right="1356" w:hanging="376"/>
        <w:jc w:val="left"/>
        <w:rPr>
          <w:sz w:val="23"/>
        </w:rPr>
      </w:pPr>
      <w:r>
        <w:rPr>
          <w:spacing w:val="-7"/>
          <w:sz w:val="23"/>
        </w:rPr>
        <w:t>Xpert </w:t>
      </w:r>
      <w:r>
        <w:rPr>
          <w:spacing w:val="-5"/>
          <w:sz w:val="23"/>
        </w:rPr>
        <w:t>MTB/</w:t>
      </w:r>
      <w:r>
        <w:rPr>
          <w:spacing w:val="-5"/>
          <w:sz w:val="24"/>
        </w:rPr>
        <w:t>RMP </w:t>
      </w:r>
      <w:r>
        <w:rPr>
          <w:spacing w:val="-9"/>
          <w:sz w:val="23"/>
        </w:rPr>
        <w:t>implementation </w:t>
      </w:r>
      <w:r>
        <w:rPr>
          <w:spacing w:val="-8"/>
          <w:sz w:val="23"/>
        </w:rPr>
        <w:t>manual: technical </w:t>
      </w:r>
      <w:r>
        <w:rPr>
          <w:spacing w:val="-6"/>
          <w:sz w:val="23"/>
        </w:rPr>
        <w:t>and </w:t>
      </w:r>
      <w:r>
        <w:rPr>
          <w:spacing w:val="-10"/>
          <w:sz w:val="23"/>
        </w:rPr>
        <w:t>operational‘how-to’: </w:t>
      </w:r>
      <w:r>
        <w:rPr>
          <w:spacing w:val="-3"/>
          <w:sz w:val="23"/>
        </w:rPr>
        <w:t>practical considerations Geneva, World </w:t>
      </w:r>
      <w:r>
        <w:rPr>
          <w:sz w:val="23"/>
        </w:rPr>
        <w:t>Health </w:t>
      </w:r>
      <w:r>
        <w:rPr>
          <w:spacing w:val="-3"/>
          <w:sz w:val="23"/>
        </w:rPr>
        <w:t>Organization, </w:t>
      </w:r>
      <w:r>
        <w:rPr>
          <w:sz w:val="23"/>
        </w:rPr>
        <w:t>2014 </w:t>
      </w:r>
      <w:r>
        <w:rPr>
          <w:spacing w:val="-5"/>
          <w:sz w:val="23"/>
        </w:rPr>
        <w:t>(WHO/HTM/TB/ </w:t>
      </w:r>
      <w:r>
        <w:rPr>
          <w:spacing w:val="-4"/>
          <w:sz w:val="23"/>
        </w:rPr>
        <w:t>2014.1)</w:t>
      </w:r>
      <w:hyperlink r:id="rId21">
        <w:r>
          <w:rPr>
            <w:spacing w:val="-4"/>
            <w:sz w:val="23"/>
            <w:u w:val="single"/>
          </w:rPr>
          <w:t> </w:t>
        </w:r>
        <w:r>
          <w:rPr>
            <w:sz w:val="23"/>
            <w:u w:val="single"/>
          </w:rPr>
          <w:t>http://www.who.int/iris/bitstream/10665/112469/1/9789241506700_eng.pdf?ua</w:t>
        </w:r>
      </w:hyperlink>
    </w:p>
    <w:p>
      <w:pPr>
        <w:spacing w:line="399" w:lineRule="exact" w:before="0"/>
        <w:ind w:left="898" w:right="0" w:firstLine="0"/>
        <w:jc w:val="left"/>
        <w:rPr>
          <w:sz w:val="23"/>
        </w:rPr>
      </w:pPr>
      <w:hyperlink r:id="rId21">
        <w:r>
          <w:rPr>
            <w:sz w:val="23"/>
            <w:u w:val="single"/>
          </w:rPr>
          <w:t>=1.</w:t>
        </w:r>
      </w:hyperlink>
    </w:p>
    <w:p>
      <w:pPr>
        <w:pStyle w:val="ListParagraph"/>
        <w:numPr>
          <w:ilvl w:val="0"/>
          <w:numId w:val="20"/>
        </w:numPr>
        <w:tabs>
          <w:tab w:pos="927" w:val="left" w:leader="none"/>
        </w:tabs>
        <w:spacing w:line="228" w:lineRule="auto" w:before="3" w:after="0"/>
        <w:ind w:left="926" w:right="1362" w:hanging="402"/>
        <w:jc w:val="both"/>
        <w:rPr>
          <w:color w:val="FF0000"/>
          <w:sz w:val="23"/>
        </w:rPr>
      </w:pPr>
      <w:r>
        <w:rPr>
          <w:color w:val="FF0000"/>
          <w:sz w:val="23"/>
        </w:rPr>
        <w:t>Lewinsohn DM, Leonard MK, LoBue PA, et al. Official American Thoracic Society/ </w:t>
      </w:r>
      <w:r>
        <w:rPr>
          <w:color w:val="FF0000"/>
          <w:spacing w:val="-3"/>
          <w:sz w:val="23"/>
        </w:rPr>
        <w:t>Infectious Diseases Society </w:t>
      </w:r>
      <w:r>
        <w:rPr>
          <w:color w:val="FF0000"/>
          <w:sz w:val="23"/>
        </w:rPr>
        <w:t>of </w:t>
      </w:r>
      <w:r>
        <w:rPr>
          <w:color w:val="FF0000"/>
          <w:spacing w:val="-3"/>
          <w:sz w:val="23"/>
        </w:rPr>
        <w:t>America/Centers </w:t>
      </w:r>
      <w:r>
        <w:rPr>
          <w:color w:val="FF0000"/>
          <w:sz w:val="23"/>
        </w:rPr>
        <w:t>for </w:t>
      </w:r>
      <w:r>
        <w:rPr>
          <w:color w:val="FF0000"/>
          <w:spacing w:val="-3"/>
          <w:sz w:val="23"/>
        </w:rPr>
        <w:t>Disease Control </w:t>
      </w:r>
      <w:r>
        <w:rPr>
          <w:color w:val="FF0000"/>
          <w:sz w:val="23"/>
        </w:rPr>
        <w:t>and </w:t>
      </w:r>
      <w:r>
        <w:rPr>
          <w:color w:val="FF0000"/>
          <w:spacing w:val="-3"/>
          <w:sz w:val="23"/>
        </w:rPr>
        <w:t>Prevention </w:t>
      </w:r>
      <w:r>
        <w:rPr>
          <w:color w:val="FF0000"/>
          <w:sz w:val="23"/>
        </w:rPr>
        <w:t>Clinical Practice Guidelines: Diagnosis of Tuberculosis in Adults and Children. Clin Infect Dis</w:t>
      </w:r>
      <w:r>
        <w:rPr>
          <w:color w:val="FF0000"/>
          <w:spacing w:val="-2"/>
          <w:sz w:val="23"/>
        </w:rPr>
        <w:t> </w:t>
      </w:r>
      <w:r>
        <w:rPr>
          <w:color w:val="FF0000"/>
          <w:sz w:val="23"/>
        </w:rPr>
        <w:t>2017;64:e1-e33.</w:t>
      </w:r>
    </w:p>
    <w:p>
      <w:pPr>
        <w:pStyle w:val="ListParagraph"/>
        <w:numPr>
          <w:ilvl w:val="0"/>
          <w:numId w:val="20"/>
        </w:numPr>
        <w:tabs>
          <w:tab w:pos="927" w:val="left" w:leader="none"/>
        </w:tabs>
        <w:spacing w:line="228" w:lineRule="auto" w:before="0" w:after="0"/>
        <w:ind w:left="926" w:right="1360" w:hanging="402"/>
        <w:jc w:val="both"/>
        <w:rPr>
          <w:color w:val="FF0000"/>
          <w:sz w:val="23"/>
        </w:rPr>
      </w:pPr>
      <w:r>
        <w:rPr>
          <w:color w:val="FF0000"/>
          <w:sz w:val="23"/>
        </w:rPr>
        <w:t>Chiang TY, Fan SY, Jou R, Performance of an Xpert-based diagnostic algorithm for rapid detecting drug-resistant tuberculosis among high-risk populations in a low incident setting. , PLoS One</w:t>
      </w:r>
      <w:r>
        <w:rPr>
          <w:color w:val="FF0000"/>
          <w:spacing w:val="-6"/>
          <w:sz w:val="23"/>
        </w:rPr>
        <w:t> </w:t>
      </w:r>
      <w:r>
        <w:rPr>
          <w:color w:val="FF0000"/>
          <w:sz w:val="23"/>
        </w:rPr>
        <w:t>2018;13:e0200755</w:t>
      </w:r>
    </w:p>
    <w:p>
      <w:pPr>
        <w:spacing w:after="0" w:line="228" w:lineRule="auto"/>
        <w:jc w:val="both"/>
        <w:rPr>
          <w:sz w:val="23"/>
        </w:rPr>
        <w:sectPr>
          <w:pgSz w:w="12250" w:h="17190"/>
          <w:pgMar w:header="0" w:footer="828" w:top="1440" w:bottom="1020" w:left="1200" w:right="0"/>
        </w:sectPr>
      </w:pPr>
    </w:p>
    <w:p>
      <w:pPr>
        <w:pStyle w:val="ListParagraph"/>
        <w:numPr>
          <w:ilvl w:val="0"/>
          <w:numId w:val="20"/>
        </w:numPr>
        <w:tabs>
          <w:tab w:pos="927" w:val="left" w:leader="none"/>
        </w:tabs>
        <w:spacing w:line="228" w:lineRule="auto" w:before="32" w:after="0"/>
        <w:ind w:left="926" w:right="1359" w:hanging="403"/>
        <w:jc w:val="both"/>
        <w:rPr>
          <w:color w:val="FF0000"/>
          <w:sz w:val="23"/>
        </w:rPr>
      </w:pPr>
      <w:r>
        <w:rPr/>
        <w:pict>
          <v:group style="position:absolute;margin-left:570pt;margin-top:.071089pt;width:42.4pt;height:128.1pt;mso-position-horizontal-relative:page;mso-position-vertical-relative:paragraph;z-index:251681792" coordorigin="11400,1" coordsize="848,2562">
            <v:shape style="position:absolute;left:11400;top:1;width:848;height:2562" coordorigin="11400,1" coordsize="848,2562" path="m12227,1l11565,1,11501,14,11448,50,11413,102,11400,167,11400,2398,11413,2462,11448,2515,11501,2550,11565,2563,12227,2563,12247,2559,12247,6,12227,1xe" filled="true" fillcolor="#a6a6a6" stroked="false">
              <v:path arrowok="t"/>
              <v:fill type="solid"/>
            </v:shape>
            <v:shape style="position:absolute;left:11400;top:1;width:848;height:2562" type="#_x0000_t202" filled="false" stroked="false">
              <v:textbox inset="0,0,0,0">
                <w:txbxContent>
                  <w:p>
                    <w:pPr>
                      <w:spacing w:line="146" w:lineRule="auto" w:before="127"/>
                      <w:ind w:left="136" w:right="488" w:firstLine="0"/>
                      <w:jc w:val="both"/>
                      <w:rPr>
                        <w:sz w:val="22"/>
                      </w:rPr>
                    </w:pPr>
                    <w:r>
                      <w:rPr>
                        <w:sz w:val="22"/>
                      </w:rPr>
                      <w:t>第三章</w:t>
                    </w:r>
                  </w:p>
                  <w:p>
                    <w:pPr>
                      <w:spacing w:line="141" w:lineRule="auto" w:before="175"/>
                      <w:ind w:left="136" w:right="488" w:firstLine="0"/>
                      <w:jc w:val="both"/>
                      <w:rPr>
                        <w:sz w:val="22"/>
                      </w:rPr>
                    </w:pPr>
                    <w:r>
                      <w:rPr>
                        <w:sz w:val="22"/>
                      </w:rPr>
                      <w:t>結核病的診斷</w:t>
                    </w:r>
                  </w:p>
                </w:txbxContent>
              </v:textbox>
              <w10:wrap type="none"/>
            </v:shape>
            <w10:wrap type="none"/>
          </v:group>
        </w:pict>
      </w:r>
      <w:r>
        <w:rPr>
          <w:color w:val="FF0000"/>
          <w:sz w:val="23"/>
        </w:rPr>
        <w:t>Line probe assays for drug resistant tuberculosis detection: Interpretation and reporting guide for laboratory staff and clinicians, Global Laboratory Initiative, 2018.</w:t>
      </w:r>
    </w:p>
    <w:p>
      <w:pPr>
        <w:spacing w:line="391" w:lineRule="exact" w:before="0"/>
        <w:ind w:left="926" w:right="0" w:firstLine="0"/>
        <w:jc w:val="left"/>
        <w:rPr>
          <w:sz w:val="23"/>
        </w:rPr>
      </w:pPr>
      <w:hyperlink r:id="rId22">
        <w:r>
          <w:rPr>
            <w:sz w:val="23"/>
            <w:u w:val="single"/>
          </w:rPr>
          <w:t>http://www.stoptb.org/wg/gli/assets/documents/LPA_test_web_ready.pdf</w:t>
        </w:r>
      </w:hyperlink>
    </w:p>
    <w:p>
      <w:pPr>
        <w:pStyle w:val="ListParagraph"/>
        <w:numPr>
          <w:ilvl w:val="0"/>
          <w:numId w:val="20"/>
        </w:numPr>
        <w:tabs>
          <w:tab w:pos="927" w:val="left" w:leader="none"/>
        </w:tabs>
        <w:spacing w:line="228" w:lineRule="auto" w:before="4" w:after="0"/>
        <w:ind w:left="926" w:right="1360" w:hanging="403"/>
        <w:jc w:val="both"/>
        <w:rPr>
          <w:color w:val="FF0000"/>
          <w:sz w:val="23"/>
        </w:rPr>
      </w:pPr>
      <w:r>
        <w:rPr>
          <w:color w:val="FF0000"/>
          <w:sz w:val="23"/>
        </w:rPr>
        <w:t>Technical report on critical concentrations for drug susceptibility testing of medicines used in the treatment of drug-resistant tuberculosis, Geneva, World Health organization,</w:t>
      </w:r>
      <w:r>
        <w:rPr>
          <w:color w:val="FF0000"/>
          <w:spacing w:val="-3"/>
          <w:sz w:val="23"/>
        </w:rPr>
        <w:t> </w:t>
      </w:r>
      <w:r>
        <w:rPr>
          <w:color w:val="FF0000"/>
          <w:sz w:val="23"/>
        </w:rPr>
        <w:t>2018.</w:t>
      </w:r>
    </w:p>
    <w:p>
      <w:pPr>
        <w:spacing w:line="391" w:lineRule="exact" w:before="0"/>
        <w:ind w:left="938" w:right="0" w:firstLine="0"/>
        <w:jc w:val="left"/>
        <w:rPr>
          <w:sz w:val="23"/>
        </w:rPr>
      </w:pPr>
      <w:hyperlink r:id="rId23">
        <w:r>
          <w:rPr>
            <w:sz w:val="23"/>
            <w:u w:val="single"/>
          </w:rPr>
          <w:t>https://www.who.int/publications/i/item/WHO-CDS-TB-2018.5</w:t>
        </w:r>
      </w:hyperlink>
    </w:p>
    <w:p>
      <w:pPr>
        <w:pStyle w:val="ListParagraph"/>
        <w:numPr>
          <w:ilvl w:val="0"/>
          <w:numId w:val="20"/>
        </w:numPr>
        <w:tabs>
          <w:tab w:pos="920" w:val="left" w:leader="none"/>
        </w:tabs>
        <w:spacing w:line="225" w:lineRule="auto" w:before="7" w:after="0"/>
        <w:ind w:left="919" w:right="1397" w:hanging="396"/>
        <w:jc w:val="left"/>
        <w:rPr>
          <w:sz w:val="23"/>
        </w:rPr>
      </w:pPr>
      <w:r>
        <w:rPr>
          <w:color w:val="FF0000"/>
          <w:spacing w:val="-3"/>
          <w:sz w:val="23"/>
        </w:rPr>
        <w:t>Technical manual </w:t>
      </w:r>
      <w:r>
        <w:rPr>
          <w:color w:val="FF0000"/>
          <w:sz w:val="23"/>
        </w:rPr>
        <w:t>for </w:t>
      </w:r>
      <w:r>
        <w:rPr>
          <w:color w:val="FF0000"/>
          <w:spacing w:val="-3"/>
          <w:sz w:val="23"/>
        </w:rPr>
        <w:t>drug susceptibility </w:t>
      </w:r>
      <w:r>
        <w:rPr>
          <w:color w:val="FF0000"/>
          <w:sz w:val="23"/>
        </w:rPr>
        <w:t>testing of </w:t>
      </w:r>
      <w:r>
        <w:rPr>
          <w:color w:val="FF0000"/>
          <w:spacing w:val="-3"/>
          <w:sz w:val="23"/>
        </w:rPr>
        <w:t>medicines </w:t>
      </w:r>
      <w:r>
        <w:rPr>
          <w:color w:val="FF0000"/>
          <w:sz w:val="23"/>
        </w:rPr>
        <w:t>used in the </w:t>
      </w:r>
      <w:r>
        <w:rPr>
          <w:color w:val="FF0000"/>
          <w:spacing w:val="-3"/>
          <w:sz w:val="23"/>
        </w:rPr>
        <w:t>treatment </w:t>
      </w:r>
      <w:r>
        <w:rPr>
          <w:color w:val="FF0000"/>
          <w:sz w:val="23"/>
        </w:rPr>
        <w:t>of tuberculosis, Geneva, World Health organization, 2018.</w:t>
      </w:r>
      <w:hyperlink r:id="rId24">
        <w:r>
          <w:rPr>
            <w:sz w:val="23"/>
            <w:u w:val="single"/>
          </w:rPr>
          <w:t> https://www.who.int/publications/i/item/9789241514842</w:t>
        </w:r>
      </w:hyperlink>
    </w:p>
    <w:p>
      <w:pPr>
        <w:pStyle w:val="ListParagraph"/>
        <w:numPr>
          <w:ilvl w:val="0"/>
          <w:numId w:val="20"/>
        </w:numPr>
        <w:tabs>
          <w:tab w:pos="927" w:val="left" w:leader="none"/>
        </w:tabs>
        <w:spacing w:line="225" w:lineRule="auto" w:before="0" w:after="0"/>
        <w:ind w:left="926" w:right="1362" w:hanging="402"/>
        <w:jc w:val="both"/>
        <w:rPr>
          <w:sz w:val="23"/>
        </w:rPr>
      </w:pPr>
      <w:r>
        <w:rPr>
          <w:sz w:val="23"/>
        </w:rPr>
        <w:t>Catalogue of mutations in </w:t>
      </w:r>
      <w:r>
        <w:rPr>
          <w:i/>
          <w:sz w:val="24"/>
        </w:rPr>
        <w:t>Mycobacterium tuberculosis </w:t>
      </w:r>
      <w:r>
        <w:rPr>
          <w:sz w:val="23"/>
        </w:rPr>
        <w:t>complex and their association with drug resistance, </w:t>
      </w:r>
      <w:r>
        <w:rPr>
          <w:color w:val="FF0000"/>
          <w:sz w:val="23"/>
        </w:rPr>
        <w:t>Geneva, World Health organization, 2021</w:t>
      </w:r>
      <w:r>
        <w:rPr>
          <w:sz w:val="23"/>
        </w:rPr>
        <w:t>.</w:t>
      </w:r>
      <w:hyperlink r:id="rId25">
        <w:r>
          <w:rPr>
            <w:sz w:val="23"/>
            <w:u w:val="single"/>
          </w:rPr>
          <w:t> https://www.who.int/publications/i/item/9789240028173</w:t>
        </w:r>
      </w:hyperlink>
    </w:p>
    <w:p>
      <w:pPr>
        <w:pStyle w:val="ListParagraph"/>
        <w:numPr>
          <w:ilvl w:val="0"/>
          <w:numId w:val="20"/>
        </w:numPr>
        <w:tabs>
          <w:tab w:pos="927" w:val="left" w:leader="none"/>
        </w:tabs>
        <w:spacing w:line="225" w:lineRule="auto" w:before="0" w:after="0"/>
        <w:ind w:left="925" w:right="1360" w:hanging="402"/>
        <w:jc w:val="both"/>
        <w:rPr>
          <w:sz w:val="23"/>
        </w:rPr>
      </w:pPr>
      <w:r>
        <w:rPr>
          <w:sz w:val="23"/>
        </w:rPr>
        <w:t>WHO Consolidated Guidelines on Tuberculosis, Module 4: Treatment - Drug- Resistant Tuberculosis Treatment. </w:t>
      </w:r>
      <w:r>
        <w:rPr>
          <w:color w:val="FF0000"/>
          <w:sz w:val="23"/>
        </w:rPr>
        <w:t>Geneva, World Health organization, 2020.</w:t>
      </w:r>
      <w:hyperlink r:id="rId17">
        <w:r>
          <w:rPr>
            <w:sz w:val="23"/>
            <w:u w:val="single"/>
          </w:rPr>
          <w:t> https://www.who.int/publications/i/item/9789240007048</w:t>
        </w:r>
      </w:hyperlink>
    </w:p>
    <w:p>
      <w:pPr>
        <w:pStyle w:val="ListParagraph"/>
        <w:numPr>
          <w:ilvl w:val="0"/>
          <w:numId w:val="20"/>
        </w:numPr>
        <w:tabs>
          <w:tab w:pos="927" w:val="left" w:leader="none"/>
        </w:tabs>
        <w:spacing w:line="225" w:lineRule="auto" w:before="4" w:after="0"/>
        <w:ind w:left="926" w:right="1362" w:hanging="403"/>
        <w:jc w:val="both"/>
        <w:rPr>
          <w:sz w:val="23"/>
        </w:rPr>
      </w:pPr>
      <w:r>
        <w:rPr>
          <w:sz w:val="23"/>
        </w:rPr>
        <w:t>WHO consolidated guidelines on tuberculosis. Module 3: Diagnosis - Rapid diagnostics for tuberculosis detection, 2021 update. Geneva, World Health organization, 2021.</w:t>
      </w:r>
      <w:r>
        <w:rPr>
          <w:spacing w:val="-9"/>
          <w:sz w:val="23"/>
        </w:rPr>
        <w:t> </w:t>
      </w:r>
      <w:hyperlink r:id="rId26">
        <w:r>
          <w:rPr>
            <w:sz w:val="23"/>
            <w:u w:val="single"/>
          </w:rPr>
          <w:t>https://www.who.int/publications/i/item/9789240029415</w:t>
        </w:r>
      </w:hyperlink>
    </w:p>
    <w:p>
      <w:pPr>
        <w:spacing w:after="0" w:line="225" w:lineRule="auto"/>
        <w:jc w:val="both"/>
        <w:rPr>
          <w:sz w:val="23"/>
        </w:rPr>
        <w:sectPr>
          <w:pgSz w:w="12250" w:h="17190"/>
          <w:pgMar w:header="0" w:footer="828" w:top="1460" w:bottom="1020" w:left="1200" w:right="0"/>
        </w:sectPr>
      </w:pPr>
    </w:p>
    <w:p>
      <w:pPr>
        <w:pStyle w:val="Heading6"/>
        <w:spacing w:before="9"/>
        <w:ind w:left="1819"/>
      </w:pPr>
      <w:r>
        <w:rPr/>
        <w:t>表 3-1 核酸增幅檢驗(nucleic acid amplification test)</w:t>
      </w:r>
    </w:p>
    <w:p>
      <w:pPr>
        <w:pStyle w:val="BodyText"/>
        <w:spacing w:before="10"/>
        <w:rPr>
          <w:b/>
          <w:sz w:val="3"/>
        </w:rPr>
      </w:pPr>
    </w:p>
    <w:tbl>
      <w:tblPr>
        <w:tblW w:w="0" w:type="auto"/>
        <w:jc w:val="left"/>
        <w:tblInd w:w="6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06"/>
      </w:tblGrid>
      <w:tr>
        <w:trPr>
          <w:trHeight w:val="437" w:hRule="atLeast"/>
        </w:trPr>
        <w:tc>
          <w:tcPr>
            <w:tcW w:w="8606" w:type="dxa"/>
            <w:tcBorders>
              <w:top w:val="single" w:sz="4" w:space="0" w:color="000000"/>
            </w:tcBorders>
            <w:shd w:val="clear" w:color="auto" w:fill="F1F1F1"/>
          </w:tcPr>
          <w:p>
            <w:pPr>
              <w:pStyle w:val="TableParagraph"/>
              <w:spacing w:line="398" w:lineRule="exact" w:before="20"/>
              <w:ind w:left="115"/>
              <w:rPr>
                <w:sz w:val="24"/>
              </w:rPr>
            </w:pPr>
            <w:r>
              <w:rPr>
                <w:sz w:val="24"/>
              </w:rPr>
              <w:t>1.重要性</w:t>
            </w:r>
          </w:p>
        </w:tc>
      </w:tr>
      <w:tr>
        <w:trPr>
          <w:trHeight w:val="460" w:hRule="atLeast"/>
        </w:trPr>
        <w:tc>
          <w:tcPr>
            <w:tcW w:w="8606" w:type="dxa"/>
          </w:tcPr>
          <w:p>
            <w:pPr>
              <w:pStyle w:val="TableParagraph"/>
              <w:spacing w:line="420" w:lineRule="exact" w:before="20"/>
              <w:ind w:left="377"/>
              <w:rPr>
                <w:sz w:val="24"/>
              </w:rPr>
            </w:pPr>
            <w:r>
              <w:rPr>
                <w:sz w:val="24"/>
              </w:rPr>
              <w:t>肺結核的標準診斷步驟</w:t>
            </w:r>
          </w:p>
        </w:tc>
      </w:tr>
      <w:tr>
        <w:trPr>
          <w:trHeight w:val="425" w:hRule="atLeast"/>
        </w:trPr>
        <w:tc>
          <w:tcPr>
            <w:tcW w:w="8606" w:type="dxa"/>
          </w:tcPr>
          <w:p>
            <w:pPr>
              <w:pStyle w:val="TableParagraph"/>
              <w:tabs>
                <w:tab w:pos="8605" w:val="left" w:leader="none"/>
              </w:tabs>
              <w:spacing w:line="405" w:lineRule="exact"/>
              <w:ind w:left="7"/>
              <w:rPr>
                <w:sz w:val="24"/>
              </w:rPr>
            </w:pPr>
            <w:r>
              <w:rPr>
                <w:sz w:val="24"/>
                <w:shd w:fill="F1F1F1" w:color="auto" w:val="clear"/>
              </w:rPr>
              <w:t> </w:t>
            </w:r>
            <w:r>
              <w:rPr>
                <w:spacing w:val="-12"/>
                <w:sz w:val="24"/>
                <w:shd w:fill="F1F1F1" w:color="auto" w:val="clear"/>
              </w:rPr>
              <w:t> </w:t>
            </w:r>
            <w:r>
              <w:rPr>
                <w:sz w:val="24"/>
                <w:shd w:fill="F1F1F1" w:color="auto" w:val="clear"/>
              </w:rPr>
              <w:t>2.檢驗時機</w:t>
              <w:tab/>
            </w:r>
          </w:p>
        </w:tc>
      </w:tr>
      <w:tr>
        <w:trPr>
          <w:trHeight w:val="886" w:hRule="atLeast"/>
        </w:trPr>
        <w:tc>
          <w:tcPr>
            <w:tcW w:w="8606" w:type="dxa"/>
          </w:tcPr>
          <w:p>
            <w:pPr>
              <w:pStyle w:val="TableParagraph"/>
              <w:numPr>
                <w:ilvl w:val="0"/>
                <w:numId w:val="21"/>
              </w:numPr>
              <w:tabs>
                <w:tab w:pos="744" w:val="left" w:leader="none"/>
              </w:tabs>
              <w:spacing w:line="434" w:lineRule="exact" w:before="6" w:after="0"/>
              <w:ind w:left="743" w:right="0" w:hanging="414"/>
              <w:jc w:val="left"/>
              <w:rPr>
                <w:sz w:val="16"/>
              </w:rPr>
            </w:pPr>
            <w:r>
              <w:rPr>
                <w:sz w:val="24"/>
              </w:rPr>
              <w:t>臨床表現或影像變化懷疑為肺結核 </w:t>
            </w:r>
            <w:r>
              <w:rPr>
                <w:position w:val="11"/>
                <w:sz w:val="16"/>
              </w:rPr>
              <w:t>1</w:t>
            </w:r>
          </w:p>
          <w:p>
            <w:pPr>
              <w:pStyle w:val="TableParagraph"/>
              <w:numPr>
                <w:ilvl w:val="0"/>
                <w:numId w:val="21"/>
              </w:numPr>
              <w:tabs>
                <w:tab w:pos="744" w:val="left" w:leader="none"/>
              </w:tabs>
              <w:spacing w:line="427" w:lineRule="exact" w:before="0" w:after="0"/>
              <w:ind w:left="743" w:right="0" w:hanging="414"/>
              <w:jc w:val="left"/>
              <w:rPr>
                <w:sz w:val="24"/>
              </w:rPr>
            </w:pPr>
            <w:r>
              <w:rPr>
                <w:spacing w:val="-4"/>
                <w:sz w:val="24"/>
              </w:rPr>
              <w:t>塗片耐酸性染色鏡檢陽性，但無法區分為結核分枝桿菌或非結核分枝桿菌</w:t>
            </w:r>
          </w:p>
        </w:tc>
      </w:tr>
      <w:tr>
        <w:trPr>
          <w:trHeight w:val="459" w:hRule="atLeast"/>
        </w:trPr>
        <w:tc>
          <w:tcPr>
            <w:tcW w:w="8606" w:type="dxa"/>
            <w:shd w:val="clear" w:color="auto" w:fill="F1F1F1"/>
          </w:tcPr>
          <w:p>
            <w:pPr>
              <w:pStyle w:val="TableParagraph"/>
              <w:spacing w:line="418" w:lineRule="exact" w:before="21"/>
              <w:ind w:left="115"/>
              <w:rPr>
                <w:sz w:val="16"/>
              </w:rPr>
            </w:pPr>
            <w:r>
              <w:rPr>
                <w:sz w:val="24"/>
              </w:rPr>
              <w:t>3.判讀原則 </w:t>
            </w:r>
            <w:r>
              <w:rPr>
                <w:position w:val="11"/>
                <w:sz w:val="16"/>
              </w:rPr>
              <w:t>2</w:t>
            </w:r>
          </w:p>
        </w:tc>
      </w:tr>
      <w:tr>
        <w:trPr>
          <w:trHeight w:val="1730" w:hRule="atLeast"/>
        </w:trPr>
        <w:tc>
          <w:tcPr>
            <w:tcW w:w="8606" w:type="dxa"/>
            <w:tcBorders>
              <w:bottom w:val="single" w:sz="4" w:space="0" w:color="000000"/>
            </w:tcBorders>
          </w:tcPr>
          <w:p>
            <w:pPr>
              <w:pStyle w:val="TableParagraph"/>
              <w:numPr>
                <w:ilvl w:val="0"/>
                <w:numId w:val="22"/>
              </w:numPr>
              <w:tabs>
                <w:tab w:pos="684" w:val="left" w:leader="none"/>
              </w:tabs>
              <w:spacing w:line="431" w:lineRule="exact" w:before="1" w:after="0"/>
              <w:ind w:left="683" w:right="0" w:hanging="361"/>
              <w:jc w:val="left"/>
              <w:rPr>
                <w:sz w:val="24"/>
              </w:rPr>
            </w:pPr>
            <w:r>
              <w:rPr>
                <w:sz w:val="24"/>
              </w:rPr>
              <w:t>AFB</w:t>
            </w:r>
            <w:r>
              <w:rPr>
                <w:spacing w:val="-1"/>
                <w:sz w:val="24"/>
              </w:rPr>
              <w:t> (＋)且 </w:t>
            </w:r>
            <w:r>
              <w:rPr>
                <w:sz w:val="24"/>
              </w:rPr>
              <w:t>NAA (＋)：結核分枝桿菌</w:t>
            </w:r>
          </w:p>
          <w:p>
            <w:pPr>
              <w:pStyle w:val="TableParagraph"/>
              <w:numPr>
                <w:ilvl w:val="0"/>
                <w:numId w:val="22"/>
              </w:numPr>
              <w:tabs>
                <w:tab w:pos="684" w:val="left" w:leader="none"/>
              </w:tabs>
              <w:spacing w:line="419" w:lineRule="exact" w:before="0" w:after="0"/>
              <w:ind w:left="683" w:right="0" w:hanging="361"/>
              <w:jc w:val="left"/>
              <w:rPr>
                <w:sz w:val="24"/>
              </w:rPr>
            </w:pPr>
            <w:r>
              <w:rPr>
                <w:sz w:val="24"/>
              </w:rPr>
              <w:t>AFB</w:t>
            </w:r>
            <w:r>
              <w:rPr>
                <w:spacing w:val="-1"/>
                <w:sz w:val="24"/>
              </w:rPr>
              <w:t> (＋)但 </w:t>
            </w:r>
            <w:r>
              <w:rPr>
                <w:sz w:val="24"/>
              </w:rPr>
              <w:t>NAA (－)：審慎評估是否為非結核分枝桿菌</w:t>
            </w:r>
          </w:p>
          <w:p>
            <w:pPr>
              <w:pStyle w:val="TableParagraph"/>
              <w:numPr>
                <w:ilvl w:val="0"/>
                <w:numId w:val="22"/>
              </w:numPr>
              <w:tabs>
                <w:tab w:pos="684" w:val="left" w:leader="none"/>
              </w:tabs>
              <w:spacing w:line="419" w:lineRule="exact" w:before="0" w:after="0"/>
              <w:ind w:left="683" w:right="0" w:hanging="361"/>
              <w:jc w:val="left"/>
              <w:rPr>
                <w:sz w:val="24"/>
              </w:rPr>
            </w:pPr>
            <w:r>
              <w:rPr>
                <w:sz w:val="24"/>
              </w:rPr>
              <w:t>AFB</w:t>
            </w:r>
            <w:r>
              <w:rPr>
                <w:spacing w:val="-2"/>
                <w:sz w:val="24"/>
              </w:rPr>
              <w:t> (－)但 </w:t>
            </w:r>
            <w:r>
              <w:rPr>
                <w:sz w:val="24"/>
              </w:rPr>
              <w:t>NAA</w:t>
            </w:r>
            <w:r>
              <w:rPr>
                <w:spacing w:val="-1"/>
                <w:sz w:val="24"/>
              </w:rPr>
              <w:t> (＋)：審慎評估是否為結核分枝桿菌</w:t>
            </w:r>
          </w:p>
          <w:p>
            <w:pPr>
              <w:pStyle w:val="TableParagraph"/>
              <w:numPr>
                <w:ilvl w:val="0"/>
                <w:numId w:val="22"/>
              </w:numPr>
              <w:tabs>
                <w:tab w:pos="684" w:val="left" w:leader="none"/>
              </w:tabs>
              <w:spacing w:line="430" w:lineRule="exact" w:before="0" w:after="0"/>
              <w:ind w:left="683" w:right="0" w:hanging="359"/>
              <w:jc w:val="left"/>
              <w:rPr>
                <w:sz w:val="24"/>
              </w:rPr>
            </w:pPr>
            <w:r>
              <w:rPr>
                <w:sz w:val="24"/>
              </w:rPr>
              <w:t>AFB</w:t>
            </w:r>
            <w:r>
              <w:rPr>
                <w:spacing w:val="-2"/>
                <w:sz w:val="24"/>
              </w:rPr>
              <w:t> (－)且 </w:t>
            </w:r>
            <w:r>
              <w:rPr>
                <w:sz w:val="24"/>
              </w:rPr>
              <w:t>NAA</w:t>
            </w:r>
            <w:r>
              <w:rPr>
                <w:spacing w:val="-1"/>
                <w:sz w:val="24"/>
              </w:rPr>
              <w:t> (－)：審慎評估是否無結核分枝桿菌</w:t>
            </w:r>
          </w:p>
        </w:tc>
      </w:tr>
    </w:tbl>
    <w:p>
      <w:pPr>
        <w:pStyle w:val="BodyText"/>
        <w:spacing w:line="218" w:lineRule="auto" w:before="67"/>
        <w:ind w:left="601" w:right="3599"/>
      </w:pPr>
      <w:r>
        <w:rPr/>
        <w:t>註 1.：對於罹患肺結核可能性低的病人則不建議進行 NAA test。註 2.：判讀原則詳見文中「核酸增幅檢驗的判讀」描述。</w:t>
      </w:r>
    </w:p>
    <w:p>
      <w:pPr>
        <w:pStyle w:val="BodyText"/>
        <w:spacing w:line="388" w:lineRule="exact"/>
        <w:ind w:left="601"/>
      </w:pPr>
      <w:r>
        <w:rPr/>
        <w:t>註 3.：AFB: acid-fast bacilli；NAA: nucleic acid amplification</w:t>
      </w:r>
    </w:p>
    <w:p>
      <w:pPr>
        <w:pStyle w:val="BodyText"/>
        <w:spacing w:line="218" w:lineRule="auto" w:before="8"/>
        <w:ind w:left="1297" w:right="1913" w:hanging="696"/>
      </w:pPr>
      <w:r>
        <w:rPr>
          <w:spacing w:val="1"/>
        </w:rPr>
        <w:t>註 </w:t>
      </w:r>
      <w:r>
        <w:rPr>
          <w:spacing w:val="-13"/>
        </w:rPr>
        <w:t>4</w:t>
      </w:r>
      <w:r>
        <w:rPr>
          <w:spacing w:val="-6"/>
        </w:rPr>
        <w:t>.：若臨床醫師有疑義時，可與疾病管制署的轄區區管中心聯絡，並請安排專家</w:t>
      </w:r>
      <w:r>
        <w:rPr/>
        <w:t>提供協詢。</w:t>
      </w:r>
    </w:p>
    <w:p>
      <w:pPr>
        <w:spacing w:after="0" w:line="218" w:lineRule="auto"/>
        <w:sectPr>
          <w:pgSz w:w="12250" w:h="17190"/>
          <w:pgMar w:header="0" w:footer="828" w:top="1440" w:bottom="1020" w:left="1200" w:right="0"/>
        </w:sectPr>
      </w:pPr>
    </w:p>
    <w:p>
      <w:pPr>
        <w:pStyle w:val="BodyText"/>
        <w:rPr>
          <w:sz w:val="20"/>
        </w:rPr>
      </w:pPr>
      <w:r>
        <w:rPr/>
        <w:pict>
          <v:shape style="position:absolute;margin-left:569.820007pt;margin-top:77.168983pt;width:11pt;height:120.1pt;mso-position-horizontal-relative:page;mso-position-vertical-relative:page;z-index:-268823552" type="#_x0000_t202" filled="false" stroked="false">
            <v:textbox inset="0,0,0,0">
              <w:txbxContent>
                <w:p>
                  <w:pPr>
                    <w:spacing w:line="146" w:lineRule="auto" w:before="57"/>
                    <w:ind w:left="0" w:right="0" w:firstLine="0"/>
                    <w:jc w:val="both"/>
                    <w:rPr>
                      <w:sz w:val="22"/>
                    </w:rPr>
                  </w:pPr>
                  <w:r>
                    <w:rPr>
                      <w:w w:val="95"/>
                      <w:sz w:val="22"/>
                    </w:rPr>
                    <w:t>第四章</w:t>
                  </w:r>
                </w:p>
                <w:p>
                  <w:pPr>
                    <w:spacing w:line="141" w:lineRule="auto" w:before="175"/>
                    <w:ind w:left="0" w:right="0" w:firstLine="0"/>
                    <w:jc w:val="both"/>
                    <w:rPr>
                      <w:sz w:val="22"/>
                    </w:rPr>
                  </w:pPr>
                  <w:r>
                    <w:rPr>
                      <w:w w:val="95"/>
                      <w:sz w:val="22"/>
                    </w:rPr>
                    <w:t>結核病的治療</w:t>
                  </w:r>
                </w:p>
              </w:txbxContent>
            </v:textbox>
            <w10:wrap type="none"/>
          </v:shape>
        </w:pict>
      </w:r>
      <w:r>
        <w:rPr/>
        <w:pict>
          <v:group style="position:absolute;margin-left:72.600075pt;margin-top:64.500061pt;width:712.45pt;height:465.8pt;mso-position-horizontal-relative:page;mso-position-vertical-relative:page;z-index:-268822528" coordorigin="1452,1290" coordsize="14249,9316" alt="C:\Users\PC\Desktop\圖\第3章-圖3-1.jpg">
            <v:shape style="position:absolute;left:11260;top:1474;width:993;height:2551" coordorigin="11260,1474" coordsize="993,2551" path="m12087,1474l11425,1474,11361,1487,11308,1522,11273,1575,11260,1639,11260,3860,11273,3924,11308,3977,11361,4012,11425,4025,12087,4025,12151,4012,12204,3977,12239,3924,12252,3860,12252,1639,12239,1575,12204,1522,12151,1487,12087,1474xe" filled="true" fillcolor="#a6a6a6" stroked="false">
              <v:path arrowok="t"/>
              <v:fill type="solid"/>
            </v:shape>
            <v:shape style="position:absolute;left:1452;top:1290;width:14249;height:9316" type="#_x0000_t75" alt="C:\Users\PC\Desktop\圖\第3章-圖3-1.jpg" stroked="false">
              <v:imagedata r:id="rId28"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3"/>
        </w:rPr>
      </w:pPr>
    </w:p>
    <w:p>
      <w:pPr>
        <w:pStyle w:val="BodyText"/>
        <w:ind w:left="505"/>
        <w:rPr>
          <w:sz w:val="20"/>
        </w:rPr>
      </w:pPr>
      <w:r>
        <w:rPr>
          <w:sz w:val="20"/>
        </w:rPr>
        <w:pict>
          <v:shape style="width:40.65pt;height:68.850pt;mso-position-horizontal-relative:char;mso-position-vertical-relative:line" type="#_x0000_t202" filled="true" fillcolor="#ffffff" stroked="false">
            <w10:anchorlock/>
            <v:textbox inset="0,0,0,0">
              <w:txbxContent>
                <w:p>
                  <w:pPr>
                    <w:spacing w:line="153" w:lineRule="auto" w:before="85"/>
                    <w:ind w:left="76" w:right="75" w:firstLine="0"/>
                    <w:jc w:val="both"/>
                    <w:rPr>
                      <w:sz w:val="14"/>
                    </w:rPr>
                  </w:pPr>
                  <w:r>
                    <w:rPr>
                      <w:color w:val="FF0000"/>
                      <w:sz w:val="22"/>
                    </w:rPr>
                    <w:t>審慎評估是否為非結核分枝桿菌 </w:t>
                  </w:r>
                  <w:r>
                    <w:rPr>
                      <w:color w:val="FF0000"/>
                      <w:position w:val="10"/>
                      <w:sz w:val="14"/>
                    </w:rPr>
                    <w:t>9</w:t>
                  </w:r>
                </w:p>
              </w:txbxContent>
            </v:textbox>
            <v:fill type="solid"/>
          </v:shape>
        </w:pict>
      </w:r>
      <w:r>
        <w:rPr>
          <w:sz w:val="20"/>
        </w:rPr>
      </w:r>
    </w:p>
    <w:p>
      <w:pPr>
        <w:pStyle w:val="Heading6"/>
        <w:spacing w:before="13"/>
        <w:ind w:left="3832"/>
      </w:pPr>
      <w:r>
        <w:rPr/>
        <w:t>圖 3-1 疑似肺結核病人之診斷步驟</w:t>
      </w:r>
    </w:p>
    <w:p>
      <w:pPr>
        <w:spacing w:after="0"/>
        <w:sectPr>
          <w:footerReference w:type="default" r:id="rId27"/>
          <w:pgSz w:w="17190" w:h="12250" w:orient="landscape"/>
          <w:pgMar w:footer="828" w:header="0" w:top="1140" w:bottom="1020" w:left="2460" w:right="2460"/>
        </w:sectPr>
      </w:pPr>
    </w:p>
    <w:p>
      <w:pPr>
        <w:spacing w:line="418" w:lineRule="exact" w:before="15"/>
        <w:ind w:left="180" w:right="0" w:firstLine="0"/>
        <w:jc w:val="left"/>
        <w:rPr>
          <w:b/>
          <w:sz w:val="23"/>
        </w:rPr>
      </w:pPr>
      <w:r>
        <w:rPr>
          <w:b/>
          <w:sz w:val="23"/>
        </w:rPr>
        <w:t>圖 3-1 註：</w:t>
      </w:r>
    </w:p>
    <w:p>
      <w:pPr>
        <w:spacing w:line="406" w:lineRule="exact" w:before="0"/>
        <w:ind w:left="180" w:right="0" w:firstLine="0"/>
        <w:jc w:val="left"/>
        <w:rPr>
          <w:sz w:val="23"/>
        </w:rPr>
      </w:pPr>
      <w:r>
        <w:rPr>
          <w:sz w:val="23"/>
        </w:rPr>
        <w:t>註 1：必要時，包括胸部電腦斷層掃描檢查。</w:t>
      </w:r>
    </w:p>
    <w:p>
      <w:pPr>
        <w:spacing w:line="225" w:lineRule="auto" w:before="7"/>
        <w:ind w:left="825" w:right="1395" w:hanging="645"/>
        <w:jc w:val="left"/>
        <w:rPr>
          <w:sz w:val="23"/>
        </w:rPr>
      </w:pPr>
      <w:r>
        <w:rPr>
          <w:sz w:val="23"/>
        </w:rPr>
        <w:t>註 2：醫師得視病情，決定是否進行痰塗片、NAA test 及培養。但若肺結核的可能性相當低， 則不建議 NAA test。</w:t>
      </w:r>
    </w:p>
    <w:p>
      <w:pPr>
        <w:spacing w:line="398" w:lineRule="exact" w:before="0"/>
        <w:ind w:left="181" w:right="0" w:firstLine="0"/>
        <w:jc w:val="left"/>
        <w:rPr>
          <w:sz w:val="23"/>
        </w:rPr>
      </w:pPr>
      <w:r>
        <w:rPr>
          <w:sz w:val="23"/>
        </w:rPr>
        <w:t>註 3：痰塗片及培養，必須同時進行 2~3 次。</w:t>
      </w:r>
    </w:p>
    <w:p>
      <w:pPr>
        <w:spacing w:line="225" w:lineRule="auto" w:before="7"/>
        <w:ind w:left="181" w:right="4253" w:firstLine="0"/>
        <w:jc w:val="left"/>
        <w:rPr>
          <w:sz w:val="23"/>
        </w:rPr>
      </w:pPr>
      <w:r>
        <w:rPr>
          <w:sz w:val="23"/>
        </w:rPr>
        <w:t>註 4：培養陽性檢體經鑑定為結核分枝桿菌，即可確診為肺結核。註 5：若肺結核的可能性相當低，不建議NAA test。</w:t>
      </w:r>
    </w:p>
    <w:p>
      <w:pPr>
        <w:spacing w:line="225" w:lineRule="auto" w:before="5"/>
        <w:ind w:left="181" w:right="2775" w:firstLine="0"/>
        <w:jc w:val="left"/>
        <w:rPr>
          <w:sz w:val="23"/>
        </w:rPr>
      </w:pPr>
      <w:r>
        <w:rPr>
          <w:sz w:val="23"/>
        </w:rPr>
        <w:t>註 6：塗片陽性，臨床醫師可直接下診斷為肺結核，但建議仍應進行NAA test。註 7：抗生素治療可在得知痰塗片陰性或痰檢驗的同時投予。</w:t>
      </w:r>
    </w:p>
    <w:p>
      <w:pPr>
        <w:spacing w:line="228" w:lineRule="auto" w:before="1"/>
        <w:ind w:left="813" w:right="1495" w:hanging="633"/>
        <w:jc w:val="left"/>
        <w:rPr>
          <w:sz w:val="23"/>
        </w:rPr>
      </w:pPr>
      <w:r>
        <w:rPr>
          <w:sz w:val="23"/>
        </w:rPr>
        <w:t>註 8：依文中「核酸增幅檢驗的判讀」建議進行，並綜合病人臨床表現及培養結果，來確定是否為肺結核或其他診斷。</w:t>
      </w:r>
    </w:p>
    <w:p>
      <w:pPr>
        <w:spacing w:line="225" w:lineRule="auto" w:before="0"/>
        <w:ind w:left="813" w:right="1495" w:hanging="633"/>
        <w:jc w:val="left"/>
        <w:rPr>
          <w:sz w:val="23"/>
        </w:rPr>
      </w:pPr>
      <w:r>
        <w:rPr>
          <w:sz w:val="23"/>
        </w:rPr>
        <w:t>註 9：依文中「核酸增幅檢驗的判讀」建議進行，並綜合病人臨床表現及培養結果，來確定是否為非結核分枝桿菌或其他診斷。</w:t>
      </w:r>
    </w:p>
    <w:p>
      <w:pPr>
        <w:spacing w:line="410" w:lineRule="exact" w:before="0"/>
        <w:ind w:left="181" w:right="0" w:firstLine="0"/>
        <w:jc w:val="left"/>
        <w:rPr>
          <w:sz w:val="23"/>
        </w:rPr>
      </w:pPr>
      <w:r>
        <w:rPr>
          <w:sz w:val="23"/>
        </w:rPr>
        <w:t>註 10：若臨床醫師有疑義時，可與疾病管制署的轄區區管中心聯絡，並請安排專家提供協詢。</w:t>
      </w:r>
    </w:p>
    <w:p>
      <w:pPr>
        <w:spacing w:after="0" w:line="410" w:lineRule="exact"/>
        <w:jc w:val="left"/>
        <w:rPr>
          <w:sz w:val="23"/>
        </w:rPr>
        <w:sectPr>
          <w:footerReference w:type="default" r:id="rId29"/>
          <w:pgSz w:w="12250" w:h="17190"/>
          <w:pgMar w:footer="748" w:header="0" w:top="1520" w:bottom="940" w:left="1180" w:right="0"/>
          <w:pgNumType w:start="26"/>
        </w:sectPr>
      </w:pPr>
    </w:p>
    <w:p>
      <w:pPr>
        <w:pStyle w:val="Heading1"/>
        <w:tabs>
          <w:tab w:pos="4572" w:val="left" w:leader="none"/>
        </w:tabs>
        <w:ind w:left="3093"/>
      </w:pPr>
      <w:r>
        <w:rPr/>
        <w:pict>
          <v:group style="position:absolute;margin-left:571.5pt;margin-top:5.6803pt;width:40.9pt;height:127.55pt;mso-position-horizontal-relative:page;mso-position-vertical-relative:paragraph;z-index:251686912" coordorigin="11430,114" coordsize="818,2551">
            <v:shape style="position:absolute;left:11430;top:113;width:818;height:2551" coordorigin="11430,114" coordsize="818,2551" path="m12247,114l11595,114,11531,127,11478,162,11443,215,11430,279,11430,2499,11443,2564,11478,2616,11531,2652,11595,2665,12247,2665,12247,114xe" filled="true" fillcolor="#a6a6a6" stroked="false">
              <v:path arrowok="t"/>
              <v:fill type="solid"/>
            </v:shape>
            <v:shape style="position:absolute;left:11430;top:113;width:818;height:2551" type="#_x0000_t202" filled="false" stroked="false">
              <v:textbox inset="0,0,0,0">
                <w:txbxContent>
                  <w:p>
                    <w:pPr>
                      <w:spacing w:line="146" w:lineRule="auto" w:before="127"/>
                      <w:ind w:left="136" w:right="458" w:firstLine="0"/>
                      <w:jc w:val="both"/>
                      <w:rPr>
                        <w:sz w:val="22"/>
                      </w:rPr>
                    </w:pPr>
                    <w:r>
                      <w:rPr>
                        <w:sz w:val="22"/>
                      </w:rPr>
                      <w:t>第四章</w:t>
                    </w:r>
                  </w:p>
                  <w:p>
                    <w:pPr>
                      <w:spacing w:line="141" w:lineRule="auto" w:before="175"/>
                      <w:ind w:left="136" w:right="458" w:firstLine="0"/>
                      <w:jc w:val="both"/>
                      <w:rPr>
                        <w:sz w:val="22"/>
                      </w:rPr>
                    </w:pPr>
                    <w:r>
                      <w:rPr>
                        <w:sz w:val="22"/>
                      </w:rPr>
                      <w:t>結核病的治療</w:t>
                    </w:r>
                  </w:p>
                </w:txbxContent>
              </v:textbox>
              <w10:wrap type="none"/>
            </v:shape>
            <w10:wrap type="none"/>
          </v:group>
        </w:pict>
      </w:r>
      <w:r>
        <w:rPr/>
        <w:t>第四章</w:t>
        <w:tab/>
        <w:t>結核病的治療</w:t>
      </w:r>
    </w:p>
    <w:p>
      <w:pPr>
        <w:pStyle w:val="BodyText"/>
        <w:spacing w:line="220" w:lineRule="auto" w:before="173"/>
        <w:ind w:left="180" w:right="1356" w:firstLine="488"/>
        <w:jc w:val="both"/>
      </w:pPr>
      <w:r>
        <w:rPr>
          <w:color w:val="FF0000"/>
          <w:spacing w:val="-8"/>
        </w:rPr>
        <w:t>本章的治療建議，主要將病人分為新病人和曾經接受過治療的病人 (請參考第二章 </w:t>
      </w:r>
      <w:r>
        <w:rPr>
          <w:color w:val="FF0000"/>
        </w:rPr>
        <w:t>2.3 </w:t>
      </w:r>
      <w:r>
        <w:rPr>
          <w:color w:val="FF0000"/>
          <w:spacing w:val="-7"/>
        </w:rPr>
        <w:t>的分類定義)。曾經接受過治療的病人，INH</w:t>
      </w:r>
      <w:r>
        <w:rPr>
          <w:color w:val="FF0000"/>
          <w:spacing w:val="2"/>
        </w:rPr>
        <w:t> 的抗藥比率約為初次治療的病人的 </w:t>
      </w:r>
      <w:r>
        <w:rPr>
          <w:color w:val="FF0000"/>
        </w:rPr>
        <w:t>2</w:t>
      </w:r>
      <w:r>
        <w:rPr>
          <w:color w:val="FF0000"/>
          <w:spacing w:val="-10"/>
        </w:rPr>
        <w:t> 倍，</w:t>
      </w:r>
      <w:r>
        <w:rPr>
          <w:color w:val="FF0000"/>
          <w:spacing w:val="-5"/>
        </w:rPr>
        <w:t>2019 </w:t>
      </w:r>
      <w:r>
        <w:rPr>
          <w:color w:val="FF0000"/>
          <w:spacing w:val="2"/>
        </w:rPr>
        <w:t>年臺灣全國的藥物敏感性試驗(</w:t>
      </w:r>
      <w:r>
        <w:rPr>
          <w:color w:val="FF0000"/>
        </w:rPr>
        <w:t>DST</w:t>
      </w:r>
      <w:r>
        <w:rPr>
          <w:color w:val="FF0000"/>
          <w:spacing w:val="5"/>
        </w:rPr>
        <w:t>)統計，新病人的 </w:t>
      </w:r>
      <w:r>
        <w:rPr>
          <w:color w:val="FF0000"/>
        </w:rPr>
        <w:t>INH</w:t>
      </w:r>
      <w:r>
        <w:rPr>
          <w:color w:val="FF0000"/>
          <w:spacing w:val="29"/>
        </w:rPr>
        <w:t> 和 </w:t>
      </w:r>
      <w:r>
        <w:rPr>
          <w:color w:val="FF0000"/>
        </w:rPr>
        <w:t>RMP</w:t>
      </w:r>
      <w:r>
        <w:rPr>
          <w:color w:val="FF0000"/>
          <w:spacing w:val="11"/>
        </w:rPr>
        <w:t> 抗藥比率分別為 </w:t>
      </w:r>
      <w:r>
        <w:rPr>
          <w:color w:val="FF0000"/>
        </w:rPr>
        <w:t>8%和</w:t>
      </w:r>
      <w:r>
        <w:rPr>
          <w:color w:val="FF0000"/>
          <w:spacing w:val="-16"/>
        </w:rPr>
        <w:t>1</w:t>
      </w:r>
      <w:r>
        <w:rPr>
          <w:color w:val="FF0000"/>
          <w:spacing w:val="-3"/>
        </w:rPr>
        <w:t>%，而再次治療的病人的 </w:t>
      </w:r>
      <w:r>
        <w:rPr>
          <w:color w:val="FF0000"/>
        </w:rPr>
        <w:t>INH</w:t>
      </w:r>
      <w:r>
        <w:rPr>
          <w:color w:val="FF0000"/>
          <w:spacing w:val="4"/>
        </w:rPr>
        <w:t> 與 </w:t>
      </w:r>
      <w:r>
        <w:rPr>
          <w:color w:val="FF0000"/>
        </w:rPr>
        <w:t>RMP</w:t>
      </w:r>
      <w:r>
        <w:rPr>
          <w:color w:val="FF0000"/>
          <w:spacing w:val="2"/>
        </w:rPr>
        <w:t> 抗藥比率則分別為 </w:t>
      </w:r>
      <w:r>
        <w:rPr>
          <w:color w:val="FF0000"/>
        </w:rPr>
        <w:t>17%</w:t>
      </w:r>
      <w:r>
        <w:rPr>
          <w:color w:val="FF0000"/>
          <w:spacing w:val="3"/>
        </w:rPr>
        <w:t>和 </w:t>
      </w:r>
      <w:r>
        <w:rPr>
          <w:color w:val="FF0000"/>
          <w:spacing w:val="-13"/>
        </w:rPr>
        <w:t>8</w:t>
      </w:r>
      <w:r>
        <w:rPr>
          <w:color w:val="FF0000"/>
          <w:spacing w:val="-4"/>
        </w:rPr>
        <w:t>%。因此對於再次治療</w:t>
      </w:r>
      <w:r>
        <w:rPr>
          <w:color w:val="FF0000"/>
          <w:spacing w:val="-2"/>
        </w:rPr>
        <w:t>的結核病病人，在 </w:t>
      </w:r>
      <w:r>
        <w:rPr>
          <w:color w:val="FF0000"/>
        </w:rPr>
        <w:t>DST</w:t>
      </w:r>
      <w:r>
        <w:rPr>
          <w:color w:val="FF0000"/>
          <w:spacing w:val="-4"/>
        </w:rPr>
        <w:t> 結果未知前，應考慮到抗藥結核的可能性，在取得傳統藥物感受性</w:t>
      </w:r>
      <w:r>
        <w:rPr>
          <w:color w:val="FF0000"/>
          <w:spacing w:val="3"/>
        </w:rPr>
        <w:t>試驗結果前，宜進行抗藥基因檢測。</w:t>
      </w:r>
      <w:r>
        <w:rPr>
          <w:spacing w:val="1"/>
        </w:rPr>
        <w:t>考慮病情的輕重不一，在這些不同的情況下，醫師可</w:t>
      </w:r>
      <w:r>
        <w:rPr>
          <w:spacing w:val="3"/>
        </w:rPr>
        <w:t>以為病人量身設計處方，保留治療的彈性。</w:t>
      </w:r>
      <w:r>
        <w:rPr>
          <w:color w:val="FF0000"/>
          <w:spacing w:val="1"/>
        </w:rPr>
        <w:t>在治療過程中，發生藥物副作用或是其他原因</w:t>
      </w:r>
      <w:r>
        <w:rPr>
          <w:color w:val="FF0000"/>
          <w:spacing w:val="-2"/>
        </w:rPr>
        <w:t>無法使用全部的建議藥物時，請參考第五章調整處方。當 </w:t>
      </w:r>
      <w:r>
        <w:rPr>
          <w:color w:val="FF0000"/>
        </w:rPr>
        <w:t>DST 結果發現抗藥性細菌時，請</w:t>
      </w:r>
      <w:r>
        <w:rPr>
          <w:color w:val="FF0000"/>
          <w:spacing w:val="3"/>
        </w:rPr>
        <w:t>參考第十二章調整處方。</w:t>
      </w:r>
      <w:r>
        <w:rPr>
          <w:spacing w:val="1"/>
        </w:rPr>
        <w:t>進行這類處方調整時，請務必和疾病管制署推薦的專家共同討論決定，不要造成抗藥性的細菌；最好能將這類病人轉介到疾病管制署指定的抗藥結核病醫</w:t>
      </w:r>
      <w:r>
        <w:rPr>
          <w:spacing w:val="3"/>
        </w:rPr>
        <w:t>療照護體系團隊。</w:t>
      </w:r>
    </w:p>
    <w:p>
      <w:pPr>
        <w:pStyle w:val="BodyText"/>
        <w:spacing w:line="375" w:lineRule="exact"/>
        <w:ind w:left="669"/>
      </w:pPr>
      <w:r>
        <w:rPr/>
        <w:t>本章建議的處方及治療時程，應該解讀為一般情況下的較佳選擇，病人在治療結核病</w:t>
      </w:r>
    </w:p>
    <w:p>
      <w:pPr>
        <w:pStyle w:val="BodyText"/>
        <w:spacing w:line="220" w:lineRule="auto" w:before="6"/>
        <w:ind w:left="180" w:right="1301"/>
        <w:jc w:val="both"/>
      </w:pPr>
      <w:r>
        <w:rPr>
          <w:spacing w:val="1"/>
        </w:rPr>
        <w:t>的過程中，體內細菌的數量、細菌對藥物的反應，在治療前、開始吃藥後、到完治前是處</w:t>
      </w:r>
      <w:r>
        <w:rPr>
          <w:spacing w:val="-3"/>
        </w:rPr>
        <w:t>於時時變動的狀態。</w:t>
      </w:r>
      <w:r>
        <w:rPr>
          <w:color w:val="FF0000"/>
          <w:spacing w:val="-8"/>
        </w:rPr>
        <w:t>一般而言在治療初期，細菌量多，可能存在小量突變的抗藥性結核菌， </w:t>
      </w:r>
      <w:r>
        <w:rPr>
          <w:color w:val="FF0000"/>
          <w:spacing w:val="1"/>
        </w:rPr>
        <w:t>不當的處方易幫助抗藥性結核菌取得繁殖優勢。如果處方恰當治療反應良好，產生獲得性</w:t>
      </w:r>
      <w:r>
        <w:rPr>
          <w:color w:val="FF0000"/>
          <w:spacing w:val="3"/>
        </w:rPr>
        <w:t>抗藥的機會較低。如果治療反應不佳，就要考慮到獲得性抗藥的可能性。</w:t>
      </w:r>
      <w:r>
        <w:rPr>
          <w:spacing w:val="1"/>
        </w:rPr>
        <w:t>臨床實務的牽連很多，不能每種情況都找到實證的處方，部分建議只能算是專家的意見，不是絕對不可改</w:t>
      </w:r>
      <w:r>
        <w:rPr>
          <w:spacing w:val="2"/>
        </w:rPr>
        <w:t>變的唯一選擇。</w:t>
      </w:r>
    </w:p>
    <w:p>
      <w:pPr>
        <w:pStyle w:val="BodyText"/>
        <w:spacing w:before="17"/>
        <w:rPr>
          <w:sz w:val="17"/>
        </w:rPr>
      </w:pPr>
    </w:p>
    <w:p>
      <w:pPr>
        <w:pStyle w:val="ListParagraph"/>
        <w:numPr>
          <w:ilvl w:val="1"/>
          <w:numId w:val="23"/>
        </w:numPr>
        <w:tabs>
          <w:tab w:pos="664" w:val="left" w:leader="none"/>
        </w:tabs>
        <w:spacing w:line="439" w:lineRule="exact" w:before="0" w:after="0"/>
        <w:ind w:left="663" w:right="0" w:hanging="484"/>
        <w:jc w:val="both"/>
        <w:rPr>
          <w:b/>
          <w:color w:val="FF0000"/>
          <w:sz w:val="25"/>
        </w:rPr>
      </w:pPr>
      <w:r>
        <w:rPr>
          <w:b/>
          <w:color w:val="FF0000"/>
          <w:spacing w:val="2"/>
          <w:sz w:val="25"/>
        </w:rPr>
        <w:t>治療前的評估與準備</w:t>
      </w:r>
    </w:p>
    <w:p>
      <w:pPr>
        <w:pStyle w:val="BodyText"/>
        <w:spacing w:line="220" w:lineRule="auto" w:before="5"/>
        <w:ind w:left="653" w:right="1362" w:firstLine="488"/>
        <w:jc w:val="both"/>
      </w:pPr>
      <w:r>
        <w:rPr>
          <w:color w:val="FF0000"/>
          <w:spacing w:val="-4"/>
        </w:rPr>
        <w:t>在開始治療前，應先了解結核病診斷的依據，是否有細菌學證據和 </w:t>
      </w:r>
      <w:r>
        <w:rPr>
          <w:color w:val="FF0000"/>
        </w:rPr>
        <w:t>DST</w:t>
      </w:r>
      <w:r>
        <w:rPr>
          <w:color w:val="FF0000"/>
          <w:spacing w:val="-4"/>
        </w:rPr>
        <w:t> 的結果， </w:t>
      </w:r>
      <w:r>
        <w:rPr>
          <w:color w:val="FF0000"/>
          <w:spacing w:val="-11"/>
        </w:rPr>
        <w:t>痰塗片染色的細菌價數，肺部病灶的範圍，是否有空洞。並詳細評估病人的營養狀況、</w:t>
      </w:r>
      <w:r>
        <w:rPr>
          <w:color w:val="FF0000"/>
          <w:spacing w:val="2"/>
        </w:rPr>
        <w:t>病人是否有糖尿病、腎功能異常、病毒性肝炎或是其他的系統共病、是否有藥物依賴或是情緒的困擾、目前的用藥是否有藥物交互作用的風險、家庭的支持系統等等。隔離治療和傳染病的汙名化，往往帶來病人社會和經濟上額外的壓力，對於有需要的個</w:t>
      </w:r>
      <w:r>
        <w:rPr>
          <w:color w:val="FF0000"/>
          <w:spacing w:val="3"/>
        </w:rPr>
        <w:t>案，可以請求社工評估並給予支持。</w:t>
      </w:r>
    </w:p>
    <w:p>
      <w:pPr>
        <w:pStyle w:val="BodyText"/>
        <w:spacing w:line="220" w:lineRule="auto"/>
        <w:ind w:left="653" w:right="1358" w:firstLine="488"/>
        <w:jc w:val="both"/>
      </w:pPr>
      <w:r>
        <w:rPr>
          <w:color w:val="FF0000"/>
          <w:spacing w:val="2"/>
        </w:rPr>
        <w:t>充分的衛教是治療成功的關鍵，病人或是照顧者如果能熟悉公共衛生政策，可以</w:t>
      </w:r>
      <w:r>
        <w:rPr>
          <w:color w:val="FF0000"/>
          <w:spacing w:val="6"/>
        </w:rPr>
        <w:t>減少不必要的情緒反應，學習如何監測和處理治療可能的不良反應(參考第五章的說</w:t>
      </w:r>
      <w:r>
        <w:rPr>
          <w:color w:val="FF0000"/>
          <w:spacing w:val="-4"/>
        </w:rPr>
        <w:t>明)，也有助於即時發現不良反應，減少進一步的傷害。對於結核病傳播的風險，是病</w:t>
      </w:r>
      <w:r>
        <w:rPr>
          <w:color w:val="FF0000"/>
          <w:spacing w:val="2"/>
        </w:rPr>
        <w:t>人和其家人重要的心理壓力來源，應該仔細的說明接觸者受感染的風險，潛伏結核感</w:t>
      </w:r>
      <w:r>
        <w:rPr>
          <w:color w:val="FF0000"/>
          <w:spacing w:val="10"/>
        </w:rPr>
        <w:t>染的預防治療有良好的成效(參考第十章的說明)，讓家人和照顧者了解如何保護自</w:t>
      </w:r>
      <w:r>
        <w:rPr>
          <w:color w:val="FF0000"/>
          <w:spacing w:val="3"/>
        </w:rPr>
        <w:t>己，避免不必要的恐慌。</w:t>
      </w:r>
    </w:p>
    <w:p>
      <w:pPr>
        <w:pStyle w:val="BodyText"/>
        <w:spacing w:line="220" w:lineRule="auto"/>
        <w:ind w:left="653" w:right="1361" w:firstLine="488"/>
      </w:pPr>
      <w:r>
        <w:rPr>
          <w:color w:val="FF0000"/>
        </w:rPr>
        <w:t>治療結核病需有耐心，如果能持續服用所有開立的藥物不中斷，治療的成功率很高，復發的機率很低，但是如果用藥不規則，或是沒有服用所有的藥物(藥物的種類或</w:t>
      </w:r>
    </w:p>
    <w:p>
      <w:pPr>
        <w:spacing w:after="0" w:line="220" w:lineRule="auto"/>
        <w:sectPr>
          <w:pgSz w:w="12250" w:h="17190"/>
          <w:pgMar w:header="0" w:footer="748" w:top="1360" w:bottom="1020" w:left="1180" w:right="0"/>
        </w:sectPr>
      </w:pPr>
    </w:p>
    <w:p>
      <w:pPr>
        <w:pStyle w:val="BodyText"/>
        <w:spacing w:line="220" w:lineRule="auto" w:before="43"/>
        <w:ind w:left="653" w:right="1357"/>
        <w:jc w:val="both"/>
      </w:pPr>
      <w:r>
        <w:rPr>
          <w:color w:val="FF0000"/>
          <w:spacing w:val="9"/>
        </w:rPr>
        <w:t>劑量不足)，不但治療失敗的風險增加，更可能篩選出抗藥性結核菌。都治(</w:t>
      </w:r>
      <w:r>
        <w:rPr>
          <w:color w:val="FF0000"/>
        </w:rPr>
        <w:t>directly observed treatment</w:t>
      </w:r>
      <w:r>
        <w:rPr>
          <w:color w:val="FF0000"/>
          <w:spacing w:val="-1"/>
        </w:rPr>
        <w:t>, </w:t>
      </w:r>
      <w:r>
        <w:rPr>
          <w:color w:val="FF0000"/>
        </w:rPr>
        <w:t>DOT</w:t>
      </w:r>
      <w:r>
        <w:rPr>
          <w:color w:val="FF0000"/>
          <w:spacing w:val="2"/>
        </w:rPr>
        <w:t>)是醫師的好幫手，它讓我們的專業設計的處方能精準地在</w:t>
      </w:r>
      <w:r>
        <w:rPr>
          <w:color w:val="FF0000"/>
          <w:spacing w:val="-3"/>
        </w:rPr>
        <w:t>病人的身上發揮作用，診療醫師應儘量鼓勵、勸說病人加入都治計畫(參考第十一章的</w:t>
      </w:r>
      <w:r>
        <w:rPr>
          <w:color w:val="FF0000"/>
          <w:spacing w:val="-5"/>
        </w:rPr>
        <w:t>說明)，萬一治療效果不如預期時，也可以排除病人沒有吃藥的可能，減少臨床判斷的</w:t>
      </w:r>
      <w:r>
        <w:rPr>
          <w:color w:val="FF0000"/>
          <w:spacing w:val="2"/>
        </w:rPr>
        <w:t>不確定性。幫助病人了解治療的目標和抗藥性結核病的發生風險，讓病人成為我們的</w:t>
      </w:r>
      <w:r>
        <w:rPr>
          <w:color w:val="FF0000"/>
          <w:spacing w:val="3"/>
        </w:rPr>
        <w:t>隊友而不是對手，取得良好醫病關係至關重要。</w:t>
      </w:r>
    </w:p>
    <w:p>
      <w:pPr>
        <w:pStyle w:val="BodyText"/>
        <w:spacing w:line="220" w:lineRule="auto"/>
        <w:ind w:left="653" w:right="1361" w:firstLine="488"/>
        <w:jc w:val="right"/>
      </w:pPr>
      <w:r>
        <w:rPr>
          <w:color w:val="FF0000"/>
        </w:rPr>
        <w:t>若是轉診過來的病人，在接續治療前，則應該通盤了解先前的診斷依據、藥物感受性試驗結果、病人對病情的認知、是否接受都治關懷、以及治療的順從性、病人曾經用過那些處方治療、治療的反應、是否有治療不良反應、過去使用的處方是否符合指引的建議？如果不符合，這個處方安全嗎？如果不安全，病人接受這種不安全的處方多久了？現在正吃著什麼處方、分別治療了多久？以上都是接續治療重要的資訊。開始抗結核治療時，通常沒有病人完整的 DST 結果，而抗藥性細菌的發生風險，</w:t>
      </w:r>
    </w:p>
    <w:p>
      <w:pPr>
        <w:pStyle w:val="BodyText"/>
        <w:spacing w:line="218" w:lineRule="auto"/>
        <w:ind w:left="653" w:right="1358"/>
        <w:jc w:val="both"/>
      </w:pPr>
      <w:r>
        <w:rPr>
          <w:color w:val="FF0000"/>
          <w:spacing w:val="2"/>
        </w:rPr>
        <w:t>最重要的決定因素，是病人抗藥結核病的接觸史、過去是否接受過結核病治療、以及是否來自抗藥高發生地區。對於這三類病人，應該盡可能將痰檢體送到疾病管制署， </w:t>
      </w:r>
      <w:r>
        <w:rPr>
          <w:color w:val="FF0000"/>
          <w:spacing w:val="9"/>
        </w:rPr>
        <w:t>進行 </w:t>
      </w:r>
      <w:r>
        <w:rPr>
          <w:color w:val="FF0000"/>
        </w:rPr>
        <w:t>RMP</w:t>
      </w:r>
      <w:r>
        <w:rPr>
          <w:color w:val="FF0000"/>
          <w:spacing w:val="5"/>
        </w:rPr>
        <w:t> 抗藥基因(</w:t>
      </w:r>
      <w:r>
        <w:rPr>
          <w:color w:val="FF0000"/>
        </w:rPr>
        <w:t>rpoB</w:t>
      </w:r>
      <w:r>
        <w:rPr>
          <w:color w:val="FF0000"/>
          <w:spacing w:val="3"/>
        </w:rPr>
        <w:t> 突變)的快速分子檢測，早期獲得 </w:t>
      </w:r>
      <w:r>
        <w:rPr>
          <w:color w:val="FF0000"/>
        </w:rPr>
        <w:t>RMP</w:t>
      </w:r>
      <w:r>
        <w:rPr>
          <w:color w:val="FF0000"/>
          <w:spacing w:val="14"/>
        </w:rPr>
        <w:t> 的 </w:t>
      </w:r>
      <w:r>
        <w:rPr>
          <w:color w:val="FF0000"/>
        </w:rPr>
        <w:t>DST</w:t>
      </w:r>
      <w:r>
        <w:rPr>
          <w:color w:val="FF0000"/>
          <w:spacing w:val="3"/>
        </w:rPr>
        <w:t>。目前疾病</w:t>
      </w:r>
      <w:r>
        <w:rPr>
          <w:color w:val="FF0000"/>
          <w:spacing w:val="10"/>
        </w:rPr>
        <w:t>管制署對於 </w:t>
      </w:r>
      <w:r>
        <w:rPr>
          <w:color w:val="FF0000"/>
        </w:rPr>
        <w:t>RMP</w:t>
      </w:r>
      <w:r>
        <w:rPr>
          <w:color w:val="FF0000"/>
          <w:spacing w:val="3"/>
        </w:rPr>
        <w:t> 抗藥基因陽性，潛伏結核感染治療完治後發病，畜牧場工作人員被</w:t>
      </w:r>
      <w:r>
        <w:rPr>
          <w:color w:val="FF0000"/>
          <w:spacing w:val="-13"/>
        </w:rPr>
        <w:t>通報結核病，以及 </w:t>
      </w:r>
      <w:r>
        <w:rPr>
          <w:i/>
          <w:color w:val="FF0000"/>
          <w:sz w:val="25"/>
        </w:rPr>
        <w:t>M</w:t>
      </w:r>
      <w:r>
        <w:rPr>
          <w:i/>
          <w:color w:val="FF0000"/>
          <w:spacing w:val="-10"/>
          <w:sz w:val="25"/>
        </w:rPr>
        <w:t>. </w:t>
      </w:r>
      <w:r>
        <w:rPr>
          <w:i/>
          <w:color w:val="FF0000"/>
          <w:sz w:val="25"/>
        </w:rPr>
        <w:t>bovis </w:t>
      </w:r>
      <w:r>
        <w:rPr>
          <w:color w:val="FF0000"/>
          <w:spacing w:val="-11"/>
        </w:rPr>
        <w:t>接觸者發病，建議進行 </w:t>
      </w:r>
      <w:r>
        <w:rPr>
          <w:color w:val="FF0000"/>
        </w:rPr>
        <w:t>INH</w:t>
      </w:r>
      <w:r>
        <w:rPr>
          <w:color w:val="FF0000"/>
          <w:spacing w:val="-4"/>
        </w:rPr>
        <w:t> 的抗藥基因檢測(參考第三章)。</w:t>
      </w:r>
      <w:r>
        <w:rPr>
          <w:color w:val="FF0000"/>
          <w:spacing w:val="2"/>
        </w:rPr>
        <w:t>在病人發生不良反應或是有特殊考量無法使用全部的建議藥物時，對處方的設計能提供寶貴的資訊。</w:t>
      </w:r>
    </w:p>
    <w:p>
      <w:pPr>
        <w:pStyle w:val="BodyText"/>
        <w:spacing w:before="4"/>
        <w:rPr>
          <w:sz w:val="17"/>
        </w:rPr>
      </w:pPr>
    </w:p>
    <w:p>
      <w:pPr>
        <w:pStyle w:val="Heading6"/>
        <w:numPr>
          <w:ilvl w:val="1"/>
          <w:numId w:val="23"/>
        </w:numPr>
        <w:tabs>
          <w:tab w:pos="664" w:val="left" w:leader="none"/>
        </w:tabs>
        <w:spacing w:line="439" w:lineRule="exact" w:before="0" w:after="0"/>
        <w:ind w:left="663" w:right="0" w:hanging="484"/>
        <w:jc w:val="both"/>
      </w:pPr>
      <w:r>
        <w:rPr>
          <w:spacing w:val="1"/>
        </w:rPr>
        <w:t>治療新病人(第一線基本治療處方)</w:t>
      </w:r>
    </w:p>
    <w:p>
      <w:pPr>
        <w:pStyle w:val="BodyText"/>
        <w:spacing w:line="220" w:lineRule="auto" w:before="5"/>
        <w:ind w:left="653" w:right="1351" w:firstLine="488"/>
        <w:jc w:val="both"/>
      </w:pPr>
      <w:r>
        <w:rPr>
          <w:color w:val="FF0000"/>
        </w:rPr>
        <w:t>標準的結核治療處方，分為加強期(intensive phase) 2 個月 (1 個月以 30 天計算)，處方使用 INH + RMP + PZA + EMB；和持續期(continuation phase) 4 個月， 處方使用 INH + RMP + EMB。INH 和 RMP 都敏感者，可考慮停用 EMB。對於胸部X 光有廣泛的結核侵犯或是開洞病灶，或者是第二個月痰培養仍為陽性，以及加強期沒有全程使用 PZA 的病人，應該將持續期延長為 7 個月。</w:t>
      </w:r>
    </w:p>
    <w:p>
      <w:pPr>
        <w:pStyle w:val="ListParagraph"/>
        <w:numPr>
          <w:ilvl w:val="2"/>
          <w:numId w:val="23"/>
        </w:numPr>
        <w:tabs>
          <w:tab w:pos="658" w:val="left" w:leader="none"/>
        </w:tabs>
        <w:spacing w:line="220" w:lineRule="auto" w:before="73" w:after="0"/>
        <w:ind w:left="657" w:right="1355" w:hanging="366"/>
        <w:jc w:val="both"/>
        <w:rPr>
          <w:sz w:val="24"/>
        </w:rPr>
      </w:pPr>
      <w:r>
        <w:rPr>
          <w:color w:val="FF0000"/>
          <w:spacing w:val="3"/>
          <w:sz w:val="24"/>
        </w:rPr>
        <w:t>有關藥物的劑量和詳細說明請參見本書第六章，固定成分複方藥可以減少每日服藥的</w:t>
      </w:r>
      <w:r>
        <w:rPr>
          <w:color w:val="FF0000"/>
          <w:spacing w:val="9"/>
          <w:sz w:val="24"/>
        </w:rPr>
        <w:t>總顆數，也減少服藥錯誤的風險，</w:t>
      </w:r>
      <w:r>
        <w:rPr>
          <w:spacing w:val="8"/>
          <w:sz w:val="24"/>
        </w:rPr>
        <w:t>推薦固定成分複方藥：</w:t>
      </w:r>
      <w:r>
        <w:rPr>
          <w:spacing w:val="3"/>
          <w:sz w:val="24"/>
        </w:rPr>
        <w:t>INH</w:t>
      </w:r>
      <w:r>
        <w:rPr>
          <w:spacing w:val="25"/>
          <w:sz w:val="24"/>
        </w:rPr>
        <w:t> + </w:t>
      </w:r>
      <w:r>
        <w:rPr>
          <w:sz w:val="24"/>
        </w:rPr>
        <w:t>RMP</w:t>
      </w:r>
      <w:r>
        <w:rPr>
          <w:spacing w:val="24"/>
          <w:sz w:val="24"/>
        </w:rPr>
        <w:t> + </w:t>
      </w:r>
      <w:r>
        <w:rPr>
          <w:sz w:val="24"/>
        </w:rPr>
        <w:t>PZA</w:t>
      </w:r>
      <w:r>
        <w:rPr>
          <w:spacing w:val="8"/>
          <w:sz w:val="24"/>
        </w:rPr>
        <w:t> 可用</w:t>
      </w:r>
      <w:r>
        <w:rPr>
          <w:sz w:val="24"/>
        </w:rPr>
        <w:t>Rifater</w:t>
      </w:r>
      <w:r>
        <w:rPr>
          <w:spacing w:val="3"/>
          <w:sz w:val="24"/>
        </w:rPr>
        <w:t> 取代；</w:t>
      </w:r>
      <w:r>
        <w:rPr>
          <w:sz w:val="24"/>
        </w:rPr>
        <w:t>INH</w:t>
      </w:r>
      <w:r>
        <w:rPr>
          <w:spacing w:val="8"/>
          <w:sz w:val="24"/>
        </w:rPr>
        <w:t> + </w:t>
      </w:r>
      <w:r>
        <w:rPr>
          <w:sz w:val="24"/>
        </w:rPr>
        <w:t>RMP</w:t>
      </w:r>
      <w:r>
        <w:rPr>
          <w:spacing w:val="5"/>
          <w:sz w:val="24"/>
        </w:rPr>
        <w:t> 可用 </w:t>
      </w:r>
      <w:r>
        <w:rPr>
          <w:sz w:val="24"/>
        </w:rPr>
        <w:t>Rifinah</w:t>
      </w:r>
      <w:r>
        <w:rPr>
          <w:spacing w:val="4"/>
          <w:sz w:val="24"/>
        </w:rPr>
        <w:t>、</w:t>
      </w:r>
      <w:r>
        <w:rPr>
          <w:sz w:val="24"/>
        </w:rPr>
        <w:t>RINA</w:t>
      </w:r>
      <w:r>
        <w:rPr>
          <w:spacing w:val="8"/>
          <w:sz w:val="24"/>
        </w:rPr>
        <w:t> 或 </w:t>
      </w:r>
      <w:r>
        <w:rPr>
          <w:sz w:val="24"/>
        </w:rPr>
        <w:t>Macox</w:t>
      </w:r>
      <w:r>
        <w:rPr>
          <w:spacing w:val="12"/>
          <w:sz w:val="24"/>
        </w:rPr>
        <w:t> </w:t>
      </w:r>
      <w:r>
        <w:rPr>
          <w:sz w:val="24"/>
        </w:rPr>
        <w:t>Plus</w:t>
      </w:r>
      <w:r>
        <w:rPr>
          <w:spacing w:val="12"/>
          <w:sz w:val="24"/>
        </w:rPr>
        <w:t> </w:t>
      </w:r>
      <w:r>
        <w:rPr>
          <w:sz w:val="24"/>
        </w:rPr>
        <w:t>300</w:t>
      </w:r>
      <w:r>
        <w:rPr>
          <w:spacing w:val="3"/>
          <w:sz w:val="24"/>
        </w:rPr>
        <w:t> 取代；</w:t>
      </w:r>
      <w:r>
        <w:rPr>
          <w:sz w:val="24"/>
        </w:rPr>
        <w:t>INH</w:t>
      </w:r>
      <w:r>
        <w:rPr>
          <w:spacing w:val="7"/>
          <w:sz w:val="24"/>
        </w:rPr>
        <w:t> + RMP</w:t>
      </w:r>
      <w:r>
        <w:rPr>
          <w:spacing w:val="-29"/>
          <w:sz w:val="24"/>
        </w:rPr>
        <w:t> + </w:t>
      </w:r>
      <w:r>
        <w:rPr>
          <w:sz w:val="24"/>
        </w:rPr>
        <w:t>PZA</w:t>
      </w:r>
      <w:r>
        <w:rPr>
          <w:spacing w:val="-29"/>
          <w:sz w:val="24"/>
        </w:rPr>
        <w:t> + </w:t>
      </w:r>
      <w:r>
        <w:rPr>
          <w:sz w:val="24"/>
        </w:rPr>
        <w:t>EMB</w:t>
      </w:r>
      <w:r>
        <w:rPr>
          <w:spacing w:val="-4"/>
          <w:sz w:val="24"/>
        </w:rPr>
        <w:t> 可用 </w:t>
      </w:r>
      <w:r>
        <w:rPr>
          <w:sz w:val="24"/>
        </w:rPr>
        <w:t>AkuriT-4</w:t>
      </w:r>
      <w:r>
        <w:rPr>
          <w:spacing w:val="-9"/>
          <w:sz w:val="24"/>
        </w:rPr>
        <w:t> 或 </w:t>
      </w:r>
      <w:r>
        <w:rPr>
          <w:sz w:val="24"/>
        </w:rPr>
        <w:t>Trac</w:t>
      </w:r>
      <w:r>
        <w:rPr>
          <w:spacing w:val="-15"/>
          <w:sz w:val="24"/>
        </w:rPr>
        <w:t> </w:t>
      </w:r>
      <w:r>
        <w:rPr>
          <w:sz w:val="24"/>
        </w:rPr>
        <w:t>4</w:t>
      </w:r>
      <w:r>
        <w:rPr>
          <w:spacing w:val="-17"/>
          <w:sz w:val="24"/>
        </w:rPr>
        <w:t> 取代；</w:t>
      </w:r>
      <w:r>
        <w:rPr>
          <w:spacing w:val="-11"/>
          <w:sz w:val="24"/>
        </w:rPr>
        <w:t>INH + </w:t>
      </w:r>
      <w:r>
        <w:rPr>
          <w:sz w:val="24"/>
        </w:rPr>
        <w:t>RMP</w:t>
      </w:r>
      <w:r>
        <w:rPr>
          <w:spacing w:val="-8"/>
          <w:sz w:val="24"/>
        </w:rPr>
        <w:t> +</w:t>
      </w:r>
      <w:r>
        <w:rPr>
          <w:sz w:val="24"/>
        </w:rPr>
        <w:t>EMB</w:t>
      </w:r>
      <w:r>
        <w:rPr>
          <w:spacing w:val="-7"/>
          <w:sz w:val="24"/>
        </w:rPr>
        <w:t> 可用 </w:t>
      </w:r>
      <w:r>
        <w:rPr>
          <w:sz w:val="24"/>
        </w:rPr>
        <w:t>AkuriT-3 或Trac</w:t>
      </w:r>
      <w:r>
        <w:rPr>
          <w:spacing w:val="5"/>
          <w:sz w:val="24"/>
        </w:rPr>
        <w:t> </w:t>
      </w:r>
      <w:r>
        <w:rPr>
          <w:sz w:val="24"/>
        </w:rPr>
        <w:t>3</w:t>
      </w:r>
      <w:r>
        <w:rPr>
          <w:spacing w:val="-2"/>
          <w:sz w:val="24"/>
        </w:rPr>
        <w:t> 取代。</w:t>
      </w:r>
    </w:p>
    <w:p>
      <w:pPr>
        <w:pStyle w:val="ListParagraph"/>
        <w:numPr>
          <w:ilvl w:val="2"/>
          <w:numId w:val="23"/>
        </w:numPr>
        <w:tabs>
          <w:tab w:pos="658" w:val="left" w:leader="none"/>
        </w:tabs>
        <w:spacing w:line="218" w:lineRule="auto" w:before="78" w:after="0"/>
        <w:ind w:left="657" w:right="1358" w:hanging="366"/>
        <w:jc w:val="both"/>
        <w:rPr>
          <w:sz w:val="24"/>
        </w:rPr>
      </w:pPr>
      <w:r>
        <w:rPr>
          <w:spacing w:val="2"/>
          <w:sz w:val="24"/>
        </w:rPr>
        <w:t>指示病人一天吃 </w:t>
      </w:r>
      <w:r>
        <w:rPr>
          <w:sz w:val="24"/>
        </w:rPr>
        <w:t>1</w:t>
      </w:r>
      <w:r>
        <w:rPr>
          <w:spacing w:val="-5"/>
          <w:sz w:val="24"/>
        </w:rPr>
        <w:t> 次藥。為配合病人作息、方便 </w:t>
      </w:r>
      <w:r>
        <w:rPr>
          <w:spacing w:val="-6"/>
          <w:sz w:val="24"/>
        </w:rPr>
        <w:t>DOT</w:t>
      </w:r>
      <w:r>
        <w:rPr>
          <w:spacing w:val="-5"/>
          <w:sz w:val="24"/>
        </w:rPr>
        <w:t>、避免某些副作用，可以選擇在</w:t>
      </w:r>
      <w:r>
        <w:rPr>
          <w:spacing w:val="3"/>
          <w:sz w:val="24"/>
        </w:rPr>
        <w:t>一天的任何時間吃藥，不必強調空腹，但時間最好能固定。不宜把同一種藥打散在一天的不同時間吃。</w:t>
      </w:r>
    </w:p>
    <w:p>
      <w:pPr>
        <w:pStyle w:val="ListParagraph"/>
        <w:numPr>
          <w:ilvl w:val="2"/>
          <w:numId w:val="23"/>
        </w:numPr>
        <w:tabs>
          <w:tab w:pos="658" w:val="left" w:leader="none"/>
        </w:tabs>
        <w:spacing w:line="240" w:lineRule="auto" w:before="62" w:after="0"/>
        <w:ind w:left="657" w:right="0" w:hanging="367"/>
        <w:jc w:val="both"/>
        <w:rPr>
          <w:color w:val="FF0000"/>
          <w:sz w:val="24"/>
        </w:rPr>
      </w:pPr>
      <w:r>
        <w:rPr>
          <w:color w:val="FF0000"/>
          <w:spacing w:val="2"/>
          <w:sz w:val="24"/>
        </w:rPr>
        <w:t>有了傳統的藥敏報告後，請按 </w:t>
      </w:r>
      <w:r>
        <w:rPr>
          <w:color w:val="FF0000"/>
          <w:sz w:val="24"/>
        </w:rPr>
        <w:t>4.5</w:t>
      </w:r>
      <w:r>
        <w:rPr>
          <w:color w:val="FF0000"/>
          <w:spacing w:val="3"/>
          <w:sz w:val="24"/>
        </w:rPr>
        <w:t> 的說明，調整處方。</w:t>
      </w:r>
    </w:p>
    <w:p>
      <w:pPr>
        <w:spacing w:after="0" w:line="240" w:lineRule="auto"/>
        <w:jc w:val="both"/>
        <w:rPr>
          <w:sz w:val="24"/>
        </w:rPr>
        <w:sectPr>
          <w:pgSz w:w="12250" w:h="17190"/>
          <w:pgMar w:header="0" w:footer="748" w:top="1460" w:bottom="1020" w:left="1180" w:right="0"/>
        </w:sectPr>
      </w:pPr>
    </w:p>
    <w:p>
      <w:pPr>
        <w:pStyle w:val="ListParagraph"/>
        <w:numPr>
          <w:ilvl w:val="2"/>
          <w:numId w:val="23"/>
        </w:numPr>
        <w:tabs>
          <w:tab w:pos="658" w:val="left" w:leader="none"/>
        </w:tabs>
        <w:spacing w:line="225" w:lineRule="auto" w:before="46" w:after="0"/>
        <w:ind w:left="657" w:right="1361" w:hanging="366"/>
        <w:jc w:val="both"/>
        <w:rPr>
          <w:sz w:val="24"/>
        </w:rPr>
      </w:pPr>
      <w:r>
        <w:rPr/>
        <w:pict>
          <v:group style="position:absolute;margin-left:571.5pt;margin-top:.643554pt;width:40.9pt;height:127.55pt;mso-position-horizontal-relative:page;mso-position-vertical-relative:paragraph;z-index:251688960" coordorigin="11430,13" coordsize="818,2551">
            <v:shape style="position:absolute;left:11430;top:12;width:818;height:2551" coordorigin="11430,13" coordsize="818,2551" path="m12247,13l11595,13,11531,26,11478,61,11443,114,11430,178,11430,2399,11443,2463,11478,2515,11531,2551,11595,2564,12247,2564,12247,13xe" filled="true" fillcolor="#a6a6a6" stroked="false">
              <v:path arrowok="t"/>
              <v:fill type="solid"/>
            </v:shape>
            <v:shape style="position:absolute;left:11430;top:12;width:818;height:2551" type="#_x0000_t202" filled="false" stroked="false">
              <v:textbox inset="0,0,0,0">
                <w:txbxContent>
                  <w:p>
                    <w:pPr>
                      <w:spacing w:line="146" w:lineRule="auto" w:before="127"/>
                      <w:ind w:left="136" w:right="458" w:firstLine="0"/>
                      <w:jc w:val="both"/>
                      <w:rPr>
                        <w:sz w:val="22"/>
                      </w:rPr>
                    </w:pPr>
                    <w:r>
                      <w:rPr>
                        <w:sz w:val="22"/>
                      </w:rPr>
                      <w:t>第四章</w:t>
                    </w:r>
                  </w:p>
                  <w:p>
                    <w:pPr>
                      <w:spacing w:line="141" w:lineRule="auto" w:before="175"/>
                      <w:ind w:left="136" w:right="458" w:firstLine="0"/>
                      <w:jc w:val="both"/>
                      <w:rPr>
                        <w:sz w:val="22"/>
                      </w:rPr>
                    </w:pPr>
                    <w:r>
                      <w:rPr>
                        <w:sz w:val="22"/>
                      </w:rPr>
                      <w:t>結核病的治療</w:t>
                    </w:r>
                  </w:p>
                </w:txbxContent>
              </v:textbox>
              <w10:wrap type="none"/>
            </v:shape>
            <w10:wrap type="none"/>
          </v:group>
        </w:pict>
      </w:r>
      <w:r>
        <w:rPr>
          <w:spacing w:val="2"/>
          <w:sz w:val="24"/>
        </w:rPr>
        <w:t>下列幾種情形，可以考慮給病人吃 </w:t>
      </w:r>
      <w:r>
        <w:rPr>
          <w:sz w:val="24"/>
        </w:rPr>
        <w:t>pyridoxine（vitamin</w:t>
      </w:r>
      <w:r>
        <w:rPr>
          <w:spacing w:val="10"/>
          <w:sz w:val="24"/>
        </w:rPr>
        <w:t> </w:t>
      </w:r>
      <w:r>
        <w:rPr>
          <w:sz w:val="24"/>
        </w:rPr>
        <w:t>B6，50</w:t>
      </w:r>
      <w:r>
        <w:rPr>
          <w:spacing w:val="12"/>
          <w:sz w:val="24"/>
        </w:rPr>
        <w:t> </w:t>
      </w:r>
      <w:r>
        <w:rPr>
          <w:spacing w:val="2"/>
          <w:sz w:val="24"/>
        </w:rPr>
        <w:t>mg）：糖尿病、腎</w:t>
      </w:r>
      <w:r>
        <w:rPr>
          <w:spacing w:val="3"/>
          <w:sz w:val="24"/>
        </w:rPr>
        <w:t>功能不全、營養不良、慢性肝病、酗酒、感染 </w:t>
      </w:r>
      <w:r>
        <w:rPr>
          <w:sz w:val="24"/>
        </w:rPr>
        <w:t>HIV</w:t>
      </w:r>
      <w:r>
        <w:rPr>
          <w:spacing w:val="1"/>
          <w:sz w:val="24"/>
        </w:rPr>
        <w:t>、末梢神經炎、懷孕、哺乳、使用cycloserine</w:t>
      </w:r>
      <w:r>
        <w:rPr>
          <w:spacing w:val="2"/>
          <w:sz w:val="24"/>
        </w:rPr>
        <w:t>／高劑量 </w:t>
      </w:r>
      <w:r>
        <w:rPr>
          <w:sz w:val="24"/>
        </w:rPr>
        <w:t>isoniazid（16-20</w:t>
      </w:r>
      <w:r>
        <w:rPr>
          <w:spacing w:val="4"/>
          <w:sz w:val="24"/>
        </w:rPr>
        <w:t> </w:t>
      </w:r>
      <w:r>
        <w:rPr>
          <w:sz w:val="24"/>
        </w:rPr>
        <w:t>mg/kg/day）</w:t>
      </w:r>
      <w:r>
        <w:rPr>
          <w:spacing w:val="3"/>
          <w:sz w:val="24"/>
        </w:rPr>
        <w:t>治療。</w:t>
      </w:r>
    </w:p>
    <w:p>
      <w:pPr>
        <w:pStyle w:val="ListParagraph"/>
        <w:numPr>
          <w:ilvl w:val="2"/>
          <w:numId w:val="23"/>
        </w:numPr>
        <w:tabs>
          <w:tab w:pos="658" w:val="left" w:leader="none"/>
        </w:tabs>
        <w:spacing w:line="225" w:lineRule="auto" w:before="88" w:after="0"/>
        <w:ind w:left="657" w:right="1358" w:hanging="366"/>
        <w:jc w:val="both"/>
        <w:rPr>
          <w:sz w:val="24"/>
        </w:rPr>
      </w:pPr>
      <w:r>
        <w:rPr>
          <w:sz w:val="24"/>
        </w:rPr>
        <w:t>Rifabutin</w:t>
      </w:r>
      <w:r>
        <w:rPr>
          <w:spacing w:val="5"/>
          <w:sz w:val="24"/>
        </w:rPr>
        <w:t> 比 </w:t>
      </w:r>
      <w:r>
        <w:rPr>
          <w:sz w:val="24"/>
        </w:rPr>
        <w:t>RMP 容易引起嚴重的白血球低下症</w:t>
      </w:r>
      <w:r>
        <w:rPr>
          <w:spacing w:val="-4"/>
          <w:sz w:val="24"/>
        </w:rPr>
        <w:t>（leukopenia，2%）</w:t>
      </w:r>
      <w:r>
        <w:rPr>
          <w:spacing w:val="1"/>
          <w:sz w:val="24"/>
        </w:rPr>
        <w:t>，且和 </w:t>
      </w:r>
      <w:r>
        <w:rPr>
          <w:sz w:val="24"/>
        </w:rPr>
        <w:t>RMP</w:t>
      </w:r>
      <w:r>
        <w:rPr>
          <w:spacing w:val="4"/>
          <w:sz w:val="24"/>
        </w:rPr>
        <w:t> 出</w:t>
      </w:r>
      <w:r>
        <w:rPr>
          <w:sz w:val="24"/>
        </w:rPr>
        <w:t>現交叉抗藥的可能性極高（cross</w:t>
      </w:r>
      <w:r>
        <w:rPr>
          <w:spacing w:val="-13"/>
          <w:sz w:val="24"/>
        </w:rPr>
        <w:t> </w:t>
      </w:r>
      <w:r>
        <w:rPr>
          <w:sz w:val="24"/>
        </w:rPr>
        <w:t>resistance，臺灣的數據為 </w:t>
      </w:r>
      <w:r>
        <w:rPr>
          <w:spacing w:val="-10"/>
          <w:sz w:val="24"/>
        </w:rPr>
        <w:t>87%）</w:t>
      </w:r>
      <w:r>
        <w:rPr>
          <w:sz w:val="24"/>
        </w:rPr>
        <w:t>，建議只用在下列</w:t>
      </w:r>
      <w:r>
        <w:rPr>
          <w:spacing w:val="2"/>
          <w:sz w:val="24"/>
        </w:rPr>
        <w:t>幾種情形：</w:t>
      </w:r>
    </w:p>
    <w:p>
      <w:pPr>
        <w:pStyle w:val="ListParagraph"/>
        <w:numPr>
          <w:ilvl w:val="3"/>
          <w:numId w:val="23"/>
        </w:numPr>
        <w:tabs>
          <w:tab w:pos="1150" w:val="left" w:leader="none"/>
        </w:tabs>
        <w:spacing w:line="225" w:lineRule="auto" w:before="3" w:after="0"/>
        <w:ind w:left="653" w:right="1296" w:firstLine="0"/>
        <w:jc w:val="right"/>
        <w:rPr>
          <w:sz w:val="24"/>
        </w:rPr>
      </w:pPr>
      <w:r>
        <w:rPr>
          <w:spacing w:val="2"/>
          <w:sz w:val="24"/>
        </w:rPr>
        <w:t>使用蛋白酶抑制劑、非核苷反錄酶抑制劑的 </w:t>
      </w:r>
      <w:r>
        <w:rPr>
          <w:sz w:val="24"/>
        </w:rPr>
        <w:t>HIV</w:t>
      </w:r>
      <w:r>
        <w:rPr>
          <w:spacing w:val="5"/>
          <w:sz w:val="24"/>
        </w:rPr>
        <w:t> 陽性病人</w:t>
      </w:r>
      <w:r>
        <w:rPr>
          <w:spacing w:val="4"/>
          <w:sz w:val="24"/>
        </w:rPr>
        <w:t>（</w:t>
      </w:r>
      <w:r>
        <w:rPr>
          <w:spacing w:val="3"/>
          <w:sz w:val="24"/>
        </w:rPr>
        <w:t>請看本書第九章）。 </w:t>
      </w:r>
      <w:r>
        <w:rPr>
          <w:sz w:val="24"/>
        </w:rPr>
        <w:t>5-2</w:t>
      </w:r>
      <w:r>
        <w:rPr>
          <w:spacing w:val="57"/>
          <w:sz w:val="24"/>
        </w:rPr>
        <w:t> </w:t>
      </w:r>
      <w:r>
        <w:rPr>
          <w:color w:val="FF0000"/>
          <w:spacing w:val="-1"/>
          <w:sz w:val="24"/>
        </w:rPr>
        <w:t>若病人使用口服抗凝血劑，不論是 </w:t>
      </w:r>
      <w:r>
        <w:rPr>
          <w:color w:val="FF0000"/>
          <w:sz w:val="24"/>
        </w:rPr>
        <w:t>warfarin</w:t>
      </w:r>
      <w:r>
        <w:rPr>
          <w:color w:val="FF0000"/>
          <w:spacing w:val="2"/>
          <w:sz w:val="24"/>
        </w:rPr>
        <w:t> 或是新一代口服抗凝血劑(</w:t>
      </w:r>
      <w:r>
        <w:rPr>
          <w:color w:val="FF0000"/>
          <w:sz w:val="24"/>
        </w:rPr>
        <w:t>novel</w:t>
      </w:r>
      <w:r>
        <w:rPr>
          <w:color w:val="FF0000"/>
          <w:spacing w:val="-7"/>
          <w:sz w:val="24"/>
        </w:rPr>
        <w:t> </w:t>
      </w:r>
      <w:r>
        <w:rPr>
          <w:color w:val="FF0000"/>
          <w:sz w:val="24"/>
        </w:rPr>
        <w:t>oral anti-coagulant</w:t>
      </w:r>
      <w:r>
        <w:rPr>
          <w:color w:val="FF0000"/>
          <w:spacing w:val="25"/>
          <w:sz w:val="24"/>
        </w:rPr>
        <w:t>, </w:t>
      </w:r>
      <w:r>
        <w:rPr>
          <w:color w:val="FF0000"/>
          <w:sz w:val="24"/>
        </w:rPr>
        <w:t>NOAC)</w:t>
      </w:r>
      <w:r>
        <w:rPr>
          <w:color w:val="FF0000"/>
          <w:spacing w:val="6"/>
          <w:sz w:val="24"/>
        </w:rPr>
        <w:t>，使用 </w:t>
      </w:r>
      <w:r>
        <w:rPr>
          <w:color w:val="FF0000"/>
          <w:sz w:val="24"/>
        </w:rPr>
        <w:t>RMP</w:t>
      </w:r>
      <w:r>
        <w:rPr>
          <w:color w:val="FF0000"/>
          <w:spacing w:val="3"/>
          <w:sz w:val="24"/>
        </w:rPr>
        <w:t> 均會影響其功能，相較於 </w:t>
      </w:r>
      <w:r>
        <w:rPr>
          <w:color w:val="FF0000"/>
          <w:sz w:val="24"/>
        </w:rPr>
        <w:t>RMP，rifabutin</w:t>
      </w:r>
    </w:p>
    <w:p>
      <w:pPr>
        <w:pStyle w:val="BodyText"/>
        <w:spacing w:line="225" w:lineRule="auto" w:before="4"/>
        <w:ind w:left="1153" w:right="1358"/>
        <w:jc w:val="both"/>
      </w:pPr>
      <w:r>
        <w:rPr>
          <w:color w:val="FF0000"/>
        </w:rPr>
        <w:t>對抗凝血劑的代謝影響程度比較低，可考慮以 rifabutin 取代，並持續觀察臨床反應，也應提醒病人和開立抗凝血劑的醫師，注意血栓和出血的風險。</w:t>
      </w:r>
    </w:p>
    <w:p>
      <w:pPr>
        <w:pStyle w:val="ListParagraph"/>
        <w:numPr>
          <w:ilvl w:val="1"/>
          <w:numId w:val="24"/>
        </w:numPr>
        <w:tabs>
          <w:tab w:pos="1150" w:val="left" w:leader="none"/>
        </w:tabs>
        <w:spacing w:line="412" w:lineRule="exact" w:before="0" w:after="0"/>
        <w:ind w:left="1149" w:right="0" w:hanging="497"/>
        <w:jc w:val="both"/>
        <w:rPr>
          <w:sz w:val="24"/>
        </w:rPr>
      </w:pPr>
      <w:r>
        <w:rPr>
          <w:spacing w:val="2"/>
          <w:sz w:val="24"/>
        </w:rPr>
        <w:t>病人發生 </w:t>
      </w:r>
      <w:r>
        <w:rPr>
          <w:sz w:val="24"/>
        </w:rPr>
        <w:t>RMP</w:t>
      </w:r>
      <w:r>
        <w:rPr>
          <w:spacing w:val="4"/>
          <w:sz w:val="24"/>
        </w:rPr>
        <w:t> 的副作用，且測試後確認 </w:t>
      </w:r>
      <w:r>
        <w:rPr>
          <w:sz w:val="24"/>
        </w:rPr>
        <w:t>rifabutin</w:t>
      </w:r>
      <w:r>
        <w:rPr>
          <w:spacing w:val="2"/>
          <w:sz w:val="24"/>
        </w:rPr>
        <w:t> 可以避免這個副作用。</w:t>
      </w:r>
    </w:p>
    <w:p>
      <w:pPr>
        <w:pStyle w:val="ListParagraph"/>
        <w:numPr>
          <w:ilvl w:val="1"/>
          <w:numId w:val="24"/>
        </w:numPr>
        <w:tabs>
          <w:tab w:pos="1150" w:val="left" w:leader="none"/>
        </w:tabs>
        <w:spacing w:line="429" w:lineRule="exact" w:before="0" w:after="0"/>
        <w:ind w:left="1149" w:right="0" w:hanging="497"/>
        <w:jc w:val="both"/>
        <w:rPr>
          <w:sz w:val="24"/>
        </w:rPr>
      </w:pPr>
      <w:r>
        <w:rPr>
          <w:spacing w:val="3"/>
          <w:sz w:val="24"/>
        </w:rPr>
        <w:t>細菌對 </w:t>
      </w:r>
      <w:r>
        <w:rPr>
          <w:sz w:val="24"/>
        </w:rPr>
        <w:t>RMP</w:t>
      </w:r>
      <w:r>
        <w:rPr>
          <w:spacing w:val="1"/>
          <w:sz w:val="24"/>
        </w:rPr>
        <w:t> 抗藥，且 </w:t>
      </w:r>
      <w:r>
        <w:rPr>
          <w:sz w:val="24"/>
        </w:rPr>
        <w:t>DST</w:t>
      </w:r>
      <w:r>
        <w:rPr>
          <w:spacing w:val="3"/>
          <w:sz w:val="24"/>
        </w:rPr>
        <w:t> 證實 </w:t>
      </w:r>
      <w:r>
        <w:rPr>
          <w:sz w:val="24"/>
        </w:rPr>
        <w:t>rifabutin</w:t>
      </w:r>
      <w:r>
        <w:rPr>
          <w:spacing w:val="3"/>
          <w:sz w:val="24"/>
        </w:rPr>
        <w:t> 對它有效。</w:t>
      </w:r>
    </w:p>
    <w:p>
      <w:pPr>
        <w:pStyle w:val="ListParagraph"/>
        <w:numPr>
          <w:ilvl w:val="2"/>
          <w:numId w:val="23"/>
        </w:numPr>
        <w:tabs>
          <w:tab w:pos="658" w:val="left" w:leader="none"/>
        </w:tabs>
        <w:spacing w:line="225" w:lineRule="auto" w:before="78" w:after="0"/>
        <w:ind w:left="657" w:right="1354" w:hanging="366"/>
        <w:jc w:val="both"/>
        <w:rPr>
          <w:sz w:val="24"/>
        </w:rPr>
      </w:pPr>
      <w:r>
        <w:rPr>
          <w:spacing w:val="3"/>
          <w:sz w:val="24"/>
        </w:rPr>
        <w:t>為確保治療效果、縮短治療時間，治療接受器官移植服用抗排斥藥的結核病人時，建</w:t>
      </w:r>
      <w:r>
        <w:rPr>
          <w:spacing w:val="7"/>
          <w:sz w:val="24"/>
        </w:rPr>
        <w:t>議不要刻意避開 </w:t>
      </w:r>
      <w:r>
        <w:rPr>
          <w:sz w:val="24"/>
        </w:rPr>
        <w:t>RMP/rifabutin</w:t>
      </w:r>
      <w:r>
        <w:rPr>
          <w:spacing w:val="7"/>
          <w:sz w:val="24"/>
        </w:rPr>
        <w:t> 不用。至於這類藥會與抗排斥藥發生交互作用的問</w:t>
      </w:r>
      <w:r>
        <w:rPr>
          <w:spacing w:val="3"/>
          <w:sz w:val="24"/>
        </w:rPr>
        <w:t>題，可考慮依抗排斥藥的血清濃度來調整劑量。建議診治醫師能同時與器官移植的專家、感染科醫師和疾病管制署推薦的結核病專家共同討論，決定處方。</w:t>
      </w:r>
    </w:p>
    <w:p>
      <w:pPr>
        <w:pStyle w:val="BodyText"/>
        <w:spacing w:before="1"/>
        <w:rPr>
          <w:sz w:val="21"/>
        </w:rPr>
      </w:pPr>
    </w:p>
    <w:p>
      <w:pPr>
        <w:pStyle w:val="Heading6"/>
        <w:numPr>
          <w:ilvl w:val="1"/>
          <w:numId w:val="23"/>
        </w:numPr>
        <w:tabs>
          <w:tab w:pos="664" w:val="left" w:leader="none"/>
        </w:tabs>
        <w:spacing w:line="457" w:lineRule="exact" w:before="1" w:after="0"/>
        <w:ind w:left="663" w:right="0" w:hanging="484"/>
        <w:jc w:val="left"/>
      </w:pPr>
      <w:r>
        <w:rPr>
          <w:spacing w:val="1"/>
        </w:rPr>
        <w:t>治療曾經接受治療過病人(再治處方)</w:t>
      </w:r>
    </w:p>
    <w:p>
      <w:pPr>
        <w:pStyle w:val="BodyText"/>
        <w:spacing w:line="225" w:lineRule="auto" w:before="16"/>
        <w:ind w:left="653" w:right="1362" w:firstLine="488"/>
        <w:jc w:val="both"/>
      </w:pPr>
      <w:r>
        <w:rPr>
          <w:color w:val="FF0000"/>
          <w:spacing w:val="3"/>
        </w:rPr>
        <w:t>若 </w:t>
      </w:r>
      <w:r>
        <w:rPr>
          <w:color w:val="FF0000"/>
        </w:rPr>
        <w:t>DST</w:t>
      </w:r>
      <w:r>
        <w:rPr>
          <w:color w:val="FF0000"/>
          <w:spacing w:val="2"/>
        </w:rPr>
        <w:t> 的結果尚無法取得，建議全程 </w:t>
      </w:r>
      <w:r>
        <w:rPr>
          <w:color w:val="FF0000"/>
        </w:rPr>
        <w:t>INH</w:t>
      </w:r>
      <w:r>
        <w:rPr>
          <w:color w:val="FF0000"/>
          <w:spacing w:val="-7"/>
        </w:rPr>
        <w:t> + </w:t>
      </w:r>
      <w:r>
        <w:rPr>
          <w:color w:val="FF0000"/>
        </w:rPr>
        <w:t>RMP</w:t>
      </w:r>
      <w:r>
        <w:rPr>
          <w:color w:val="FF0000"/>
          <w:spacing w:val="-6"/>
        </w:rPr>
        <w:t> + </w:t>
      </w:r>
      <w:r>
        <w:rPr>
          <w:color w:val="FF0000"/>
        </w:rPr>
        <w:t>PZA</w:t>
      </w:r>
      <w:r>
        <w:rPr>
          <w:color w:val="FF0000"/>
          <w:spacing w:val="-7"/>
        </w:rPr>
        <w:t> + </w:t>
      </w:r>
      <w:r>
        <w:rPr>
          <w:color w:val="FF0000"/>
        </w:rPr>
        <w:t>EMB</w:t>
      </w:r>
      <w:r>
        <w:rPr>
          <w:color w:val="FF0000"/>
          <w:spacing w:val="-10"/>
        </w:rPr>
        <w:t> </w:t>
      </w:r>
      <w:r>
        <w:rPr>
          <w:color w:val="FF0000"/>
        </w:rPr>
        <w:t>6-9</w:t>
      </w:r>
      <w:r>
        <w:rPr>
          <w:color w:val="FF0000"/>
          <w:spacing w:val="2"/>
        </w:rPr>
        <w:t> 個月。經臨床醫師評估，肺部有廣泛或是開洞病灶的病人，或是其他預期有較高的風險在治療過</w:t>
      </w:r>
      <w:r>
        <w:rPr>
          <w:color w:val="FF0000"/>
          <w:spacing w:val="8"/>
        </w:rPr>
        <w:t>程中產生 </w:t>
      </w:r>
      <w:r>
        <w:rPr>
          <w:color w:val="FF0000"/>
        </w:rPr>
        <w:t>RMP</w:t>
      </w:r>
      <w:r>
        <w:rPr>
          <w:color w:val="FF0000"/>
          <w:spacing w:val="3"/>
        </w:rPr>
        <w:t> 獲得性抗藥的病人，可以在加強期再加入 </w:t>
      </w:r>
      <w:r>
        <w:rPr>
          <w:color w:val="FF0000"/>
        </w:rPr>
        <w:t>Streptomycin</w:t>
      </w:r>
      <w:r>
        <w:rPr>
          <w:color w:val="FF0000"/>
          <w:spacing w:val="21"/>
        </w:rPr>
        <w:t> (</w:t>
      </w:r>
      <w:r>
        <w:rPr>
          <w:color w:val="FF0000"/>
        </w:rPr>
        <w:t>SM)</w:t>
      </w:r>
      <w:r>
        <w:rPr>
          <w:color w:val="FF0000"/>
          <w:spacing w:val="2"/>
        </w:rPr>
        <w:t>。得到DST 結果後，對於 </w:t>
      </w:r>
      <w:r>
        <w:rPr>
          <w:color w:val="FF0000"/>
        </w:rPr>
        <w:t>INH</w:t>
      </w:r>
      <w:r>
        <w:rPr>
          <w:color w:val="FF0000"/>
          <w:spacing w:val="2"/>
        </w:rPr>
        <w:t> 和 </w:t>
      </w:r>
      <w:r>
        <w:rPr>
          <w:color w:val="FF0000"/>
        </w:rPr>
        <w:t>RMP</w:t>
      </w:r>
      <w:r>
        <w:rPr>
          <w:color w:val="FF0000"/>
          <w:spacing w:val="2"/>
        </w:rPr>
        <w:t> 均敏感的病人，可依 </w:t>
      </w:r>
      <w:r>
        <w:rPr>
          <w:color w:val="FF0000"/>
        </w:rPr>
        <w:t>4.2</w:t>
      </w:r>
      <w:r>
        <w:rPr>
          <w:color w:val="FF0000"/>
          <w:spacing w:val="3"/>
        </w:rPr>
        <w:t> 的處方治療。</w:t>
      </w:r>
    </w:p>
    <w:p>
      <w:pPr>
        <w:pStyle w:val="ListParagraph"/>
        <w:numPr>
          <w:ilvl w:val="2"/>
          <w:numId w:val="23"/>
        </w:numPr>
        <w:tabs>
          <w:tab w:pos="658" w:val="left" w:leader="none"/>
        </w:tabs>
        <w:spacing w:line="225" w:lineRule="auto" w:before="4" w:after="0"/>
        <w:ind w:left="657" w:right="1357" w:hanging="366"/>
        <w:jc w:val="both"/>
        <w:rPr>
          <w:color w:val="FF0000"/>
          <w:sz w:val="24"/>
        </w:rPr>
      </w:pPr>
      <w:r>
        <w:rPr>
          <w:color w:val="FF0000"/>
          <w:spacing w:val="7"/>
          <w:sz w:val="24"/>
        </w:rPr>
        <w:t>統計 </w:t>
      </w:r>
      <w:r>
        <w:rPr>
          <w:color w:val="FF0000"/>
          <w:sz w:val="24"/>
        </w:rPr>
        <w:t>2019</w:t>
      </w:r>
      <w:r>
        <w:rPr>
          <w:color w:val="FF0000"/>
          <w:spacing w:val="2"/>
          <w:sz w:val="24"/>
        </w:rPr>
        <w:t> 年的再次治療的病人，</w:t>
      </w:r>
      <w:r>
        <w:rPr>
          <w:color w:val="FF0000"/>
          <w:sz w:val="24"/>
        </w:rPr>
        <w:t>INH</w:t>
      </w:r>
      <w:r>
        <w:rPr>
          <w:color w:val="FF0000"/>
          <w:spacing w:val="3"/>
          <w:sz w:val="24"/>
        </w:rPr>
        <w:t> 抗藥的風險是新病人的 </w:t>
      </w:r>
      <w:r>
        <w:rPr>
          <w:color w:val="FF0000"/>
          <w:sz w:val="24"/>
        </w:rPr>
        <w:t>2</w:t>
      </w:r>
      <w:r>
        <w:rPr>
          <w:color w:val="FF0000"/>
          <w:spacing w:val="9"/>
          <w:sz w:val="24"/>
        </w:rPr>
        <w:t> 倍，而 </w:t>
      </w:r>
      <w:r>
        <w:rPr>
          <w:color w:val="FF0000"/>
          <w:sz w:val="24"/>
        </w:rPr>
        <w:t>RMP</w:t>
      </w:r>
      <w:r>
        <w:rPr>
          <w:color w:val="FF0000"/>
          <w:spacing w:val="6"/>
          <w:sz w:val="24"/>
        </w:rPr>
        <w:t> 抗藥的風險約為新病人的 </w:t>
      </w:r>
      <w:r>
        <w:rPr>
          <w:color w:val="FF0000"/>
          <w:sz w:val="24"/>
        </w:rPr>
        <w:t>8</w:t>
      </w:r>
      <w:r>
        <w:rPr>
          <w:color w:val="FF0000"/>
          <w:spacing w:val="3"/>
          <w:sz w:val="24"/>
        </w:rPr>
        <w:t> 倍，對於再次治療的病人，應該盡早將痰送疾管署檢測 </w:t>
      </w:r>
      <w:r>
        <w:rPr>
          <w:color w:val="FF0000"/>
          <w:sz w:val="24"/>
        </w:rPr>
        <w:t>INH</w:t>
      </w:r>
      <w:r>
        <w:rPr>
          <w:color w:val="FF0000"/>
          <w:spacing w:val="21"/>
          <w:sz w:val="24"/>
        </w:rPr>
        <w:t> 及RMP</w:t>
      </w:r>
      <w:r>
        <w:rPr>
          <w:color w:val="FF0000"/>
          <w:spacing w:val="-4"/>
          <w:sz w:val="24"/>
        </w:rPr>
        <w:t> 的抗藥基因。如基因檢測的結果是 </w:t>
      </w:r>
      <w:r>
        <w:rPr>
          <w:color w:val="FF0000"/>
          <w:sz w:val="24"/>
        </w:rPr>
        <w:t>INH</w:t>
      </w:r>
      <w:r>
        <w:rPr>
          <w:color w:val="FF0000"/>
          <w:spacing w:val="3"/>
          <w:sz w:val="24"/>
        </w:rPr>
        <w:t> 抗藥或是 </w:t>
      </w:r>
      <w:r>
        <w:rPr>
          <w:color w:val="FF0000"/>
          <w:sz w:val="24"/>
        </w:rPr>
        <w:t>RMP</w:t>
      </w:r>
      <w:r>
        <w:rPr>
          <w:color w:val="FF0000"/>
          <w:spacing w:val="-4"/>
          <w:sz w:val="24"/>
        </w:rPr>
        <w:t> 抗藥，或是先前的治療過</w:t>
      </w:r>
      <w:r>
        <w:rPr>
          <w:color w:val="FF0000"/>
          <w:spacing w:val="2"/>
          <w:sz w:val="24"/>
        </w:rPr>
        <w:t>程曾經培養出抗藥性結核菌，請依本書第十二章的說明處理。</w:t>
      </w:r>
    </w:p>
    <w:p>
      <w:pPr>
        <w:pStyle w:val="ListParagraph"/>
        <w:numPr>
          <w:ilvl w:val="2"/>
          <w:numId w:val="23"/>
        </w:numPr>
        <w:tabs>
          <w:tab w:pos="658" w:val="left" w:leader="none"/>
        </w:tabs>
        <w:spacing w:line="223" w:lineRule="auto" w:before="4" w:after="0"/>
        <w:ind w:left="657" w:right="1352" w:hanging="366"/>
        <w:jc w:val="both"/>
        <w:rPr>
          <w:color w:val="FF0000"/>
          <w:sz w:val="24"/>
        </w:rPr>
      </w:pPr>
      <w:r>
        <w:rPr>
          <w:color w:val="FF0000"/>
          <w:spacing w:val="2"/>
          <w:sz w:val="24"/>
        </w:rPr>
        <w:t>世界衛生組織(</w:t>
      </w:r>
      <w:r>
        <w:rPr>
          <w:color w:val="FF0000"/>
          <w:sz w:val="24"/>
        </w:rPr>
        <w:t>World</w:t>
      </w:r>
      <w:r>
        <w:rPr>
          <w:color w:val="FF0000"/>
          <w:spacing w:val="-4"/>
          <w:sz w:val="24"/>
        </w:rPr>
        <w:t> </w:t>
      </w:r>
      <w:r>
        <w:rPr>
          <w:color w:val="FF0000"/>
          <w:sz w:val="24"/>
        </w:rPr>
        <w:t>Health</w:t>
      </w:r>
      <w:r>
        <w:rPr>
          <w:color w:val="FF0000"/>
          <w:spacing w:val="-3"/>
          <w:sz w:val="24"/>
        </w:rPr>
        <w:t> </w:t>
      </w:r>
      <w:r>
        <w:rPr>
          <w:color w:val="FF0000"/>
          <w:sz w:val="24"/>
        </w:rPr>
        <w:t>Organization</w:t>
      </w:r>
      <w:r>
        <w:rPr>
          <w:color w:val="FF0000"/>
          <w:spacing w:val="-2"/>
          <w:sz w:val="24"/>
        </w:rPr>
        <w:t>, </w:t>
      </w:r>
      <w:r>
        <w:rPr>
          <w:color w:val="FF0000"/>
          <w:sz w:val="24"/>
        </w:rPr>
        <w:t>WHO)過去建議對於再次治療的病人，使</w:t>
      </w:r>
      <w:r>
        <w:rPr>
          <w:color w:val="FF0000"/>
          <w:spacing w:val="3"/>
          <w:sz w:val="24"/>
        </w:rPr>
        <w:t>用 </w:t>
      </w:r>
      <w:r>
        <w:rPr>
          <w:color w:val="FF0000"/>
          <w:sz w:val="24"/>
        </w:rPr>
        <w:t>8</w:t>
      </w:r>
      <w:r>
        <w:rPr>
          <w:color w:val="FF0000"/>
          <w:spacing w:val="4"/>
          <w:sz w:val="24"/>
        </w:rPr>
        <w:t> 個月的 </w:t>
      </w:r>
      <w:r>
        <w:rPr>
          <w:color w:val="FF0000"/>
          <w:spacing w:val="2"/>
          <w:sz w:val="24"/>
        </w:rPr>
        <w:t>INH+EMB+RMP</w:t>
      </w:r>
      <w:r>
        <w:rPr>
          <w:color w:val="FF0000"/>
          <w:spacing w:val="5"/>
          <w:sz w:val="24"/>
        </w:rPr>
        <w:t>，並且在治療前期加上 </w:t>
      </w:r>
      <w:r>
        <w:rPr>
          <w:color w:val="FF0000"/>
          <w:sz w:val="24"/>
        </w:rPr>
        <w:t>3</w:t>
      </w:r>
      <w:r>
        <w:rPr>
          <w:color w:val="FF0000"/>
          <w:spacing w:val="4"/>
          <w:sz w:val="24"/>
        </w:rPr>
        <w:t> 個月的 </w:t>
      </w:r>
      <w:r>
        <w:rPr>
          <w:color w:val="FF0000"/>
          <w:sz w:val="24"/>
        </w:rPr>
        <w:t>PZA</w:t>
      </w:r>
      <w:r>
        <w:rPr>
          <w:color w:val="FF0000"/>
          <w:spacing w:val="4"/>
          <w:sz w:val="24"/>
        </w:rPr>
        <w:t> 和 </w:t>
      </w:r>
      <w:r>
        <w:rPr>
          <w:color w:val="FF0000"/>
          <w:sz w:val="24"/>
        </w:rPr>
        <w:t>2</w:t>
      </w:r>
      <w:r>
        <w:rPr>
          <w:color w:val="FF0000"/>
          <w:spacing w:val="6"/>
          <w:sz w:val="24"/>
        </w:rPr>
        <w:t> 個月的</w:t>
      </w:r>
      <w:r>
        <w:rPr>
          <w:color w:val="FF0000"/>
          <w:sz w:val="24"/>
        </w:rPr>
        <w:t>SM(2HRZES/HRZE/5HRE</w:t>
      </w:r>
      <w:r>
        <w:rPr>
          <w:color w:val="FF0000"/>
          <w:spacing w:val="1"/>
          <w:sz w:val="24"/>
        </w:rPr>
        <w:t>)，在統合分析中，這個處方的治療成功率僅 </w:t>
      </w:r>
      <w:r>
        <w:rPr>
          <w:color w:val="FF0000"/>
          <w:spacing w:val="2"/>
          <w:sz w:val="24"/>
        </w:rPr>
        <w:t>68%，原因之一是大部分病人沒有 </w:t>
      </w:r>
      <w:r>
        <w:rPr>
          <w:color w:val="FF0000"/>
          <w:sz w:val="24"/>
        </w:rPr>
        <w:t>DST 的檢驗結果。因此在 2017</w:t>
      </w:r>
      <w:r>
        <w:rPr>
          <w:color w:val="FF0000"/>
          <w:spacing w:val="3"/>
          <w:sz w:val="24"/>
        </w:rPr>
        <w:t> 年 </w:t>
      </w:r>
      <w:r>
        <w:rPr>
          <w:color w:val="FF0000"/>
          <w:sz w:val="24"/>
        </w:rPr>
        <w:t>WHO</w:t>
      </w:r>
      <w:r>
        <w:rPr>
          <w:color w:val="FF0000"/>
          <w:spacing w:val="-1"/>
          <w:sz w:val="24"/>
        </w:rPr>
        <w:t> 的治療指引中，對於再</w:t>
      </w:r>
      <w:r>
        <w:rPr>
          <w:color w:val="FF0000"/>
          <w:spacing w:val="-4"/>
          <w:sz w:val="24"/>
        </w:rPr>
        <w:t>次治療的病人，已不再推薦在 </w:t>
      </w:r>
      <w:r>
        <w:rPr>
          <w:color w:val="FF0000"/>
          <w:sz w:val="24"/>
        </w:rPr>
        <w:t>DST</w:t>
      </w:r>
      <w:r>
        <w:rPr>
          <w:color w:val="FF0000"/>
          <w:spacing w:val="2"/>
          <w:sz w:val="24"/>
        </w:rPr>
        <w:t> 未明的情形下常規加上 </w:t>
      </w:r>
      <w:r>
        <w:rPr>
          <w:color w:val="FF0000"/>
          <w:spacing w:val="-13"/>
          <w:sz w:val="24"/>
        </w:rPr>
        <w:t>SM</w:t>
      </w:r>
      <w:r>
        <w:rPr>
          <w:color w:val="FF0000"/>
          <w:spacing w:val="-4"/>
          <w:sz w:val="24"/>
        </w:rPr>
        <w:t>。統計 </w:t>
      </w:r>
      <w:r>
        <w:rPr>
          <w:color w:val="FF0000"/>
          <w:sz w:val="24"/>
        </w:rPr>
        <w:t>2010</w:t>
      </w:r>
      <w:r>
        <w:rPr>
          <w:color w:val="FF0000"/>
          <w:spacing w:val="3"/>
          <w:sz w:val="24"/>
        </w:rPr>
        <w:t> 年至 </w:t>
      </w:r>
      <w:r>
        <w:rPr>
          <w:color w:val="FF0000"/>
          <w:sz w:val="24"/>
        </w:rPr>
        <w:t>2018 </w:t>
      </w:r>
      <w:r>
        <w:rPr>
          <w:color w:val="FF0000"/>
          <w:spacing w:val="2"/>
          <w:sz w:val="24"/>
        </w:rPr>
        <w:t>年區間，本國籍、培養為 </w:t>
      </w:r>
      <w:r>
        <w:rPr>
          <w:color w:val="FF0000"/>
          <w:sz w:val="24"/>
        </w:rPr>
        <w:t>MTBC</w:t>
      </w:r>
      <w:r>
        <w:rPr>
          <w:color w:val="FF0000"/>
          <w:spacing w:val="2"/>
          <w:sz w:val="24"/>
        </w:rPr>
        <w:t> 且有藥敏資料的復發病人中：</w:t>
      </w:r>
      <w:r>
        <w:rPr>
          <w:color w:val="FF0000"/>
          <w:sz w:val="24"/>
        </w:rPr>
        <w:t>INH</w:t>
      </w:r>
      <w:r>
        <w:rPr>
          <w:color w:val="FF0000"/>
          <w:spacing w:val="6"/>
          <w:sz w:val="24"/>
        </w:rPr>
        <w:t> 和 </w:t>
      </w:r>
      <w:r>
        <w:rPr>
          <w:color w:val="FF0000"/>
          <w:sz w:val="24"/>
        </w:rPr>
        <w:t>EMB</w:t>
      </w:r>
      <w:r>
        <w:rPr>
          <w:color w:val="FF0000"/>
          <w:spacing w:val="3"/>
          <w:sz w:val="24"/>
        </w:rPr>
        <w:t> 同時抗藥</w:t>
      </w:r>
      <w:r>
        <w:rPr>
          <w:color w:val="FF0000"/>
          <w:spacing w:val="5"/>
          <w:sz w:val="24"/>
        </w:rPr>
        <w:t>的比率為 </w:t>
      </w:r>
      <w:r>
        <w:rPr>
          <w:color w:val="FF0000"/>
          <w:sz w:val="24"/>
        </w:rPr>
        <w:t>0.6%；RMP</w:t>
      </w:r>
      <w:r>
        <w:rPr>
          <w:color w:val="FF0000"/>
          <w:spacing w:val="6"/>
          <w:sz w:val="24"/>
        </w:rPr>
        <w:t> 敏感者之 </w:t>
      </w:r>
      <w:r>
        <w:rPr>
          <w:color w:val="FF0000"/>
          <w:sz w:val="24"/>
        </w:rPr>
        <w:t>SM</w:t>
      </w:r>
      <w:r>
        <w:rPr>
          <w:color w:val="FF0000"/>
          <w:spacing w:val="3"/>
          <w:sz w:val="24"/>
        </w:rPr>
        <w:t> 抗藥的比例為 </w:t>
      </w:r>
      <w:r>
        <w:rPr>
          <w:color w:val="FF0000"/>
          <w:sz w:val="24"/>
        </w:rPr>
        <w:t>8.0%，INH</w:t>
      </w:r>
      <w:r>
        <w:rPr>
          <w:color w:val="FF0000"/>
          <w:spacing w:val="3"/>
          <w:sz w:val="24"/>
        </w:rPr>
        <w:t> 抗藥的比例為 </w:t>
      </w:r>
      <w:r>
        <w:rPr>
          <w:color w:val="FF0000"/>
          <w:sz w:val="24"/>
        </w:rPr>
        <w:t>10%，</w:t>
      </w:r>
    </w:p>
    <w:p>
      <w:pPr>
        <w:spacing w:after="0" w:line="223" w:lineRule="auto"/>
        <w:jc w:val="both"/>
        <w:rPr>
          <w:sz w:val="24"/>
        </w:rPr>
        <w:sectPr>
          <w:pgSz w:w="12250" w:h="17190"/>
          <w:pgMar w:header="0" w:footer="748" w:top="1460" w:bottom="1020" w:left="1180" w:right="0"/>
        </w:sectPr>
      </w:pPr>
    </w:p>
    <w:p>
      <w:pPr>
        <w:pStyle w:val="BodyText"/>
        <w:spacing w:line="223" w:lineRule="auto" w:before="46"/>
        <w:ind w:left="657" w:right="1358"/>
        <w:jc w:val="both"/>
      </w:pPr>
      <w:r>
        <w:rPr>
          <w:color w:val="FF0000"/>
        </w:rPr>
        <w:t>INH 與 SM 同時抗藥的比例為 3.2%；而 RMP 抗藥者之 SM 抗藥的比例為 35.3%， INH 抗藥的比例為 72%，INH 及 SM 同時抗藥的比例為 32%。對於大多數的再次治療病人，排除 RMP 抗藥後，SM 仍可視為一個有效藥。但 aminoglycoside 的使用伴隨著高比率的耳毒性，且毒性會隨累積劑量而增加，臨床醫師得權衡可能的利弊，對病人詳加說明後，決定最適宜的處方。</w:t>
      </w:r>
    </w:p>
    <w:p>
      <w:pPr>
        <w:pStyle w:val="ListParagraph"/>
        <w:numPr>
          <w:ilvl w:val="2"/>
          <w:numId w:val="23"/>
        </w:numPr>
        <w:tabs>
          <w:tab w:pos="658" w:val="left" w:leader="none"/>
        </w:tabs>
        <w:spacing w:line="412" w:lineRule="exact" w:before="0" w:after="0"/>
        <w:ind w:left="657" w:right="0" w:hanging="367"/>
        <w:jc w:val="both"/>
        <w:rPr>
          <w:sz w:val="24"/>
        </w:rPr>
      </w:pPr>
      <w:r>
        <w:rPr>
          <w:spacing w:val="3"/>
          <w:sz w:val="24"/>
        </w:rPr>
        <w:t>有了傳統的藥敏報告後，請按 </w:t>
      </w:r>
      <w:r>
        <w:rPr>
          <w:sz w:val="24"/>
        </w:rPr>
        <w:t>4.5</w:t>
      </w:r>
      <w:r>
        <w:rPr>
          <w:spacing w:val="2"/>
          <w:sz w:val="24"/>
        </w:rPr>
        <w:t> 的說明，調整處方。</w:t>
      </w:r>
    </w:p>
    <w:p>
      <w:pPr>
        <w:pStyle w:val="ListParagraph"/>
        <w:numPr>
          <w:ilvl w:val="2"/>
          <w:numId w:val="23"/>
        </w:numPr>
        <w:tabs>
          <w:tab w:pos="658" w:val="left" w:leader="none"/>
        </w:tabs>
        <w:spacing w:line="223" w:lineRule="auto" w:before="8" w:after="0"/>
        <w:ind w:left="657" w:right="1361" w:hanging="366"/>
        <w:jc w:val="both"/>
        <w:rPr>
          <w:sz w:val="24"/>
        </w:rPr>
      </w:pPr>
      <w:r>
        <w:rPr>
          <w:spacing w:val="2"/>
          <w:sz w:val="24"/>
        </w:rPr>
        <w:t>處理失落再治的病人，重點在幫忙他解決中斷吃藥的原因。中斷治療少於二個月的病</w:t>
      </w:r>
      <w:r>
        <w:rPr>
          <w:spacing w:val="3"/>
          <w:sz w:val="24"/>
        </w:rPr>
        <w:t>人，</w:t>
      </w:r>
      <w:r>
        <w:rPr>
          <w:color w:val="FF0000"/>
          <w:spacing w:val="5"/>
          <w:sz w:val="24"/>
        </w:rPr>
        <w:t>若 </w:t>
      </w:r>
      <w:r>
        <w:rPr>
          <w:color w:val="FF0000"/>
          <w:sz w:val="24"/>
        </w:rPr>
        <w:t>RMP</w:t>
      </w:r>
      <w:r>
        <w:rPr>
          <w:color w:val="FF0000"/>
          <w:spacing w:val="3"/>
          <w:sz w:val="24"/>
        </w:rPr>
        <w:t> 的基因檢測為敏感</w:t>
      </w:r>
      <w:r>
        <w:rPr>
          <w:spacing w:val="2"/>
          <w:sz w:val="24"/>
        </w:rPr>
        <w:t>，可以繼續原處方，待取得 </w:t>
      </w:r>
      <w:r>
        <w:rPr>
          <w:sz w:val="24"/>
        </w:rPr>
        <w:t>DST</w:t>
      </w:r>
      <w:r>
        <w:rPr>
          <w:spacing w:val="3"/>
          <w:sz w:val="24"/>
        </w:rPr>
        <w:t> 結果後，參考 </w:t>
      </w:r>
      <w:r>
        <w:rPr>
          <w:sz w:val="24"/>
        </w:rPr>
        <w:t>4.5</w:t>
      </w:r>
      <w:r>
        <w:rPr>
          <w:spacing w:val="4"/>
          <w:sz w:val="24"/>
        </w:rPr>
        <w:t> 調</w:t>
      </w:r>
      <w:r>
        <w:rPr>
          <w:spacing w:val="3"/>
          <w:sz w:val="24"/>
        </w:rPr>
        <w:t>整治療處方。</w:t>
      </w:r>
    </w:p>
    <w:p>
      <w:pPr>
        <w:pStyle w:val="BodyText"/>
        <w:spacing w:before="3"/>
        <w:rPr>
          <w:sz w:val="19"/>
        </w:rPr>
      </w:pPr>
    </w:p>
    <w:p>
      <w:pPr>
        <w:pStyle w:val="Heading6"/>
        <w:numPr>
          <w:ilvl w:val="1"/>
          <w:numId w:val="23"/>
        </w:numPr>
        <w:tabs>
          <w:tab w:pos="664" w:val="left" w:leader="none"/>
        </w:tabs>
        <w:spacing w:line="454" w:lineRule="exact" w:before="0" w:after="0"/>
        <w:ind w:left="663" w:right="0" w:hanging="484"/>
        <w:jc w:val="both"/>
      </w:pPr>
      <w:r>
        <w:rPr>
          <w:spacing w:val="3"/>
        </w:rPr>
        <w:t>評估治療反應</w:t>
      </w:r>
    </w:p>
    <w:p>
      <w:pPr>
        <w:pStyle w:val="BodyText"/>
        <w:spacing w:line="223" w:lineRule="auto" w:before="17"/>
        <w:ind w:left="653" w:right="1361" w:firstLine="488"/>
        <w:jc w:val="both"/>
      </w:pPr>
      <w:r>
        <w:rPr>
          <w:color w:val="FF0000"/>
          <w:spacing w:val="3"/>
        </w:rPr>
        <w:t>治療期間應追蹤並確認細菌鑑定和藥物感受性的結果。定期評估病人症狀、</w:t>
      </w:r>
      <w:r>
        <w:rPr>
          <w:color w:val="FF0000"/>
        </w:rPr>
        <w:t>X</w:t>
      </w:r>
      <w:r>
        <w:rPr>
          <w:color w:val="FF0000"/>
          <w:spacing w:val="27"/>
        </w:rPr>
        <w:t> 光</w:t>
      </w:r>
      <w:r>
        <w:rPr>
          <w:color w:val="FF0000"/>
          <w:spacing w:val="2"/>
        </w:rPr>
        <w:t>和痰檢查是否改善、有沒有發生不良反應、以及服藥順從性，詳細的建議請參考第五</w:t>
      </w:r>
      <w:r>
        <w:rPr>
          <w:color w:val="FF0000"/>
          <w:spacing w:val="-8"/>
        </w:rPr>
        <w:t>章。治療失敗的定義(詳見第二章)，是在治療滿四個月後痰培養仍然陽性，或是治療前</w:t>
      </w:r>
      <w:r>
        <w:rPr>
          <w:color w:val="FF0000"/>
          <w:spacing w:val="2"/>
        </w:rPr>
        <w:t>痰培養陰性，但在治療二個月後培養變為陽性。然而依此判斷條件，大部分的人只能在治療滿四個月或是更久之後才能判斷病人治療失敗，往往錯過了早期修正處方或是</w:t>
      </w:r>
      <w:r>
        <w:rPr>
          <w:color w:val="FF0000"/>
          <w:spacing w:val="-10"/>
        </w:rPr>
        <w:t>解決病人治療問題的時機。因此，治療的過程中，治療滿二個月塗片仍然陽性的病人， </w:t>
      </w:r>
      <w:r>
        <w:rPr>
          <w:color w:val="FF0000"/>
          <w:spacing w:val="3"/>
        </w:rPr>
        <w:t>就應該提高警覺，判斷病人是否治療反應不佳，即早做出應變。</w:t>
      </w:r>
    </w:p>
    <w:p>
      <w:pPr>
        <w:pStyle w:val="ListParagraph"/>
        <w:numPr>
          <w:ilvl w:val="2"/>
          <w:numId w:val="23"/>
        </w:numPr>
        <w:tabs>
          <w:tab w:pos="658" w:val="left" w:leader="none"/>
        </w:tabs>
        <w:spacing w:line="223" w:lineRule="auto" w:before="0" w:after="0"/>
        <w:ind w:left="657" w:right="1358" w:hanging="366"/>
        <w:jc w:val="both"/>
        <w:rPr>
          <w:color w:val="FF0000"/>
          <w:sz w:val="24"/>
        </w:rPr>
      </w:pPr>
      <w:r>
        <w:rPr>
          <w:color w:val="FF0000"/>
          <w:spacing w:val="3"/>
          <w:sz w:val="24"/>
        </w:rPr>
        <w:t>遇到治療滿二個月，痰塗片仍然陽性的病人，首先要確定病人服藥的順從性，可以和個管師或是公衛護理師聯繫，了解病人都治時是否有特殊的狀況，請提醒關懷員特別關注病人的服藥情形。如果病人不規則吃藥，應該仔細的評估是否有治療產生的不良反應，不要輕忽病人的抱怨，小心處理任何不適的反應。不良反應的處理，請參考第五章。</w:t>
      </w:r>
    </w:p>
    <w:p>
      <w:pPr>
        <w:pStyle w:val="ListParagraph"/>
        <w:numPr>
          <w:ilvl w:val="2"/>
          <w:numId w:val="23"/>
        </w:numPr>
        <w:tabs>
          <w:tab w:pos="658" w:val="left" w:leader="none"/>
        </w:tabs>
        <w:spacing w:line="223" w:lineRule="auto" w:before="0" w:after="0"/>
        <w:ind w:left="657" w:right="1357" w:hanging="366"/>
        <w:jc w:val="both"/>
        <w:rPr>
          <w:color w:val="FF0000"/>
          <w:sz w:val="24"/>
        </w:rPr>
      </w:pPr>
      <w:r>
        <w:rPr>
          <w:color w:val="FF0000"/>
          <w:spacing w:val="3"/>
          <w:sz w:val="24"/>
        </w:rPr>
        <w:t>如果病人的症狀改善，痰塗片的價數逐漸減低，或是痰培養由送檢到回報陽性的時間</w:t>
      </w:r>
      <w:r>
        <w:rPr>
          <w:color w:val="FF0000"/>
          <w:spacing w:val="2"/>
          <w:sz w:val="24"/>
        </w:rPr>
        <w:t>隨著治療而延長，那可能是 </w:t>
      </w:r>
      <w:r>
        <w:rPr>
          <w:color w:val="FF0000"/>
          <w:sz w:val="24"/>
        </w:rPr>
        <w:t>Nonviable</w:t>
      </w:r>
      <w:r>
        <w:rPr>
          <w:color w:val="FF0000"/>
          <w:spacing w:val="14"/>
          <w:sz w:val="24"/>
        </w:rPr>
        <w:t> </w:t>
      </w:r>
      <w:r>
        <w:rPr>
          <w:color w:val="FF0000"/>
          <w:sz w:val="24"/>
        </w:rPr>
        <w:t>bacteria</w:t>
      </w:r>
      <w:r>
        <w:rPr>
          <w:color w:val="FF0000"/>
          <w:spacing w:val="6"/>
          <w:sz w:val="24"/>
        </w:rPr>
        <w:t> (</w:t>
      </w:r>
      <w:r>
        <w:rPr>
          <w:color w:val="FF0000"/>
          <w:sz w:val="24"/>
        </w:rPr>
        <w:t>NVB</w:t>
      </w:r>
      <w:r>
        <w:rPr>
          <w:color w:val="FF0000"/>
          <w:spacing w:val="1"/>
          <w:sz w:val="24"/>
        </w:rPr>
        <w:t>)，痰培養會是陰性的，可以維</w:t>
      </w:r>
      <w:r>
        <w:rPr>
          <w:color w:val="FF0000"/>
          <w:spacing w:val="-2"/>
          <w:sz w:val="24"/>
        </w:rPr>
        <w:t>持當下的處方，延長 </w:t>
      </w:r>
      <w:r>
        <w:rPr>
          <w:color w:val="FF0000"/>
          <w:sz w:val="24"/>
        </w:rPr>
        <w:t>PZA</w:t>
      </w:r>
      <w:r>
        <w:rPr>
          <w:color w:val="FF0000"/>
          <w:spacing w:val="-5"/>
          <w:sz w:val="24"/>
        </w:rPr>
        <w:t> 的治療時程，並持續追蹤病人的症狀、胸部 </w:t>
      </w:r>
      <w:r>
        <w:rPr>
          <w:color w:val="FF0000"/>
          <w:sz w:val="24"/>
        </w:rPr>
        <w:t>X</w:t>
      </w:r>
      <w:r>
        <w:rPr>
          <w:color w:val="FF0000"/>
          <w:spacing w:val="3"/>
          <w:sz w:val="24"/>
        </w:rPr>
        <w:t> 光和痰塗片及</w:t>
      </w:r>
      <w:r>
        <w:rPr>
          <w:color w:val="FF0000"/>
          <w:spacing w:val="2"/>
          <w:sz w:val="24"/>
        </w:rPr>
        <w:t>培養。必要時可以縮短追蹤的間隔，也可以將痰送疾病管制署，進行 </w:t>
      </w:r>
      <w:r>
        <w:rPr>
          <w:color w:val="FF0000"/>
          <w:sz w:val="24"/>
        </w:rPr>
        <w:t>INH</w:t>
      </w:r>
      <w:r>
        <w:rPr>
          <w:color w:val="FF0000"/>
          <w:spacing w:val="5"/>
          <w:sz w:val="24"/>
        </w:rPr>
        <w:t> 和 </w:t>
      </w:r>
      <w:r>
        <w:rPr>
          <w:color w:val="FF0000"/>
          <w:sz w:val="24"/>
        </w:rPr>
        <w:t>RMP</w:t>
      </w:r>
      <w:r>
        <w:rPr>
          <w:color w:val="FF0000"/>
          <w:spacing w:val="3"/>
          <w:sz w:val="24"/>
        </w:rPr>
        <w:t> 的基因檢測，了解是否有抗藥菌株的產生。</w:t>
      </w:r>
    </w:p>
    <w:p>
      <w:pPr>
        <w:pStyle w:val="ListParagraph"/>
        <w:numPr>
          <w:ilvl w:val="2"/>
          <w:numId w:val="23"/>
        </w:numPr>
        <w:tabs>
          <w:tab w:pos="658" w:val="left" w:leader="none"/>
        </w:tabs>
        <w:spacing w:line="223" w:lineRule="auto" w:before="0" w:after="0"/>
        <w:ind w:left="657" w:right="1357" w:hanging="366"/>
        <w:jc w:val="both"/>
        <w:rPr>
          <w:color w:val="FF0000"/>
          <w:sz w:val="24"/>
        </w:rPr>
      </w:pPr>
      <w:r>
        <w:rPr>
          <w:color w:val="FF0000"/>
          <w:spacing w:val="-3"/>
          <w:sz w:val="24"/>
        </w:rPr>
        <w:t>結核治療的過程中，也可能培養出非結核分枝桿菌，NAA</w:t>
      </w:r>
      <w:r>
        <w:rPr>
          <w:color w:val="FF0000"/>
          <w:spacing w:val="-11"/>
          <w:sz w:val="24"/>
        </w:rPr>
        <w:t> </w:t>
      </w:r>
      <w:r>
        <w:rPr>
          <w:color w:val="FF0000"/>
          <w:sz w:val="24"/>
        </w:rPr>
        <w:t>test</w:t>
      </w:r>
      <w:r>
        <w:rPr>
          <w:color w:val="FF0000"/>
          <w:spacing w:val="3"/>
          <w:sz w:val="24"/>
        </w:rPr>
        <w:t> 雖然能用來分辦結核菌</w:t>
      </w:r>
      <w:r>
        <w:rPr>
          <w:color w:val="FF0000"/>
          <w:spacing w:val="2"/>
          <w:sz w:val="24"/>
        </w:rPr>
        <w:t>和非結核分枝桿菌，但是 </w:t>
      </w:r>
      <w:r>
        <w:rPr>
          <w:color w:val="FF0000"/>
          <w:sz w:val="24"/>
        </w:rPr>
        <w:t>NAA</w:t>
      </w:r>
      <w:r>
        <w:rPr>
          <w:color w:val="FF0000"/>
          <w:spacing w:val="26"/>
          <w:sz w:val="24"/>
        </w:rPr>
        <w:t> </w:t>
      </w:r>
      <w:r>
        <w:rPr>
          <w:color w:val="FF0000"/>
          <w:sz w:val="24"/>
        </w:rPr>
        <w:t>test</w:t>
      </w:r>
      <w:r>
        <w:rPr>
          <w:color w:val="FF0000"/>
          <w:spacing w:val="2"/>
          <w:sz w:val="24"/>
        </w:rPr>
        <w:t> 陽性，也可能是 </w:t>
      </w:r>
      <w:r>
        <w:rPr>
          <w:color w:val="FF0000"/>
          <w:sz w:val="24"/>
        </w:rPr>
        <w:t>NVB</w:t>
      </w:r>
      <w:r>
        <w:rPr>
          <w:color w:val="FF0000"/>
          <w:spacing w:val="1"/>
          <w:sz w:val="24"/>
        </w:rPr>
        <w:t>，使得決策更複雜。如果病</w:t>
      </w:r>
      <w:r>
        <w:rPr>
          <w:color w:val="FF0000"/>
          <w:spacing w:val="2"/>
          <w:sz w:val="24"/>
        </w:rPr>
        <w:t>人的病情穩定，可以靜待培養和菌株鑑定的結果。</w:t>
      </w:r>
    </w:p>
    <w:p>
      <w:pPr>
        <w:pStyle w:val="ListParagraph"/>
        <w:numPr>
          <w:ilvl w:val="2"/>
          <w:numId w:val="23"/>
        </w:numPr>
        <w:tabs>
          <w:tab w:pos="658" w:val="left" w:leader="none"/>
        </w:tabs>
        <w:spacing w:line="220" w:lineRule="auto" w:before="0" w:after="0"/>
        <w:ind w:left="657" w:right="1358" w:hanging="366"/>
        <w:jc w:val="both"/>
        <w:rPr>
          <w:color w:val="FF0000"/>
          <w:sz w:val="24"/>
        </w:rPr>
      </w:pPr>
      <w:r>
        <w:rPr>
          <w:color w:val="FF0000"/>
          <w:spacing w:val="3"/>
          <w:sz w:val="24"/>
        </w:rPr>
        <w:t>加強期結束時，如果病人的的治療反應不如預期：臨床症狀和肺部病灶影像學變化沒</w:t>
      </w:r>
      <w:r>
        <w:rPr>
          <w:color w:val="FF0000"/>
          <w:spacing w:val="-12"/>
          <w:sz w:val="24"/>
        </w:rPr>
        <w:t>有改善，或是痰液培養仍為陽性。需考慮病人這時身上的細菌，可能已產生新的抗藥， </w:t>
      </w:r>
      <w:r>
        <w:rPr>
          <w:color w:val="FF0000"/>
          <w:spacing w:val="2"/>
          <w:sz w:val="24"/>
        </w:rPr>
        <w:t>不能只依據先前的 </w:t>
      </w:r>
      <w:r>
        <w:rPr>
          <w:color w:val="FF0000"/>
          <w:sz w:val="24"/>
        </w:rPr>
        <w:t>DST</w:t>
      </w:r>
      <w:r>
        <w:rPr>
          <w:color w:val="FF0000"/>
          <w:spacing w:val="-6"/>
          <w:sz w:val="24"/>
        </w:rPr>
        <w:t> 結果來設計處方，只加入一種新藥物企圖補強目前的處方是常</w:t>
      </w:r>
      <w:r>
        <w:rPr>
          <w:color w:val="FF0000"/>
          <w:spacing w:val="3"/>
          <w:sz w:val="24"/>
        </w:rPr>
        <w:t>見的錯誤，這麼做並不足以建立一個有效的處方，反而使新加入的藥物也曝露在產生</w:t>
      </w:r>
    </w:p>
    <w:p>
      <w:pPr>
        <w:spacing w:after="0" w:line="220" w:lineRule="auto"/>
        <w:jc w:val="both"/>
        <w:rPr>
          <w:sz w:val="24"/>
        </w:rPr>
        <w:sectPr>
          <w:pgSz w:w="12250" w:h="17190"/>
          <w:pgMar w:header="0" w:footer="748" w:top="1460" w:bottom="1020" w:left="1180" w:right="0"/>
        </w:sectPr>
      </w:pPr>
    </w:p>
    <w:p>
      <w:pPr>
        <w:pStyle w:val="BodyText"/>
        <w:spacing w:line="220" w:lineRule="auto" w:before="44"/>
        <w:ind w:left="657" w:right="1357"/>
        <w:jc w:val="both"/>
      </w:pPr>
      <w:r>
        <w:rPr/>
        <w:pict>
          <v:group style="position:absolute;margin-left:571.5pt;margin-top:.644380pt;width:40.9pt;height:127.55pt;mso-position-horizontal-relative:page;mso-position-vertical-relative:paragraph;z-index:251691008" coordorigin="11430,13" coordsize="818,2551">
            <v:shape style="position:absolute;left:11430;top:12;width:818;height:2551" coordorigin="11430,13" coordsize="818,2551" path="m12247,13l11595,13,11531,26,11478,61,11443,114,11430,178,11430,2399,11443,2463,11478,2515,11531,2551,11595,2564,12247,2564,12247,13xe" filled="true" fillcolor="#a6a6a6" stroked="false">
              <v:path arrowok="t"/>
              <v:fill type="solid"/>
            </v:shape>
            <v:shape style="position:absolute;left:11430;top:12;width:818;height:2551" type="#_x0000_t202" filled="false" stroked="false">
              <v:textbox inset="0,0,0,0">
                <w:txbxContent>
                  <w:p>
                    <w:pPr>
                      <w:spacing w:line="146" w:lineRule="auto" w:before="127"/>
                      <w:ind w:left="136" w:right="458" w:firstLine="0"/>
                      <w:jc w:val="both"/>
                      <w:rPr>
                        <w:sz w:val="22"/>
                      </w:rPr>
                    </w:pPr>
                    <w:r>
                      <w:rPr>
                        <w:sz w:val="22"/>
                      </w:rPr>
                      <w:t>第四章</w:t>
                    </w:r>
                  </w:p>
                  <w:p>
                    <w:pPr>
                      <w:spacing w:line="141" w:lineRule="auto" w:before="175"/>
                      <w:ind w:left="136" w:right="458" w:firstLine="0"/>
                      <w:jc w:val="both"/>
                      <w:rPr>
                        <w:sz w:val="22"/>
                      </w:rPr>
                    </w:pPr>
                    <w:r>
                      <w:rPr>
                        <w:sz w:val="22"/>
                      </w:rPr>
                      <w:t>結核病的治療</w:t>
                    </w:r>
                  </w:p>
                </w:txbxContent>
              </v:textbox>
              <w10:wrap type="none"/>
            </v:shape>
            <w10:wrap type="none"/>
          </v:group>
        </w:pict>
      </w:r>
      <w:r>
        <w:rPr>
          <w:color w:val="FF0000"/>
        </w:rPr>
        <w:t>新抗藥的風險中，使未來治療的處方設計更困難。應將病人的痰檢體送驗 RMP 的抗藥基因，在最短的時間內排除 rifampicin 抗藥的可能性，如果要加入新的藥物來補強處方，通常需同時加入 3 種預期有感受性且過去未使用過的藥物，在更動處方前，建議提出病例審查與專家討論。</w:t>
      </w:r>
    </w:p>
    <w:p>
      <w:pPr>
        <w:pStyle w:val="BodyText"/>
        <w:spacing w:before="13"/>
        <w:rPr>
          <w:sz w:val="17"/>
        </w:rPr>
      </w:pPr>
    </w:p>
    <w:p>
      <w:pPr>
        <w:pStyle w:val="Heading6"/>
        <w:numPr>
          <w:ilvl w:val="1"/>
          <w:numId w:val="23"/>
        </w:numPr>
        <w:tabs>
          <w:tab w:pos="664" w:val="left" w:leader="none"/>
        </w:tabs>
        <w:spacing w:line="453" w:lineRule="exact" w:before="0" w:after="0"/>
        <w:ind w:left="663" w:right="0" w:hanging="484"/>
        <w:jc w:val="both"/>
      </w:pPr>
      <w:r>
        <w:rPr>
          <w:spacing w:val="2"/>
        </w:rPr>
        <w:t>藥物感受性試驗報告相關議題</w:t>
      </w:r>
    </w:p>
    <w:p>
      <w:pPr>
        <w:pStyle w:val="BodyText"/>
        <w:spacing w:line="416" w:lineRule="exact"/>
        <w:ind w:left="1141"/>
        <w:jc w:val="both"/>
      </w:pPr>
      <w:r>
        <w:rPr/>
        <w:t>解讀你手上的這份 DST 報告時，應同時考慮以下幾點：</w:t>
      </w:r>
    </w:p>
    <w:p>
      <w:pPr>
        <w:pStyle w:val="ListParagraph"/>
        <w:numPr>
          <w:ilvl w:val="2"/>
          <w:numId w:val="23"/>
        </w:numPr>
        <w:tabs>
          <w:tab w:pos="658" w:val="left" w:leader="none"/>
        </w:tabs>
        <w:spacing w:line="220" w:lineRule="auto" w:before="8" w:after="0"/>
        <w:ind w:left="657" w:right="1361" w:hanging="366"/>
        <w:jc w:val="both"/>
        <w:rPr>
          <w:sz w:val="24"/>
        </w:rPr>
      </w:pPr>
      <w:r>
        <w:rPr>
          <w:spacing w:val="2"/>
          <w:sz w:val="24"/>
        </w:rPr>
        <w:t>這份報告符合病人的臨床表現嗎？即使是合乎國際標準的一線藥 </w:t>
      </w:r>
      <w:r>
        <w:rPr>
          <w:spacing w:val="-22"/>
          <w:sz w:val="24"/>
        </w:rPr>
        <w:t>DST</w:t>
      </w:r>
      <w:r>
        <w:rPr>
          <w:spacing w:val="-3"/>
          <w:sz w:val="24"/>
        </w:rPr>
        <w:t>，也只有 </w:t>
      </w:r>
      <w:r>
        <w:rPr>
          <w:sz w:val="24"/>
        </w:rPr>
        <w:t>INH</w:t>
      </w:r>
      <w:r>
        <w:rPr>
          <w:spacing w:val="1"/>
          <w:sz w:val="24"/>
        </w:rPr>
        <w:t> 和RMP</w:t>
      </w:r>
      <w:r>
        <w:rPr>
          <w:spacing w:val="-7"/>
          <w:sz w:val="24"/>
        </w:rPr>
        <w:t> 的敏感度</w:t>
      </w:r>
      <w:r>
        <w:rPr>
          <w:spacing w:val="-4"/>
          <w:sz w:val="24"/>
        </w:rPr>
        <w:t>（sensitivity）</w:t>
      </w:r>
      <w:r>
        <w:rPr>
          <w:spacing w:val="-14"/>
          <w:sz w:val="24"/>
        </w:rPr>
        <w:t>、特異度</w:t>
      </w:r>
      <w:r>
        <w:rPr>
          <w:sz w:val="24"/>
        </w:rPr>
        <w:t>（specificity）</w:t>
      </w:r>
      <w:r>
        <w:rPr>
          <w:spacing w:val="-4"/>
          <w:sz w:val="24"/>
        </w:rPr>
        <w:t>表現較佳、有 </w:t>
      </w:r>
      <w:r>
        <w:rPr>
          <w:sz w:val="24"/>
        </w:rPr>
        <w:t>95</w:t>
      </w:r>
      <w:r>
        <w:rPr>
          <w:spacing w:val="-2"/>
          <w:sz w:val="24"/>
        </w:rPr>
        <w:t>%以上的水準； EMB</w:t>
      </w:r>
      <w:r>
        <w:rPr>
          <w:spacing w:val="3"/>
          <w:sz w:val="24"/>
        </w:rPr>
        <w:t> 及 </w:t>
      </w:r>
      <w:r>
        <w:rPr>
          <w:sz w:val="24"/>
        </w:rPr>
        <w:t>streptomycin</w:t>
      </w:r>
      <w:r>
        <w:rPr>
          <w:spacing w:val="3"/>
          <w:sz w:val="24"/>
        </w:rPr>
        <w:t> 則較不穩定。</w:t>
      </w:r>
    </w:p>
    <w:p>
      <w:pPr>
        <w:pStyle w:val="ListParagraph"/>
        <w:numPr>
          <w:ilvl w:val="2"/>
          <w:numId w:val="23"/>
        </w:numPr>
        <w:tabs>
          <w:tab w:pos="658" w:val="left" w:leader="none"/>
        </w:tabs>
        <w:spacing w:line="220" w:lineRule="auto" w:before="0" w:after="0"/>
        <w:ind w:left="657" w:right="1357" w:hanging="366"/>
        <w:jc w:val="both"/>
        <w:rPr>
          <w:sz w:val="24"/>
        </w:rPr>
      </w:pPr>
      <w:r>
        <w:rPr>
          <w:spacing w:val="-4"/>
          <w:sz w:val="24"/>
        </w:rPr>
        <w:t>這份報告「過期」了嗎？即使是正確的 </w:t>
      </w:r>
      <w:r>
        <w:rPr>
          <w:sz w:val="24"/>
        </w:rPr>
        <w:t>DST</w:t>
      </w:r>
      <w:r>
        <w:rPr>
          <w:spacing w:val="-2"/>
          <w:sz w:val="24"/>
        </w:rPr>
        <w:t> 報告，也來</w:t>
      </w:r>
      <w:r>
        <w:rPr>
          <w:color w:val="FF0000"/>
          <w:spacing w:val="3"/>
          <w:sz w:val="24"/>
        </w:rPr>
        <w:t>自 </w:t>
      </w:r>
      <w:r>
        <w:rPr>
          <w:color w:val="FF0000"/>
          <w:sz w:val="24"/>
        </w:rPr>
        <w:t>2</w:t>
      </w:r>
      <w:r>
        <w:rPr>
          <w:color w:val="FF0000"/>
          <w:spacing w:val="2"/>
          <w:sz w:val="24"/>
        </w:rPr>
        <w:t> 個月或更先前</w:t>
      </w:r>
      <w:r>
        <w:rPr>
          <w:spacing w:val="-3"/>
          <w:sz w:val="24"/>
        </w:rPr>
        <w:t>的痰，而我</w:t>
      </w:r>
      <w:r>
        <w:rPr>
          <w:spacing w:val="3"/>
          <w:sz w:val="24"/>
        </w:rPr>
        <w:t>們面對的是「現在」的細菌。病人現在的藥敏狀況和手上的報告是不是一致，因人而</w:t>
      </w:r>
      <w:r>
        <w:rPr>
          <w:spacing w:val="-5"/>
          <w:sz w:val="24"/>
        </w:rPr>
        <w:t>異：病人在把痰送去檢驗之後，曾經服用過那些藥？是不是接受 </w:t>
      </w:r>
      <w:r>
        <w:rPr>
          <w:spacing w:val="2"/>
          <w:sz w:val="24"/>
        </w:rPr>
        <w:t>DOT？病情是不是得到改善，只要懷疑抗藥的現況和 </w:t>
      </w:r>
      <w:r>
        <w:rPr>
          <w:sz w:val="24"/>
        </w:rPr>
        <w:t>DST</w:t>
      </w:r>
      <w:r>
        <w:rPr>
          <w:spacing w:val="4"/>
          <w:sz w:val="24"/>
        </w:rPr>
        <w:t> 的報告不一致，就該回到 </w:t>
      </w:r>
      <w:r>
        <w:rPr>
          <w:sz w:val="24"/>
        </w:rPr>
        <w:t>4.4</w:t>
      </w:r>
      <w:r>
        <w:rPr>
          <w:spacing w:val="3"/>
          <w:sz w:val="24"/>
        </w:rPr>
        <w:t> 重新評估病情。</w:t>
      </w:r>
    </w:p>
    <w:p>
      <w:pPr>
        <w:pStyle w:val="ListParagraph"/>
        <w:numPr>
          <w:ilvl w:val="2"/>
          <w:numId w:val="23"/>
        </w:numPr>
        <w:tabs>
          <w:tab w:pos="658" w:val="left" w:leader="none"/>
        </w:tabs>
        <w:spacing w:line="220" w:lineRule="auto" w:before="1" w:after="0"/>
        <w:ind w:left="657" w:right="1357" w:hanging="366"/>
        <w:jc w:val="both"/>
        <w:rPr>
          <w:color w:val="FF0000"/>
          <w:sz w:val="24"/>
        </w:rPr>
      </w:pPr>
      <w:r>
        <w:rPr>
          <w:color w:val="FF0000"/>
          <w:spacing w:val="2"/>
          <w:sz w:val="24"/>
        </w:rPr>
        <w:t>若傳統 </w:t>
      </w:r>
      <w:r>
        <w:rPr>
          <w:color w:val="FF0000"/>
          <w:sz w:val="24"/>
        </w:rPr>
        <w:t>DST</w:t>
      </w:r>
      <w:r>
        <w:rPr>
          <w:color w:val="FF0000"/>
          <w:spacing w:val="2"/>
          <w:sz w:val="24"/>
        </w:rPr>
        <w:t> 結果確定細菌對 </w:t>
      </w:r>
      <w:r>
        <w:rPr>
          <w:color w:val="FF0000"/>
          <w:sz w:val="24"/>
        </w:rPr>
        <w:t>INH</w:t>
      </w:r>
      <w:r>
        <w:rPr>
          <w:color w:val="FF0000"/>
          <w:spacing w:val="3"/>
          <w:sz w:val="24"/>
        </w:rPr>
        <w:t> 和 </w:t>
      </w:r>
      <w:r>
        <w:rPr>
          <w:color w:val="FF0000"/>
          <w:sz w:val="24"/>
        </w:rPr>
        <w:t>RMP</w:t>
      </w:r>
      <w:r>
        <w:rPr>
          <w:color w:val="FF0000"/>
          <w:spacing w:val="-6"/>
          <w:sz w:val="24"/>
        </w:rPr>
        <w:t> 均敏感，臨床病情改善，持續期處方可以停</w:t>
      </w:r>
      <w:r>
        <w:rPr>
          <w:color w:val="FF0000"/>
          <w:spacing w:val="3"/>
          <w:sz w:val="24"/>
        </w:rPr>
        <w:t>用 </w:t>
      </w:r>
      <w:r>
        <w:rPr>
          <w:color w:val="FF0000"/>
          <w:spacing w:val="-3"/>
          <w:sz w:val="24"/>
        </w:rPr>
        <w:t>EMB</w:t>
      </w:r>
      <w:r>
        <w:rPr>
          <w:color w:val="FF0000"/>
          <w:spacing w:val="-4"/>
          <w:sz w:val="24"/>
        </w:rPr>
        <w:t>。但是對於痰塗片持續陽性的病人，如果沒有相關的不良反應，可以考慮保留</w:t>
      </w:r>
      <w:r>
        <w:rPr>
          <w:color w:val="FF0000"/>
          <w:sz w:val="24"/>
        </w:rPr>
        <w:t>EMB</w:t>
      </w:r>
      <w:r>
        <w:rPr>
          <w:color w:val="FF0000"/>
          <w:spacing w:val="3"/>
          <w:sz w:val="24"/>
        </w:rPr>
        <w:t> 和 </w:t>
      </w:r>
      <w:r>
        <w:rPr>
          <w:color w:val="FF0000"/>
          <w:sz w:val="24"/>
        </w:rPr>
        <w:t>PZA</w:t>
      </w:r>
      <w:r>
        <w:rPr>
          <w:color w:val="FF0000"/>
          <w:spacing w:val="1"/>
          <w:sz w:val="24"/>
        </w:rPr>
        <w:t> 直到病情得到較明確的改善。</w:t>
      </w:r>
      <w:r>
        <w:rPr>
          <w:spacing w:val="3"/>
          <w:sz w:val="24"/>
        </w:rPr>
        <w:t>若 </w:t>
      </w:r>
      <w:r>
        <w:rPr>
          <w:sz w:val="24"/>
        </w:rPr>
        <w:t>DST</w:t>
      </w:r>
      <w:r>
        <w:rPr>
          <w:spacing w:val="3"/>
          <w:sz w:val="24"/>
        </w:rPr>
        <w:t> 結果發現對任一個一線抗結核藥物</w:t>
      </w:r>
      <w:r>
        <w:rPr>
          <w:spacing w:val="2"/>
          <w:sz w:val="24"/>
        </w:rPr>
        <w:t>為抗藥，請參考第十二章的建議處理。</w:t>
      </w:r>
    </w:p>
    <w:p>
      <w:pPr>
        <w:pStyle w:val="BodyText"/>
        <w:spacing w:before="16"/>
        <w:rPr>
          <w:sz w:val="17"/>
        </w:rPr>
      </w:pPr>
    </w:p>
    <w:p>
      <w:pPr>
        <w:pStyle w:val="Heading6"/>
        <w:numPr>
          <w:ilvl w:val="1"/>
          <w:numId w:val="23"/>
        </w:numPr>
        <w:tabs>
          <w:tab w:pos="664" w:val="left" w:leader="none"/>
        </w:tabs>
        <w:spacing w:line="240" w:lineRule="auto" w:before="0" w:after="0"/>
        <w:ind w:left="663" w:right="0" w:hanging="484"/>
        <w:jc w:val="left"/>
      </w:pPr>
      <w:r>
        <w:rPr>
          <w:spacing w:val="3"/>
        </w:rPr>
        <w:t>女性病人相關議題</w:t>
      </w:r>
    </w:p>
    <w:p>
      <w:pPr>
        <w:pStyle w:val="Heading7"/>
        <w:numPr>
          <w:ilvl w:val="2"/>
          <w:numId w:val="25"/>
        </w:numPr>
        <w:tabs>
          <w:tab w:pos="962" w:val="left" w:leader="none"/>
        </w:tabs>
        <w:spacing w:line="440" w:lineRule="exact" w:before="29" w:after="0"/>
        <w:ind w:left="962" w:right="0" w:hanging="671"/>
        <w:jc w:val="left"/>
      </w:pPr>
      <w:r>
        <w:rPr>
          <w:spacing w:val="2"/>
        </w:rPr>
        <w:t>生育年齡的婦女</w:t>
      </w:r>
    </w:p>
    <w:p>
      <w:pPr>
        <w:pStyle w:val="ListParagraph"/>
        <w:numPr>
          <w:ilvl w:val="0"/>
          <w:numId w:val="26"/>
        </w:numPr>
        <w:tabs>
          <w:tab w:pos="942" w:val="left" w:leader="none"/>
        </w:tabs>
        <w:spacing w:line="430" w:lineRule="exact" w:before="0" w:after="0"/>
        <w:ind w:left="941" w:right="0" w:hanging="245"/>
        <w:jc w:val="left"/>
        <w:rPr>
          <w:sz w:val="24"/>
        </w:rPr>
      </w:pPr>
      <w:r>
        <w:rPr>
          <w:spacing w:val="3"/>
          <w:sz w:val="24"/>
        </w:rPr>
        <w:t>安排胸部Ⅹ光檢查時，請先問病人是否懷孕，必要時給她</w:t>
      </w:r>
      <w:r>
        <w:rPr>
          <w:color w:val="FF0000"/>
          <w:spacing w:val="3"/>
          <w:sz w:val="24"/>
        </w:rPr>
        <w:t>鉛衣</w:t>
      </w:r>
      <w:r>
        <w:rPr>
          <w:spacing w:val="2"/>
          <w:sz w:val="24"/>
        </w:rPr>
        <w:t>防護。</w:t>
      </w:r>
    </w:p>
    <w:p>
      <w:pPr>
        <w:pStyle w:val="ListParagraph"/>
        <w:numPr>
          <w:ilvl w:val="0"/>
          <w:numId w:val="26"/>
        </w:numPr>
        <w:tabs>
          <w:tab w:pos="942" w:val="left" w:leader="none"/>
        </w:tabs>
        <w:spacing w:line="420" w:lineRule="exact" w:before="0" w:after="0"/>
        <w:ind w:left="941" w:right="0" w:hanging="245"/>
        <w:jc w:val="left"/>
        <w:rPr>
          <w:sz w:val="24"/>
        </w:rPr>
      </w:pPr>
      <w:r>
        <w:rPr>
          <w:spacing w:val="3"/>
          <w:sz w:val="24"/>
        </w:rPr>
        <w:t>開 </w:t>
      </w:r>
      <w:r>
        <w:rPr>
          <w:sz w:val="24"/>
        </w:rPr>
        <w:t>RMP</w:t>
      </w:r>
      <w:r>
        <w:rPr>
          <w:spacing w:val="-11"/>
          <w:sz w:val="24"/>
        </w:rPr>
        <w:t> 的時候要提醒病人：如果正在吃避孕藥容易失敗，建議改採其他方法避孕。</w:t>
      </w:r>
    </w:p>
    <w:p>
      <w:pPr>
        <w:pStyle w:val="ListParagraph"/>
        <w:numPr>
          <w:ilvl w:val="0"/>
          <w:numId w:val="26"/>
        </w:numPr>
        <w:tabs>
          <w:tab w:pos="942" w:val="left" w:leader="none"/>
        </w:tabs>
        <w:spacing w:line="431" w:lineRule="exact" w:before="0" w:after="0"/>
        <w:ind w:left="941" w:right="0" w:hanging="245"/>
        <w:jc w:val="left"/>
        <w:rPr>
          <w:sz w:val="24"/>
        </w:rPr>
      </w:pPr>
      <w:r>
        <w:rPr>
          <w:spacing w:val="3"/>
          <w:sz w:val="24"/>
        </w:rPr>
        <w:t>抗藥的婦女，接受結核治療時要全程避孕。</w:t>
      </w:r>
    </w:p>
    <w:p>
      <w:pPr>
        <w:pStyle w:val="Heading7"/>
        <w:numPr>
          <w:ilvl w:val="2"/>
          <w:numId w:val="25"/>
        </w:numPr>
        <w:tabs>
          <w:tab w:pos="962" w:val="left" w:leader="none"/>
        </w:tabs>
        <w:spacing w:line="429" w:lineRule="exact" w:before="168" w:after="0"/>
        <w:ind w:left="962" w:right="0" w:hanging="671"/>
        <w:jc w:val="left"/>
      </w:pPr>
      <w:r>
        <w:rPr>
          <w:spacing w:val="3"/>
        </w:rPr>
        <w:t>懷孕、哺乳的婦女</w:t>
      </w:r>
    </w:p>
    <w:p>
      <w:pPr>
        <w:pStyle w:val="ListParagraph"/>
        <w:numPr>
          <w:ilvl w:val="0"/>
          <w:numId w:val="27"/>
        </w:numPr>
        <w:tabs>
          <w:tab w:pos="954" w:val="left" w:leader="none"/>
        </w:tabs>
        <w:spacing w:line="411" w:lineRule="exact" w:before="0" w:after="0"/>
        <w:ind w:left="953" w:right="0" w:hanging="257"/>
        <w:jc w:val="both"/>
        <w:rPr>
          <w:sz w:val="24"/>
        </w:rPr>
      </w:pPr>
      <w:r>
        <w:rPr>
          <w:spacing w:val="2"/>
          <w:sz w:val="24"/>
        </w:rPr>
        <w:t>孕婦可以吃 </w:t>
      </w:r>
      <w:r>
        <w:rPr>
          <w:sz w:val="24"/>
        </w:rPr>
        <w:t>PZA</w:t>
      </w:r>
      <w:r>
        <w:rPr>
          <w:spacing w:val="3"/>
          <w:sz w:val="24"/>
        </w:rPr>
        <w:t>。服用 </w:t>
      </w:r>
      <w:r>
        <w:rPr>
          <w:sz w:val="24"/>
        </w:rPr>
        <w:t>INH</w:t>
      </w:r>
      <w:r>
        <w:rPr>
          <w:spacing w:val="2"/>
          <w:sz w:val="24"/>
        </w:rPr>
        <w:t> 時，應同時開給她 </w:t>
      </w:r>
      <w:r>
        <w:rPr>
          <w:sz w:val="24"/>
        </w:rPr>
        <w:t>pyridoxine。</w:t>
      </w:r>
    </w:p>
    <w:p>
      <w:pPr>
        <w:pStyle w:val="ListParagraph"/>
        <w:numPr>
          <w:ilvl w:val="0"/>
          <w:numId w:val="27"/>
        </w:numPr>
        <w:tabs>
          <w:tab w:pos="954" w:val="left" w:leader="none"/>
        </w:tabs>
        <w:spacing w:line="220" w:lineRule="auto" w:before="7" w:after="0"/>
        <w:ind w:left="953" w:right="1357" w:hanging="256"/>
        <w:jc w:val="both"/>
        <w:rPr>
          <w:sz w:val="24"/>
        </w:rPr>
      </w:pPr>
      <w:r>
        <w:rPr>
          <w:spacing w:val="-18"/>
          <w:sz w:val="24"/>
        </w:rPr>
        <w:t>抗藥結核病的孕婦，如果病情允許、病人同意，可把治療延到懷孕的第二個 </w:t>
      </w:r>
      <w:r>
        <w:rPr>
          <w:sz w:val="24"/>
        </w:rPr>
        <w:t>trimester </w:t>
      </w:r>
      <w:r>
        <w:rPr>
          <w:spacing w:val="-6"/>
          <w:sz w:val="24"/>
        </w:rPr>
        <w:t>再開始。原則上避免給 </w:t>
      </w:r>
      <w:r>
        <w:rPr>
          <w:sz w:val="24"/>
        </w:rPr>
        <w:t>aminoglycosides</w:t>
      </w:r>
      <w:r>
        <w:rPr>
          <w:spacing w:val="6"/>
          <w:sz w:val="24"/>
        </w:rPr>
        <w:t> 和 </w:t>
      </w:r>
      <w:r>
        <w:rPr>
          <w:spacing w:val="-4"/>
          <w:sz w:val="24"/>
        </w:rPr>
        <w:t>prothionamide</w:t>
      </w:r>
      <w:r>
        <w:rPr>
          <w:spacing w:val="-3"/>
          <w:sz w:val="24"/>
        </w:rPr>
        <w:t>；至於其他的二線藥， </w:t>
      </w:r>
      <w:r>
        <w:rPr>
          <w:spacing w:val="1"/>
          <w:sz w:val="24"/>
        </w:rPr>
        <w:t>只要臨床判斷治療的好處超過對胎兒的危險就可以用。此類病人建議轉給疾病管制</w:t>
      </w:r>
      <w:r>
        <w:rPr>
          <w:spacing w:val="3"/>
          <w:sz w:val="24"/>
        </w:rPr>
        <w:t>署指定之抗藥性結核病醫療照護體系(</w:t>
      </w:r>
      <w:r>
        <w:rPr>
          <w:color w:val="FF0000"/>
          <w:sz w:val="24"/>
        </w:rPr>
        <w:t>The</w:t>
      </w:r>
      <w:r>
        <w:rPr>
          <w:color w:val="FF0000"/>
          <w:spacing w:val="42"/>
          <w:sz w:val="24"/>
        </w:rPr>
        <w:t> </w:t>
      </w:r>
      <w:r>
        <w:rPr>
          <w:color w:val="FF0000"/>
          <w:sz w:val="24"/>
        </w:rPr>
        <w:t>Taiwan</w:t>
      </w:r>
      <w:r>
        <w:rPr>
          <w:color w:val="FF0000"/>
          <w:spacing w:val="42"/>
          <w:sz w:val="24"/>
        </w:rPr>
        <w:t> </w:t>
      </w:r>
      <w:r>
        <w:rPr>
          <w:color w:val="FF0000"/>
          <w:sz w:val="24"/>
        </w:rPr>
        <w:t>MDR-TB</w:t>
      </w:r>
      <w:r>
        <w:rPr>
          <w:color w:val="FF0000"/>
          <w:spacing w:val="41"/>
          <w:sz w:val="24"/>
        </w:rPr>
        <w:t> </w:t>
      </w:r>
      <w:r>
        <w:rPr>
          <w:color w:val="FF0000"/>
          <w:sz w:val="24"/>
        </w:rPr>
        <w:t>Consortium</w:t>
      </w:r>
      <w:r>
        <w:rPr>
          <w:spacing w:val="4"/>
          <w:sz w:val="24"/>
        </w:rPr>
        <w:t>) 團隊治療。</w:t>
      </w:r>
    </w:p>
    <w:p>
      <w:pPr>
        <w:pStyle w:val="ListParagraph"/>
        <w:numPr>
          <w:ilvl w:val="0"/>
          <w:numId w:val="27"/>
        </w:numPr>
        <w:tabs>
          <w:tab w:pos="954" w:val="left" w:leader="none"/>
        </w:tabs>
        <w:spacing w:line="220" w:lineRule="auto" w:before="0" w:after="0"/>
        <w:ind w:left="953" w:right="1361" w:hanging="256"/>
        <w:jc w:val="both"/>
        <w:rPr>
          <w:sz w:val="24"/>
        </w:rPr>
      </w:pPr>
      <w:r>
        <w:rPr>
          <w:sz w:val="24"/>
        </w:rPr>
        <w:t>孕婦在治療結核病的過程中，如果已經確定診斷，可考慮不照胸部Ⅹ光，改用查痰</w:t>
      </w:r>
      <w:r>
        <w:rPr>
          <w:spacing w:val="2"/>
          <w:sz w:val="24"/>
        </w:rPr>
        <w:t>的結果和症狀的變化來掌握治療的進展。如照胸部Ⅹ光，必須防護腹部。</w:t>
      </w:r>
    </w:p>
    <w:p>
      <w:pPr>
        <w:pStyle w:val="ListParagraph"/>
        <w:numPr>
          <w:ilvl w:val="0"/>
          <w:numId w:val="27"/>
        </w:numPr>
        <w:tabs>
          <w:tab w:pos="954" w:val="left" w:leader="none"/>
        </w:tabs>
        <w:spacing w:line="218" w:lineRule="auto" w:before="0" w:after="0"/>
        <w:ind w:left="953" w:right="1357" w:hanging="256"/>
        <w:jc w:val="both"/>
        <w:rPr>
          <w:sz w:val="24"/>
        </w:rPr>
      </w:pPr>
      <w:r>
        <w:rPr>
          <w:sz w:val="24"/>
        </w:rPr>
        <w:t>吃著一線藥的婦女可以哺乳；母乳中藥的濃度低，不會影響小孩的健康，也不具治</w:t>
      </w:r>
      <w:r>
        <w:rPr>
          <w:spacing w:val="2"/>
          <w:sz w:val="24"/>
        </w:rPr>
        <w:t>療的效果。</w:t>
      </w:r>
    </w:p>
    <w:p>
      <w:pPr>
        <w:spacing w:after="0" w:line="218" w:lineRule="auto"/>
        <w:jc w:val="both"/>
        <w:rPr>
          <w:sz w:val="24"/>
        </w:rPr>
        <w:sectPr>
          <w:pgSz w:w="12250" w:h="17190"/>
          <w:pgMar w:header="0" w:footer="748" w:top="1460" w:bottom="1020" w:left="1180" w:right="0"/>
        </w:sectPr>
      </w:pPr>
    </w:p>
    <w:p>
      <w:pPr>
        <w:pStyle w:val="Heading6"/>
        <w:numPr>
          <w:ilvl w:val="1"/>
          <w:numId w:val="23"/>
        </w:numPr>
        <w:tabs>
          <w:tab w:pos="664" w:val="left" w:leader="none"/>
        </w:tabs>
        <w:spacing w:line="457" w:lineRule="exact" w:before="14" w:after="0"/>
        <w:ind w:left="663" w:right="0" w:hanging="484"/>
        <w:jc w:val="both"/>
      </w:pPr>
      <w:r>
        <w:rPr>
          <w:spacing w:val="3"/>
        </w:rPr>
        <w:t>腎功能異常的病人</w:t>
      </w:r>
    </w:p>
    <w:p>
      <w:pPr>
        <w:pStyle w:val="BodyText"/>
        <w:spacing w:line="225" w:lineRule="auto" w:before="16"/>
        <w:ind w:left="653" w:right="1357" w:firstLine="488"/>
        <w:jc w:val="both"/>
      </w:pPr>
      <w:r>
        <w:rPr>
          <w:spacing w:val="3"/>
        </w:rPr>
        <w:t>當病人的肌酐酸廓清率</w:t>
      </w:r>
      <w:r>
        <w:rPr/>
        <w:t>(Creatinine clearance rate</w:t>
      </w:r>
      <w:r>
        <w:rPr>
          <w:spacing w:val="20"/>
        </w:rPr>
        <w:t>, </w:t>
      </w:r>
      <w:r>
        <w:rPr/>
        <w:t>CCr</w:t>
      </w:r>
      <w:r>
        <w:rPr>
          <w:spacing w:val="20"/>
        </w:rPr>
        <w:t>) &lt; </w:t>
      </w:r>
      <w:r>
        <w:rPr/>
        <w:t>30 ml/minute</w:t>
      </w:r>
      <w:r>
        <w:rPr>
          <w:spacing w:val="7"/>
        </w:rPr>
        <w:t> 時， </w:t>
      </w:r>
      <w:r>
        <w:rPr/>
        <w:t>INH</w:t>
      </w:r>
      <w:r>
        <w:rPr>
          <w:spacing w:val="4"/>
        </w:rPr>
        <w:t> 及 </w:t>
      </w:r>
      <w:r>
        <w:rPr/>
        <w:t>RMP</w:t>
      </w:r>
      <w:r>
        <w:rPr>
          <w:spacing w:val="-5"/>
        </w:rPr>
        <w:t> 不須改變劑量和頻率，但吃 </w:t>
      </w:r>
      <w:r>
        <w:rPr/>
        <w:t>INH</w:t>
      </w:r>
      <w:r>
        <w:rPr>
          <w:spacing w:val="2"/>
        </w:rPr>
        <w:t> 的病人應加開 </w:t>
      </w:r>
      <w:r>
        <w:rPr>
          <w:spacing w:val="-6"/>
        </w:rPr>
        <w:t>pyridoxine；EMB</w:t>
      </w:r>
      <w:r>
        <w:rPr>
          <w:spacing w:val="4"/>
        </w:rPr>
        <w:t> 及 </w:t>
      </w:r>
      <w:r>
        <w:rPr/>
        <w:t>PZA </w:t>
      </w:r>
      <w:r>
        <w:rPr>
          <w:spacing w:val="-5"/>
        </w:rPr>
        <w:t>不須改變劑量，但頻率改每週 </w:t>
      </w:r>
      <w:r>
        <w:rPr/>
        <w:t>3</w:t>
      </w:r>
      <w:r>
        <w:rPr>
          <w:spacing w:val="-29"/>
        </w:rPr>
        <w:t> 次</w:t>
      </w:r>
      <w:r>
        <w:rPr>
          <w:spacing w:val="3"/>
        </w:rPr>
        <w:t>（請參考本書第六章</w:t>
      </w:r>
      <w:r>
        <w:rPr>
          <w:spacing w:val="-93"/>
        </w:rPr>
        <w:t>）</w:t>
      </w:r>
      <w:r>
        <w:rPr>
          <w:spacing w:val="-3"/>
        </w:rPr>
        <w:t>。臨床如果無法取得 </w:t>
      </w:r>
      <w:r>
        <w:rPr/>
        <w:t>CCr</w:t>
      </w:r>
      <w:r>
        <w:rPr>
          <w:spacing w:val="-19"/>
        </w:rPr>
        <w:t> 時， </w:t>
      </w:r>
      <w:r>
        <w:rPr>
          <w:spacing w:val="2"/>
        </w:rPr>
        <w:t>可使用各種估算腎絲球過濾率(</w:t>
      </w:r>
      <w:r>
        <w:rPr/>
        <w:t>Glomerular Filtration Rate</w:t>
      </w:r>
      <w:r>
        <w:rPr>
          <w:spacing w:val="6"/>
        </w:rPr>
        <w:t>, </w:t>
      </w:r>
      <w:r>
        <w:rPr/>
        <w:t>GFR</w:t>
      </w:r>
      <w:r>
        <w:rPr>
          <w:spacing w:val="2"/>
        </w:rPr>
        <w:t>)的公式來取代。病人如接受血液透析，透析當天的藥建議於透析後吃。</w:t>
      </w:r>
    </w:p>
    <w:p>
      <w:pPr>
        <w:pStyle w:val="BodyText"/>
        <w:spacing w:before="3"/>
        <w:rPr>
          <w:sz w:val="21"/>
        </w:rPr>
      </w:pPr>
    </w:p>
    <w:p>
      <w:pPr>
        <w:pStyle w:val="Heading6"/>
        <w:numPr>
          <w:ilvl w:val="1"/>
          <w:numId w:val="23"/>
        </w:numPr>
        <w:tabs>
          <w:tab w:pos="664" w:val="left" w:leader="none"/>
        </w:tabs>
        <w:spacing w:line="240" w:lineRule="auto" w:before="0" w:after="0"/>
        <w:ind w:left="663" w:right="0" w:hanging="484"/>
        <w:jc w:val="left"/>
      </w:pPr>
      <w:r>
        <w:rPr>
          <w:spacing w:val="2"/>
        </w:rPr>
        <w:t>症狀的處理</w:t>
      </w:r>
    </w:p>
    <w:p>
      <w:pPr>
        <w:pStyle w:val="Heading7"/>
        <w:numPr>
          <w:ilvl w:val="2"/>
          <w:numId w:val="28"/>
        </w:numPr>
        <w:tabs>
          <w:tab w:pos="962" w:val="left" w:leader="none"/>
        </w:tabs>
        <w:spacing w:line="439" w:lineRule="exact" w:before="41" w:after="0"/>
        <w:ind w:left="962" w:right="0" w:hanging="671"/>
        <w:jc w:val="left"/>
      </w:pPr>
      <w:r>
        <w:rPr>
          <w:spacing w:val="4"/>
        </w:rPr>
        <w:t>發燒</w:t>
      </w:r>
    </w:p>
    <w:p>
      <w:pPr>
        <w:pStyle w:val="BodyText"/>
        <w:spacing w:line="225" w:lineRule="auto" w:before="17"/>
        <w:ind w:left="951" w:right="1361" w:firstLine="487"/>
      </w:pPr>
      <w:r>
        <w:rPr>
          <w:spacing w:val="-15"/>
        </w:rPr>
        <w:t>病人不一定發燒；若發燒，程度也因人而異，時間則從幾天到幾個月都有可能。</w:t>
      </w:r>
      <w:r>
        <w:rPr>
          <w:spacing w:val="3"/>
        </w:rPr>
        <w:t>只要診斷</w:t>
      </w:r>
      <w:r>
        <w:rPr>
          <w:color w:val="FF0000"/>
          <w:spacing w:val="3"/>
        </w:rPr>
        <w:t>排除其他原因造成的發燒</w:t>
      </w:r>
      <w:r>
        <w:rPr>
          <w:spacing w:val="3"/>
        </w:rPr>
        <w:t>，可給退燒藥</w:t>
      </w:r>
      <w:r>
        <w:rPr>
          <w:color w:val="FF0000"/>
          <w:spacing w:val="3"/>
        </w:rPr>
        <w:t>緩解病人的不適</w:t>
      </w:r>
      <w:r>
        <w:rPr/>
        <w:t>。</w:t>
      </w:r>
    </w:p>
    <w:p>
      <w:pPr>
        <w:pStyle w:val="Heading7"/>
        <w:numPr>
          <w:ilvl w:val="2"/>
          <w:numId w:val="28"/>
        </w:numPr>
        <w:tabs>
          <w:tab w:pos="962" w:val="left" w:leader="none"/>
        </w:tabs>
        <w:spacing w:line="435" w:lineRule="exact" w:before="187" w:after="0"/>
        <w:ind w:left="962" w:right="0" w:hanging="671"/>
        <w:jc w:val="left"/>
      </w:pPr>
      <w:r>
        <w:rPr>
          <w:spacing w:val="4"/>
        </w:rPr>
        <w:t>咳血</w:t>
      </w:r>
    </w:p>
    <w:p>
      <w:pPr>
        <w:pStyle w:val="BodyText"/>
        <w:spacing w:line="225" w:lineRule="auto" w:before="12"/>
        <w:ind w:left="951" w:right="1357" w:firstLine="487"/>
        <w:jc w:val="both"/>
      </w:pPr>
      <w:r>
        <w:rPr>
          <w:color w:val="FF0000"/>
          <w:spacing w:val="2"/>
        </w:rPr>
        <w:t>少量咳血時</w:t>
      </w:r>
      <w:r>
        <w:rPr/>
        <w:t>，要給病人心理支持，使他不驚不慌、臥床休息，讓血自然流出氣</w:t>
      </w:r>
      <w:r>
        <w:rPr>
          <w:spacing w:val="-17"/>
        </w:rPr>
        <w:t>道。除密切監視生命徵象、給予支持性治療外，止咳最重要；也可以使用 </w:t>
      </w:r>
      <w:r>
        <w:rPr>
          <w:color w:val="FF0000"/>
        </w:rPr>
        <w:t>tranexamic acid</w:t>
      </w:r>
      <w:r>
        <w:rPr/>
        <w:t>。</w:t>
      </w:r>
    </w:p>
    <w:p>
      <w:pPr>
        <w:pStyle w:val="BodyText"/>
        <w:spacing w:line="225" w:lineRule="auto" w:before="4"/>
        <w:ind w:left="951" w:right="1357" w:firstLine="487"/>
        <w:jc w:val="both"/>
      </w:pPr>
      <w:r>
        <w:rPr>
          <w:color w:val="FF0000"/>
        </w:rPr>
        <w:t>臨床上，評估咳血的量是相當困難的，血液和口鼻分泌物混合後，加上病人的心理恐慌，很可能高估了咳血的量，另一方面，部分的血可能被吞入消化道中而被低估，因此傳統對大量咳血的定義有所分歧，建議病人若有下列情形，即刻到急診進一步處理：</w:t>
      </w:r>
    </w:p>
    <w:p>
      <w:pPr>
        <w:pStyle w:val="ListParagraph"/>
        <w:numPr>
          <w:ilvl w:val="0"/>
          <w:numId w:val="29"/>
        </w:numPr>
        <w:tabs>
          <w:tab w:pos="942" w:val="left" w:leader="none"/>
        </w:tabs>
        <w:spacing w:line="441" w:lineRule="exact" w:before="4" w:after="0"/>
        <w:ind w:left="941" w:right="0" w:hanging="245"/>
        <w:jc w:val="left"/>
        <w:rPr>
          <w:sz w:val="24"/>
        </w:rPr>
      </w:pPr>
      <w:r>
        <w:rPr>
          <w:color w:val="FF0000"/>
          <w:spacing w:val="2"/>
          <w:sz w:val="24"/>
        </w:rPr>
        <w:t>累積咳血的量在 </w:t>
      </w:r>
      <w:r>
        <w:rPr>
          <w:color w:val="FF0000"/>
          <w:sz w:val="24"/>
        </w:rPr>
        <w:t>24</w:t>
      </w:r>
      <w:r>
        <w:rPr>
          <w:color w:val="FF0000"/>
          <w:spacing w:val="2"/>
          <w:sz w:val="24"/>
        </w:rPr>
        <w:t> 小時內大於 </w:t>
      </w:r>
      <w:r>
        <w:rPr>
          <w:color w:val="FF0000"/>
          <w:sz w:val="24"/>
        </w:rPr>
        <w:t>100</w:t>
      </w:r>
      <w:r>
        <w:rPr>
          <w:color w:val="FF0000"/>
          <w:spacing w:val="5"/>
          <w:sz w:val="24"/>
        </w:rPr>
        <w:t> </w:t>
      </w:r>
      <w:r>
        <w:rPr>
          <w:color w:val="FF0000"/>
          <w:sz w:val="24"/>
        </w:rPr>
        <w:t>mL；</w:t>
      </w:r>
    </w:p>
    <w:p>
      <w:pPr>
        <w:pStyle w:val="ListParagraph"/>
        <w:numPr>
          <w:ilvl w:val="0"/>
          <w:numId w:val="29"/>
        </w:numPr>
        <w:tabs>
          <w:tab w:pos="942" w:val="left" w:leader="none"/>
        </w:tabs>
        <w:spacing w:line="440" w:lineRule="exact" w:before="0" w:after="0"/>
        <w:ind w:left="941" w:right="0" w:hanging="245"/>
        <w:jc w:val="left"/>
        <w:rPr>
          <w:sz w:val="24"/>
        </w:rPr>
      </w:pPr>
      <w:r>
        <w:rPr>
          <w:color w:val="FF0000"/>
          <w:spacing w:val="3"/>
          <w:sz w:val="24"/>
        </w:rPr>
        <w:t>咳血引起呼吸道阻塞或是呼吸困難；</w:t>
      </w:r>
    </w:p>
    <w:p>
      <w:pPr>
        <w:pStyle w:val="ListParagraph"/>
        <w:numPr>
          <w:ilvl w:val="0"/>
          <w:numId w:val="29"/>
        </w:numPr>
        <w:tabs>
          <w:tab w:pos="942" w:val="left" w:leader="none"/>
        </w:tabs>
        <w:spacing w:line="441" w:lineRule="exact" w:before="0" w:after="0"/>
        <w:ind w:left="941" w:right="0" w:hanging="245"/>
        <w:jc w:val="left"/>
        <w:rPr>
          <w:sz w:val="24"/>
        </w:rPr>
      </w:pPr>
      <w:r>
        <w:rPr>
          <w:color w:val="FF0000"/>
          <w:spacing w:val="3"/>
          <w:sz w:val="24"/>
        </w:rPr>
        <w:t>咳血併發血行動力學不穩定時。</w:t>
      </w:r>
    </w:p>
    <w:p>
      <w:pPr>
        <w:pStyle w:val="BodyText"/>
        <w:spacing w:before="13"/>
        <w:rPr>
          <w:sz w:val="20"/>
        </w:rPr>
      </w:pPr>
    </w:p>
    <w:p>
      <w:pPr>
        <w:pStyle w:val="Heading6"/>
        <w:numPr>
          <w:ilvl w:val="1"/>
          <w:numId w:val="23"/>
        </w:numPr>
        <w:tabs>
          <w:tab w:pos="664" w:val="left" w:leader="none"/>
        </w:tabs>
        <w:spacing w:line="240" w:lineRule="auto" w:before="1" w:after="0"/>
        <w:ind w:left="663" w:right="0" w:hanging="484"/>
        <w:jc w:val="left"/>
      </w:pPr>
      <w:r>
        <w:rPr>
          <w:spacing w:val="4"/>
        </w:rPr>
        <w:t>何時停藥</w:t>
      </w:r>
    </w:p>
    <w:p>
      <w:pPr>
        <w:pStyle w:val="Heading7"/>
        <w:numPr>
          <w:ilvl w:val="2"/>
          <w:numId w:val="30"/>
        </w:numPr>
        <w:tabs>
          <w:tab w:pos="962" w:val="left" w:leader="none"/>
        </w:tabs>
        <w:spacing w:line="439" w:lineRule="exact" w:before="40" w:after="0"/>
        <w:ind w:left="962" w:right="0" w:hanging="671"/>
        <w:jc w:val="left"/>
      </w:pPr>
      <w:r>
        <w:rPr>
          <w:spacing w:val="2"/>
        </w:rPr>
        <w:t>完治的條件</w:t>
      </w:r>
    </w:p>
    <w:p>
      <w:pPr>
        <w:pStyle w:val="BodyText"/>
        <w:spacing w:line="225" w:lineRule="auto" w:before="17"/>
        <w:ind w:left="951" w:right="1357" w:firstLine="487"/>
      </w:pPr>
      <w:r>
        <w:rPr/>
        <w:t>藥物的組合、劑量應符合指引的要求，病人規則服藥，治療的時間滿足建議的時程，否則應經疾病管制署推薦的專家認可。並應符合下列條件：</w:t>
      </w:r>
    </w:p>
    <w:p>
      <w:pPr>
        <w:pStyle w:val="ListParagraph"/>
        <w:numPr>
          <w:ilvl w:val="3"/>
          <w:numId w:val="30"/>
        </w:numPr>
        <w:tabs>
          <w:tab w:pos="942" w:val="left" w:leader="none"/>
        </w:tabs>
        <w:spacing w:line="240" w:lineRule="auto" w:before="2" w:after="0"/>
        <w:ind w:left="941" w:right="1357" w:hanging="244"/>
        <w:jc w:val="left"/>
        <w:rPr>
          <w:sz w:val="24"/>
        </w:rPr>
      </w:pPr>
      <w:r>
        <w:rPr>
          <w:spacing w:val="-3"/>
          <w:sz w:val="24"/>
        </w:rPr>
        <w:t>開始治療時痰塗片陽性的病人，在治療過程中至少 </w:t>
      </w:r>
      <w:r>
        <w:rPr>
          <w:sz w:val="24"/>
        </w:rPr>
        <w:t>1</w:t>
      </w:r>
      <w:r>
        <w:rPr>
          <w:spacing w:val="2"/>
          <w:sz w:val="24"/>
        </w:rPr>
        <w:t> 次痰塗片陰性且最後 </w:t>
      </w:r>
      <w:r>
        <w:rPr>
          <w:sz w:val="24"/>
        </w:rPr>
        <w:t>1</w:t>
      </w:r>
      <w:r>
        <w:rPr>
          <w:spacing w:val="2"/>
          <w:sz w:val="24"/>
        </w:rPr>
        <w:t>  個月痰塗片陰性。塗片無法陰轉的病人必須證明是非結核分枝桿菌或死菌。</w:t>
      </w:r>
    </w:p>
    <w:p>
      <w:pPr>
        <w:pStyle w:val="ListParagraph"/>
        <w:numPr>
          <w:ilvl w:val="3"/>
          <w:numId w:val="30"/>
        </w:numPr>
        <w:tabs>
          <w:tab w:pos="942" w:val="left" w:leader="none"/>
        </w:tabs>
        <w:spacing w:line="240" w:lineRule="auto" w:before="0" w:after="0"/>
        <w:ind w:left="941" w:right="1363" w:hanging="244"/>
        <w:jc w:val="left"/>
        <w:rPr>
          <w:sz w:val="24"/>
        </w:rPr>
      </w:pPr>
      <w:r>
        <w:rPr>
          <w:spacing w:val="5"/>
          <w:sz w:val="24"/>
        </w:rPr>
        <w:t>開始治療時痰培養陽性的病人，在治療過程中至少 </w:t>
      </w:r>
      <w:r>
        <w:rPr>
          <w:sz w:val="24"/>
        </w:rPr>
        <w:t>1</w:t>
      </w:r>
      <w:r>
        <w:rPr>
          <w:spacing w:val="3"/>
          <w:sz w:val="24"/>
        </w:rPr>
        <w:t> 次痰培養陰性。培養無法陰</w:t>
      </w:r>
      <w:r>
        <w:rPr>
          <w:spacing w:val="2"/>
          <w:sz w:val="24"/>
        </w:rPr>
        <w:t>轉的病人必須鑑定是非結核分枝桿菌。</w:t>
      </w:r>
    </w:p>
    <w:p>
      <w:pPr>
        <w:pStyle w:val="ListParagraph"/>
        <w:numPr>
          <w:ilvl w:val="3"/>
          <w:numId w:val="30"/>
        </w:numPr>
        <w:tabs>
          <w:tab w:pos="942" w:val="left" w:leader="none"/>
        </w:tabs>
        <w:spacing w:line="438" w:lineRule="exact" w:before="0" w:after="0"/>
        <w:ind w:left="941" w:right="0" w:hanging="244"/>
        <w:jc w:val="left"/>
        <w:rPr>
          <w:sz w:val="24"/>
        </w:rPr>
      </w:pPr>
      <w:r>
        <w:rPr>
          <w:spacing w:val="2"/>
          <w:sz w:val="24"/>
        </w:rPr>
        <w:t>治療全程痰塗片培養都陰性的病人，在治療過程中胸部Ⅹ光進步或穩定。</w:t>
      </w:r>
    </w:p>
    <w:p>
      <w:pPr>
        <w:spacing w:after="0" w:line="438" w:lineRule="exact"/>
        <w:jc w:val="left"/>
        <w:rPr>
          <w:sz w:val="24"/>
        </w:rPr>
        <w:sectPr>
          <w:pgSz w:w="12250" w:h="17190"/>
          <w:pgMar w:header="0" w:footer="748" w:top="1460" w:bottom="1020" w:left="1180" w:right="0"/>
        </w:sectPr>
      </w:pPr>
    </w:p>
    <w:p>
      <w:pPr>
        <w:pStyle w:val="Heading6"/>
        <w:spacing w:line="446" w:lineRule="exact" w:before="9"/>
        <w:ind w:left="180"/>
      </w:pPr>
      <w:r>
        <w:rPr/>
        <w:pict>
          <v:group style="position:absolute;margin-left:571.5pt;margin-top:.656301pt;width:40.9pt;height:127.55pt;mso-position-horizontal-relative:page;mso-position-vertical-relative:paragraph;z-index:251693056" coordorigin="11430,13" coordsize="818,2551">
            <v:shape style="position:absolute;left:11430;top:13;width:818;height:2551" coordorigin="11430,13" coordsize="818,2551" path="m12247,13l11595,13,11531,26,11478,62,11443,114,11430,178,11430,2399,11443,2463,11478,2516,11531,2551,11595,2564,12247,2564,12247,13xe" filled="true" fillcolor="#a6a6a6" stroked="false">
              <v:path arrowok="t"/>
              <v:fill type="solid"/>
            </v:shape>
            <v:shape style="position:absolute;left:11430;top:13;width:818;height:2551" type="#_x0000_t202" filled="false" stroked="false">
              <v:textbox inset="0,0,0,0">
                <w:txbxContent>
                  <w:p>
                    <w:pPr>
                      <w:spacing w:line="146" w:lineRule="auto" w:before="127"/>
                      <w:ind w:left="136" w:right="458" w:firstLine="0"/>
                      <w:jc w:val="both"/>
                      <w:rPr>
                        <w:sz w:val="22"/>
                      </w:rPr>
                    </w:pPr>
                    <w:r>
                      <w:rPr>
                        <w:sz w:val="22"/>
                      </w:rPr>
                      <w:t>第四章</w:t>
                    </w:r>
                  </w:p>
                  <w:p>
                    <w:pPr>
                      <w:spacing w:line="141" w:lineRule="auto" w:before="175"/>
                      <w:ind w:left="136" w:right="458" w:firstLine="0"/>
                      <w:jc w:val="both"/>
                      <w:rPr>
                        <w:sz w:val="22"/>
                      </w:rPr>
                    </w:pPr>
                    <w:r>
                      <w:rPr>
                        <w:sz w:val="22"/>
                      </w:rPr>
                      <w:t>結核病的治療</w:t>
                    </w:r>
                  </w:p>
                </w:txbxContent>
              </v:textbox>
              <w10:wrap type="none"/>
            </v:shape>
            <w10:wrap type="none"/>
          </v:group>
        </w:pict>
      </w:r>
      <w:bookmarkStart w:name="參考文獻" w:id="44"/>
      <w:bookmarkEnd w:id="44"/>
      <w:r>
        <w:rPr>
          <w:b w:val="0"/>
        </w:rPr>
      </w:r>
      <w:r>
        <w:rPr/>
        <w:t>參考文獻</w:t>
      </w:r>
    </w:p>
    <w:p>
      <w:pPr>
        <w:pStyle w:val="ListParagraph"/>
        <w:numPr>
          <w:ilvl w:val="0"/>
          <w:numId w:val="31"/>
        </w:numPr>
        <w:tabs>
          <w:tab w:pos="967" w:val="left" w:leader="none"/>
        </w:tabs>
        <w:spacing w:line="228" w:lineRule="auto" w:before="2" w:after="0"/>
        <w:ind w:left="966" w:right="1359" w:hanging="380"/>
        <w:jc w:val="both"/>
        <w:rPr>
          <w:color w:val="FF0000"/>
          <w:sz w:val="23"/>
        </w:rPr>
      </w:pPr>
      <w:r>
        <w:rPr>
          <w:color w:val="FF0000"/>
          <w:sz w:val="23"/>
        </w:rPr>
        <w:t>Guidelines for treatment of drug-susceptible tuberculosis and patient care, 2017 update., World Health</w:t>
      </w:r>
      <w:r>
        <w:rPr>
          <w:color w:val="FF0000"/>
          <w:spacing w:val="-39"/>
          <w:sz w:val="23"/>
        </w:rPr>
        <w:t> </w:t>
      </w:r>
      <w:r>
        <w:rPr>
          <w:color w:val="FF0000"/>
          <w:sz w:val="23"/>
        </w:rPr>
        <w:t>Organization</w:t>
      </w:r>
    </w:p>
    <w:p>
      <w:pPr>
        <w:pStyle w:val="ListParagraph"/>
        <w:numPr>
          <w:ilvl w:val="0"/>
          <w:numId w:val="31"/>
        </w:numPr>
        <w:tabs>
          <w:tab w:pos="967" w:val="left" w:leader="none"/>
        </w:tabs>
        <w:spacing w:line="230" w:lineRule="auto" w:before="1" w:after="0"/>
        <w:ind w:left="966" w:right="1358" w:hanging="380"/>
        <w:jc w:val="both"/>
        <w:rPr>
          <w:color w:val="FF0000"/>
          <w:sz w:val="23"/>
        </w:rPr>
      </w:pPr>
      <w:r>
        <w:rPr>
          <w:color w:val="FF0000"/>
          <w:sz w:val="23"/>
        </w:rPr>
        <w:t>Management of tuberculosis, A Guide to Essential Practice. 7th edition, International Union Against Tuberculosis and Lung Disease, Paris</w:t>
      </w:r>
      <w:r>
        <w:rPr>
          <w:color w:val="FF0000"/>
          <w:spacing w:val="-11"/>
          <w:sz w:val="23"/>
        </w:rPr>
        <w:t> </w:t>
      </w:r>
      <w:r>
        <w:rPr>
          <w:color w:val="FF0000"/>
          <w:sz w:val="23"/>
        </w:rPr>
        <w:t>2019.</w:t>
      </w:r>
    </w:p>
    <w:p>
      <w:pPr>
        <w:pStyle w:val="ListParagraph"/>
        <w:numPr>
          <w:ilvl w:val="0"/>
          <w:numId w:val="31"/>
        </w:numPr>
        <w:tabs>
          <w:tab w:pos="967" w:val="left" w:leader="none"/>
        </w:tabs>
        <w:spacing w:line="230" w:lineRule="auto" w:before="0" w:after="0"/>
        <w:ind w:left="966" w:right="1359" w:hanging="380"/>
        <w:jc w:val="both"/>
        <w:rPr>
          <w:color w:val="FF0000"/>
          <w:sz w:val="23"/>
        </w:rPr>
      </w:pPr>
      <w:r>
        <w:rPr>
          <w:color w:val="FF0000"/>
          <w:spacing w:val="-3"/>
          <w:sz w:val="23"/>
        </w:rPr>
        <w:t>American Thoracic Society, Centers </w:t>
      </w:r>
      <w:r>
        <w:rPr>
          <w:color w:val="FF0000"/>
          <w:sz w:val="23"/>
        </w:rPr>
        <w:t>for </w:t>
      </w:r>
      <w:r>
        <w:rPr>
          <w:color w:val="FF0000"/>
          <w:spacing w:val="-3"/>
          <w:sz w:val="23"/>
        </w:rPr>
        <w:t>Disease Control </w:t>
      </w:r>
      <w:r>
        <w:rPr>
          <w:color w:val="FF0000"/>
          <w:sz w:val="23"/>
        </w:rPr>
        <w:t>and </w:t>
      </w:r>
      <w:r>
        <w:rPr>
          <w:color w:val="FF0000"/>
          <w:spacing w:val="-3"/>
          <w:sz w:val="23"/>
        </w:rPr>
        <w:t>Prevention, Infectious </w:t>
      </w:r>
      <w:r>
        <w:rPr>
          <w:color w:val="FF0000"/>
          <w:sz w:val="23"/>
        </w:rPr>
        <w:t>Disease Society of America. Treatment of tuberculosis. Clinical Infectious Disease 2016;63:853-67.</w:t>
      </w:r>
    </w:p>
    <w:p>
      <w:pPr>
        <w:pStyle w:val="ListParagraph"/>
        <w:numPr>
          <w:ilvl w:val="0"/>
          <w:numId w:val="31"/>
        </w:numPr>
        <w:tabs>
          <w:tab w:pos="968" w:val="left" w:leader="none"/>
        </w:tabs>
        <w:spacing w:line="230" w:lineRule="auto" w:before="0" w:after="0"/>
        <w:ind w:left="967" w:right="1357" w:hanging="380"/>
        <w:jc w:val="both"/>
        <w:rPr>
          <w:color w:val="FF0000"/>
          <w:sz w:val="23"/>
        </w:rPr>
      </w:pPr>
      <w:r>
        <w:rPr>
          <w:color w:val="FF0000"/>
          <w:sz w:val="23"/>
        </w:rPr>
        <w:t>WHO consolidated guidelines on tuberculosis. Module 4: treatment - drug- resistant tuberculosis treatment. 2020 update, World Health</w:t>
      </w:r>
      <w:r>
        <w:rPr>
          <w:color w:val="FF0000"/>
          <w:spacing w:val="-15"/>
          <w:sz w:val="23"/>
        </w:rPr>
        <w:t> </w:t>
      </w:r>
      <w:r>
        <w:rPr>
          <w:color w:val="FF0000"/>
          <w:sz w:val="23"/>
        </w:rPr>
        <w:t>Organization.</w:t>
      </w:r>
    </w:p>
    <w:p>
      <w:pPr>
        <w:pStyle w:val="ListParagraph"/>
        <w:numPr>
          <w:ilvl w:val="0"/>
          <w:numId w:val="31"/>
        </w:numPr>
        <w:tabs>
          <w:tab w:pos="968" w:val="left" w:leader="none"/>
        </w:tabs>
        <w:spacing w:line="228" w:lineRule="auto" w:before="0" w:after="0"/>
        <w:ind w:left="967" w:right="1359" w:hanging="380"/>
        <w:jc w:val="both"/>
        <w:rPr>
          <w:sz w:val="23"/>
        </w:rPr>
      </w:pPr>
      <w:r>
        <w:rPr>
          <w:sz w:val="23"/>
        </w:rPr>
        <w:t>Chiang C-Y, Schaaf HS. Management of drug-resistant tuberculosis. Int J Tuberc Lung Dis 2010; 14:</w:t>
      </w:r>
      <w:r>
        <w:rPr>
          <w:spacing w:val="-4"/>
          <w:sz w:val="23"/>
        </w:rPr>
        <w:t> </w:t>
      </w:r>
      <w:r>
        <w:rPr>
          <w:sz w:val="23"/>
        </w:rPr>
        <w:t>672-82.</w:t>
      </w:r>
    </w:p>
    <w:p>
      <w:pPr>
        <w:pStyle w:val="ListParagraph"/>
        <w:numPr>
          <w:ilvl w:val="0"/>
          <w:numId w:val="31"/>
        </w:numPr>
        <w:tabs>
          <w:tab w:pos="968" w:val="left" w:leader="none"/>
        </w:tabs>
        <w:spacing w:line="230" w:lineRule="auto" w:before="0" w:after="0"/>
        <w:ind w:left="966" w:right="1360" w:hanging="379"/>
        <w:jc w:val="both"/>
        <w:rPr>
          <w:sz w:val="23"/>
        </w:rPr>
      </w:pPr>
      <w:r>
        <w:rPr>
          <w:sz w:val="23"/>
        </w:rPr>
        <w:t>Caminero A, Sotgiu G, Zumla A, et al. Best drug treatment for multidrug-resistant and extensively drug-resistant tuberculosis. Lancet Infect Dis 2010;10(9):</w:t>
      </w:r>
      <w:r>
        <w:rPr>
          <w:spacing w:val="-23"/>
          <w:sz w:val="23"/>
        </w:rPr>
        <w:t> </w:t>
      </w:r>
      <w:r>
        <w:rPr>
          <w:sz w:val="23"/>
        </w:rPr>
        <w:t>621–9.</w:t>
      </w:r>
    </w:p>
    <w:p>
      <w:pPr>
        <w:pStyle w:val="ListParagraph"/>
        <w:numPr>
          <w:ilvl w:val="0"/>
          <w:numId w:val="31"/>
        </w:numPr>
        <w:tabs>
          <w:tab w:pos="967" w:val="left" w:leader="none"/>
        </w:tabs>
        <w:spacing w:line="230" w:lineRule="auto" w:before="0" w:after="0"/>
        <w:ind w:left="966" w:right="1358" w:hanging="380"/>
        <w:jc w:val="both"/>
        <w:rPr>
          <w:color w:val="FF0000"/>
          <w:sz w:val="23"/>
        </w:rPr>
      </w:pPr>
      <w:r>
        <w:rPr>
          <w:color w:val="FF0000"/>
          <w:sz w:val="23"/>
        </w:rPr>
        <w:t>Kim SJ. Drug-susceptibility testing in tuberculosis: methods and reliability of results. Eur Respir J 2005; 25(6):</w:t>
      </w:r>
      <w:r>
        <w:rPr>
          <w:color w:val="FF0000"/>
          <w:spacing w:val="-8"/>
          <w:sz w:val="23"/>
        </w:rPr>
        <w:t> </w:t>
      </w:r>
      <w:r>
        <w:rPr>
          <w:color w:val="FF0000"/>
          <w:sz w:val="23"/>
        </w:rPr>
        <w:t>564–9.</w:t>
      </w:r>
    </w:p>
    <w:p>
      <w:pPr>
        <w:pStyle w:val="ListParagraph"/>
        <w:numPr>
          <w:ilvl w:val="0"/>
          <w:numId w:val="31"/>
        </w:numPr>
        <w:tabs>
          <w:tab w:pos="967" w:val="left" w:leader="none"/>
        </w:tabs>
        <w:spacing w:line="228" w:lineRule="auto" w:before="0" w:after="0"/>
        <w:ind w:left="966" w:right="1359" w:hanging="380"/>
        <w:jc w:val="both"/>
        <w:rPr>
          <w:color w:val="FF0000"/>
          <w:sz w:val="23"/>
        </w:rPr>
      </w:pPr>
      <w:r>
        <w:rPr>
          <w:color w:val="FF0000"/>
          <w:sz w:val="23"/>
        </w:rPr>
        <w:t>Ibrahim WH. Massive haemoptysis: the definition should be revised. Eur Respir J 2008;32:</w:t>
      </w:r>
      <w:r>
        <w:rPr>
          <w:color w:val="FF0000"/>
          <w:spacing w:val="-2"/>
          <w:sz w:val="23"/>
        </w:rPr>
        <w:t> </w:t>
      </w:r>
      <w:r>
        <w:rPr>
          <w:color w:val="FF0000"/>
          <w:sz w:val="23"/>
        </w:rPr>
        <w:t>1131-1132</w:t>
      </w:r>
    </w:p>
    <w:p>
      <w:pPr>
        <w:pStyle w:val="ListParagraph"/>
        <w:numPr>
          <w:ilvl w:val="0"/>
          <w:numId w:val="31"/>
        </w:numPr>
        <w:tabs>
          <w:tab w:pos="968" w:val="left" w:leader="none"/>
        </w:tabs>
        <w:spacing w:line="230" w:lineRule="auto" w:before="0" w:after="0"/>
        <w:ind w:left="967" w:right="1357" w:hanging="380"/>
        <w:jc w:val="both"/>
        <w:rPr>
          <w:color w:val="FF0000"/>
          <w:sz w:val="23"/>
        </w:rPr>
      </w:pPr>
      <w:r>
        <w:rPr>
          <w:color w:val="FF0000"/>
          <w:sz w:val="23"/>
        </w:rPr>
        <w:t>Chiang CY, Trébucq A. Tuberculosis re-treatment after exclusion of rifampicin resistance. Eur Respir J 2018;51:1702282. DOI:</w:t>
      </w:r>
      <w:r>
        <w:rPr>
          <w:color w:val="FF0000"/>
          <w:spacing w:val="-22"/>
          <w:sz w:val="23"/>
        </w:rPr>
        <w:t> </w:t>
      </w:r>
      <w:r>
        <w:rPr>
          <w:color w:val="FF0000"/>
          <w:sz w:val="23"/>
        </w:rPr>
        <w:t>10.1183/13993003.02282-2017</w:t>
      </w:r>
    </w:p>
    <w:p>
      <w:pPr>
        <w:pStyle w:val="ListParagraph"/>
        <w:numPr>
          <w:ilvl w:val="0"/>
          <w:numId w:val="31"/>
        </w:numPr>
        <w:tabs>
          <w:tab w:pos="968" w:val="left" w:leader="none"/>
        </w:tabs>
        <w:spacing w:line="230" w:lineRule="auto" w:before="0" w:after="0"/>
        <w:ind w:left="967" w:right="1358" w:hanging="380"/>
        <w:jc w:val="both"/>
        <w:rPr>
          <w:color w:val="FF0000"/>
          <w:sz w:val="23"/>
        </w:rPr>
      </w:pPr>
      <w:r>
        <w:rPr>
          <w:color w:val="FF0000"/>
          <w:spacing w:val="2"/>
          <w:sz w:val="23"/>
        </w:rPr>
        <w:t>李品慧. 衛生福利部疾病管制署 </w:t>
      </w:r>
      <w:r>
        <w:rPr>
          <w:color w:val="FF0000"/>
          <w:sz w:val="23"/>
        </w:rPr>
        <w:t>109 年署內科技研究計畫: 抗藥性結核病監測及預後影</w:t>
      </w:r>
      <w:r>
        <w:rPr>
          <w:color w:val="FF0000"/>
          <w:spacing w:val="-1"/>
          <w:sz w:val="23"/>
        </w:rPr>
        <w:t>響因子探討 </w:t>
      </w:r>
      <w:r>
        <w:rPr>
          <w:color w:val="FF0000"/>
          <w:sz w:val="23"/>
        </w:rPr>
        <w:t>MOHW109-CDC-C-315-112105</w:t>
      </w:r>
    </w:p>
    <w:p>
      <w:pPr>
        <w:spacing w:after="0" w:line="230" w:lineRule="auto"/>
        <w:jc w:val="both"/>
        <w:rPr>
          <w:sz w:val="23"/>
        </w:rPr>
        <w:sectPr>
          <w:pgSz w:w="12250" w:h="17190"/>
          <w:pgMar w:header="0" w:footer="748" w:top="1460" w:bottom="1020" w:left="1180" w:right="0"/>
        </w:sectPr>
      </w:pPr>
    </w:p>
    <w:p>
      <w:pPr>
        <w:pStyle w:val="Heading1"/>
        <w:tabs>
          <w:tab w:pos="1983" w:val="left" w:leader="none"/>
        </w:tabs>
        <w:ind w:left="503"/>
      </w:pPr>
      <w:r>
        <w:rPr/>
        <w:t>第五章</w:t>
        <w:tab/>
        <w:t>治療期間之監測與不良反應之處理及處方調整</w:t>
      </w:r>
    </w:p>
    <w:p>
      <w:pPr>
        <w:pStyle w:val="BodyText"/>
        <w:spacing w:line="223" w:lineRule="auto" w:before="175"/>
        <w:ind w:left="180" w:right="1361" w:firstLine="488"/>
        <w:jc w:val="both"/>
      </w:pPr>
      <w:r>
        <w:rPr/>
        <w:t>當病人開始接受抗結核藥物之後，診治醫師應在治療過程中，定期安排追蹤檢查，以評估病人的臨床反應與治療成效，同時早期發現並及時處理藥物的不良反應，以提高治療的成功率。結核病治療過程中發生藥物不良反應，常造成病人無法持續治療或不願規則服藥，這些都是導致治療中斷與抗藥性產生的主要原因。因此，無論病人抱怨的不良反應如何微不足道、多麼千奇百怪、匪夷所思，只要足以影響病人服藥意願，診療醫師即應認真面對。除本章內容中所建議之處置外，診治醫師應隨時根據病人臨床狀況判斷，及時安排各項相關檢查。</w:t>
      </w:r>
    </w:p>
    <w:p>
      <w:pPr>
        <w:pStyle w:val="BodyText"/>
        <w:spacing w:line="223" w:lineRule="auto"/>
        <w:ind w:left="180" w:right="1361" w:firstLine="488"/>
        <w:jc w:val="both"/>
      </w:pPr>
      <w:r>
        <w:rPr/>
        <w:t>此外，在治療結核病的過程中，病人體內細菌的數量、細菌對藥物的反應都處於變動的狀態。不同時間點發生藥物不良反應、中斷服藥，對治療結果的衝擊往往是不同的。因此，治療病人要從頭到尾根據完整的疾病過程來整體評估。本章針對發生藥物不良反應之後的建議處方，僅為一般情況下的較佳選擇，供診治醫師參考，多半沒有實證的依據。由於臨床考慮諸多，決不可拘泥於這些專家建議處方而忽略了病人個體差異與犧牲了醫療處置上不可或缺的應變。診治醫師可以為病人量身設計處方，保留治療的彈性，但是這種調整，請儘可能和結核病專家共同討論決定，或將病人轉介到疾病管制署指定的醫療團隊， 以免產生抗藥性。</w:t>
      </w:r>
    </w:p>
    <w:p>
      <w:pPr>
        <w:pStyle w:val="BodyText"/>
        <w:spacing w:before="8"/>
        <w:rPr>
          <w:sz w:val="20"/>
        </w:rPr>
      </w:pPr>
    </w:p>
    <w:p>
      <w:pPr>
        <w:pStyle w:val="Heading6"/>
        <w:numPr>
          <w:ilvl w:val="1"/>
          <w:numId w:val="32"/>
        </w:numPr>
        <w:tabs>
          <w:tab w:pos="664" w:val="left" w:leader="none"/>
        </w:tabs>
        <w:spacing w:line="240" w:lineRule="auto" w:before="0" w:after="0"/>
        <w:ind w:left="663" w:right="0" w:hanging="484"/>
        <w:jc w:val="both"/>
      </w:pPr>
      <w:r>
        <w:rPr>
          <w:spacing w:val="3"/>
        </w:rPr>
        <w:t>監測治療的反應：</w:t>
      </w:r>
    </w:p>
    <w:p>
      <w:pPr>
        <w:pStyle w:val="Heading7"/>
        <w:numPr>
          <w:ilvl w:val="2"/>
          <w:numId w:val="32"/>
        </w:numPr>
        <w:tabs>
          <w:tab w:pos="962" w:val="left" w:leader="none"/>
        </w:tabs>
        <w:spacing w:line="240" w:lineRule="auto" w:before="40" w:after="0"/>
        <w:ind w:left="962" w:right="0" w:hanging="671"/>
        <w:jc w:val="both"/>
      </w:pPr>
      <w:r>
        <w:rPr>
          <w:spacing w:val="4"/>
        </w:rPr>
        <w:t>目的</w:t>
      </w:r>
    </w:p>
    <w:p>
      <w:pPr>
        <w:pStyle w:val="BodyText"/>
        <w:spacing w:line="223" w:lineRule="auto" w:before="25"/>
        <w:ind w:left="951" w:right="1361" w:firstLine="487"/>
        <w:jc w:val="both"/>
      </w:pPr>
      <w:r>
        <w:rPr/>
        <w:t>在標準的抗結核藥物處方下，初次治療的病人，能夠有 95%以上的完治率。而妥善的追蹤檢查，能幫助診治醫師了解治療後的反應，確定後續治療方針以及提早發現治療上的問題，例如治療失敗、服藥順從性（adherence）不佳等。</w:t>
      </w:r>
    </w:p>
    <w:p>
      <w:pPr>
        <w:pStyle w:val="Heading7"/>
        <w:numPr>
          <w:ilvl w:val="2"/>
          <w:numId w:val="32"/>
        </w:numPr>
        <w:tabs>
          <w:tab w:pos="986" w:val="left" w:leader="none"/>
        </w:tabs>
        <w:spacing w:line="437" w:lineRule="exact" w:before="189" w:after="0"/>
        <w:ind w:left="986" w:right="0" w:hanging="695"/>
        <w:jc w:val="both"/>
      </w:pPr>
      <w:r>
        <w:rPr>
          <w:spacing w:val="3"/>
        </w:rPr>
        <w:t>治療中的監測</w:t>
      </w:r>
    </w:p>
    <w:p>
      <w:pPr>
        <w:pStyle w:val="ListParagraph"/>
        <w:numPr>
          <w:ilvl w:val="3"/>
          <w:numId w:val="32"/>
        </w:numPr>
        <w:tabs>
          <w:tab w:pos="964" w:val="left" w:leader="none"/>
        </w:tabs>
        <w:spacing w:line="223" w:lineRule="auto" w:before="17" w:after="0"/>
        <w:ind w:left="963" w:right="1357" w:hanging="244"/>
        <w:jc w:val="both"/>
        <w:rPr>
          <w:sz w:val="24"/>
        </w:rPr>
      </w:pPr>
      <w:r>
        <w:rPr>
          <w:b/>
          <w:spacing w:val="-14"/>
          <w:sz w:val="24"/>
        </w:rPr>
        <w:t>服藥順從性：</w:t>
      </w:r>
      <w:r>
        <w:rPr>
          <w:spacing w:val="-15"/>
          <w:sz w:val="24"/>
        </w:rPr>
        <w:t>若無其他因素，診療醫師應儘量鼓勵、勸說病人加入都治計畫</w:t>
      </w:r>
      <w:r>
        <w:rPr>
          <w:spacing w:val="-3"/>
          <w:sz w:val="24"/>
        </w:rPr>
        <w:t>（directly </w:t>
      </w:r>
      <w:r>
        <w:rPr>
          <w:sz w:val="24"/>
        </w:rPr>
        <w:t>observed</w:t>
      </w:r>
      <w:r>
        <w:rPr>
          <w:spacing w:val="5"/>
          <w:sz w:val="24"/>
        </w:rPr>
        <w:t> </w:t>
      </w:r>
      <w:r>
        <w:rPr>
          <w:sz w:val="24"/>
        </w:rPr>
        <w:t>treatment</w:t>
      </w:r>
      <w:r>
        <w:rPr>
          <w:spacing w:val="6"/>
          <w:sz w:val="24"/>
        </w:rPr>
        <w:t> </w:t>
      </w:r>
      <w:r>
        <w:rPr>
          <w:sz w:val="24"/>
        </w:rPr>
        <w:t>short</w:t>
      </w:r>
      <w:r>
        <w:rPr>
          <w:spacing w:val="2"/>
          <w:sz w:val="24"/>
        </w:rPr>
        <w:t>- </w:t>
      </w:r>
      <w:r>
        <w:rPr>
          <w:sz w:val="24"/>
        </w:rPr>
        <w:t>course</w:t>
      </w:r>
      <w:r>
        <w:rPr>
          <w:spacing w:val="3"/>
          <w:sz w:val="24"/>
        </w:rPr>
        <w:t>, </w:t>
      </w:r>
      <w:r>
        <w:rPr>
          <w:sz w:val="24"/>
        </w:rPr>
        <w:t>DOTS）</w:t>
      </w:r>
      <w:r>
        <w:rPr>
          <w:spacing w:val="1"/>
          <w:sz w:val="24"/>
        </w:rPr>
        <w:t>，接受觀察用藥，以提高病人服藥順</w:t>
      </w:r>
      <w:r>
        <w:rPr>
          <w:spacing w:val="-3"/>
          <w:sz w:val="24"/>
        </w:rPr>
        <w:t>從性，特別是針對痰塗片陽性病人。若有問題，應立即通知結核病個案管理師及公</w:t>
      </w:r>
      <w:r>
        <w:rPr>
          <w:spacing w:val="2"/>
          <w:sz w:val="24"/>
        </w:rPr>
        <w:t>衛人員一同解決。診療醫師應注意以下幾點：</w:t>
      </w:r>
    </w:p>
    <w:p>
      <w:pPr>
        <w:pStyle w:val="ListParagraph"/>
        <w:numPr>
          <w:ilvl w:val="4"/>
          <w:numId w:val="32"/>
        </w:numPr>
        <w:tabs>
          <w:tab w:pos="1439" w:val="left" w:leader="none"/>
        </w:tabs>
        <w:spacing w:line="223" w:lineRule="auto" w:before="17" w:after="0"/>
        <w:ind w:left="1438" w:right="1357" w:hanging="488"/>
        <w:jc w:val="both"/>
        <w:rPr>
          <w:sz w:val="24"/>
        </w:rPr>
      </w:pPr>
      <w:r>
        <w:rPr>
          <w:spacing w:val="-1"/>
          <w:sz w:val="24"/>
        </w:rPr>
        <w:t>病人是否依約定時間返診：診療醫師應主動為病人預約下次回診時間，提高病</w:t>
      </w:r>
      <w:r>
        <w:rPr>
          <w:spacing w:val="-2"/>
          <w:sz w:val="24"/>
        </w:rPr>
        <w:t>人回診動機。未依約返診追蹤的病人應</w:t>
      </w:r>
      <w:r>
        <w:rPr>
          <w:color w:val="FF0000"/>
          <w:spacing w:val="3"/>
          <w:sz w:val="24"/>
        </w:rPr>
        <w:t>立即評估</w:t>
      </w:r>
      <w:r>
        <w:rPr>
          <w:spacing w:val="3"/>
          <w:sz w:val="24"/>
        </w:rPr>
        <w:t>是否服藥順從性不佳</w:t>
      </w:r>
      <w:r>
        <w:rPr>
          <w:color w:val="FF0000"/>
          <w:spacing w:val="3"/>
          <w:sz w:val="24"/>
        </w:rPr>
        <w:t>並了解其原因</w:t>
      </w:r>
      <w:r>
        <w:rPr>
          <w:sz w:val="24"/>
        </w:rPr>
        <w:t>。</w:t>
      </w:r>
    </w:p>
    <w:p>
      <w:pPr>
        <w:pStyle w:val="ListParagraph"/>
        <w:numPr>
          <w:ilvl w:val="4"/>
          <w:numId w:val="32"/>
        </w:numPr>
        <w:tabs>
          <w:tab w:pos="1439" w:val="left" w:leader="none"/>
        </w:tabs>
        <w:spacing w:line="223" w:lineRule="auto" w:before="18" w:after="0"/>
        <w:ind w:left="1438" w:right="1357" w:hanging="488"/>
        <w:jc w:val="both"/>
        <w:rPr>
          <w:sz w:val="24"/>
        </w:rPr>
      </w:pPr>
      <w:r>
        <w:rPr>
          <w:sz w:val="24"/>
        </w:rPr>
        <w:t>詢問病人服藥顆數及服藥時間：能正確回答的病人，未必代表規則服藥；但無</w:t>
      </w:r>
      <w:r>
        <w:rPr>
          <w:spacing w:val="2"/>
          <w:sz w:val="24"/>
        </w:rPr>
        <w:t>法正確回答的病人，應格外注意其服藥順從性的問題。</w:t>
      </w:r>
    </w:p>
    <w:p>
      <w:pPr>
        <w:pStyle w:val="ListParagraph"/>
        <w:numPr>
          <w:ilvl w:val="4"/>
          <w:numId w:val="32"/>
        </w:numPr>
        <w:tabs>
          <w:tab w:pos="1439" w:val="left" w:leader="none"/>
        </w:tabs>
        <w:spacing w:line="437" w:lineRule="exact" w:before="0" w:after="0"/>
        <w:ind w:left="1438" w:right="0" w:hanging="488"/>
        <w:jc w:val="both"/>
        <w:rPr>
          <w:sz w:val="24"/>
        </w:rPr>
      </w:pPr>
      <w:r>
        <w:rPr>
          <w:spacing w:val="3"/>
          <w:sz w:val="24"/>
        </w:rPr>
        <w:t>抗結核藥物，不宜開立慢性病連續處方箋。</w:t>
      </w:r>
    </w:p>
    <w:p>
      <w:pPr>
        <w:spacing w:after="0" w:line="437" w:lineRule="exact"/>
        <w:jc w:val="both"/>
        <w:rPr>
          <w:sz w:val="24"/>
        </w:rPr>
        <w:sectPr>
          <w:pgSz w:w="12250" w:h="17190"/>
          <w:pgMar w:header="0" w:footer="748" w:top="1360" w:bottom="1020" w:left="1180" w:right="0"/>
        </w:sectPr>
      </w:pPr>
    </w:p>
    <w:p>
      <w:pPr>
        <w:pStyle w:val="ListParagraph"/>
        <w:numPr>
          <w:ilvl w:val="3"/>
          <w:numId w:val="32"/>
        </w:numPr>
        <w:tabs>
          <w:tab w:pos="976" w:val="left" w:leader="none"/>
        </w:tabs>
        <w:spacing w:line="220" w:lineRule="auto" w:before="44" w:after="0"/>
        <w:ind w:left="975" w:right="1361" w:hanging="245"/>
        <w:jc w:val="both"/>
        <w:rPr>
          <w:sz w:val="24"/>
        </w:rPr>
      </w:pPr>
      <w:r>
        <w:rPr/>
        <w:pict>
          <v:group style="position:absolute;margin-left:571.5pt;margin-top:.64388pt;width:40.9pt;height:296.5pt;mso-position-horizontal-relative:page;mso-position-vertical-relative:paragraph;z-index:251695104" coordorigin="11430,13" coordsize="818,5930">
            <v:shape style="position:absolute;left:11430;top:12;width:818;height:5930" coordorigin="11430,13" coordsize="818,5930" path="m12247,13l11595,13,11531,26,11478,61,11443,114,11430,178,11430,5778,11443,5842,11478,5894,11531,5930,11595,5943,12247,5943,12247,13xe" filled="true" fillcolor="#a6a6a6" stroked="false">
              <v:path arrowok="t"/>
              <v:fill type="solid"/>
            </v:shape>
            <v:shape style="position:absolute;left:11430;top:12;width:818;height:5930" type="#_x0000_t202" filled="false" stroked="false">
              <v:textbox inset="0,0,0,0">
                <w:txbxContent>
                  <w:p>
                    <w:pPr>
                      <w:spacing w:line="146" w:lineRule="auto" w:before="127"/>
                      <w:ind w:left="136" w:right="458" w:firstLine="0"/>
                      <w:jc w:val="both"/>
                      <w:rPr>
                        <w:sz w:val="22"/>
                      </w:rPr>
                    </w:pPr>
                    <w:r>
                      <w:rPr>
                        <w:sz w:val="22"/>
                      </w:rPr>
                      <w:t>第五章</w:t>
                    </w:r>
                  </w:p>
                  <w:p>
                    <w:pPr>
                      <w:spacing w:line="141" w:lineRule="auto" w:before="175"/>
                      <w:ind w:left="136" w:right="458" w:firstLine="0"/>
                      <w:jc w:val="both"/>
                      <w:rPr>
                        <w:sz w:val="22"/>
                      </w:rPr>
                    </w:pPr>
                    <w:r>
                      <w:rPr>
                        <w:sz w:val="22"/>
                      </w:rPr>
                      <w:t>治療期間之監測與不良反應之處理及處方調整</w:t>
                    </w:r>
                  </w:p>
                </w:txbxContent>
              </v:textbox>
              <w10:wrap type="none"/>
            </v:shape>
            <w10:wrap type="none"/>
          </v:group>
        </w:pict>
      </w:r>
      <w:r>
        <w:rPr>
          <w:b/>
          <w:spacing w:val="-4"/>
          <w:sz w:val="24"/>
        </w:rPr>
        <w:t>痰檢查：</w:t>
      </w:r>
      <w:r>
        <w:rPr>
          <w:sz w:val="24"/>
        </w:rPr>
        <w:t>至少在治療約兩個月、五個月以及完治時收集痰追蹤檢查塗片耐酸性染色</w:t>
      </w:r>
      <w:r>
        <w:rPr>
          <w:spacing w:val="3"/>
          <w:sz w:val="24"/>
        </w:rPr>
        <w:t>及分枝桿菌培養。</w:t>
      </w:r>
    </w:p>
    <w:p>
      <w:pPr>
        <w:pStyle w:val="BodyText"/>
        <w:spacing w:line="220" w:lineRule="auto" w:before="45"/>
        <w:ind w:left="961" w:right="1357" w:firstLine="487"/>
        <w:jc w:val="both"/>
      </w:pPr>
      <w:r>
        <w:rPr/>
        <w:t>過去的研究顯示，治療兩個月後痰培養依舊陽性的病人，發生治療失敗、或復發的機會較高。因此，在治療約兩個月時追蹤查痰非常的重要。對於治療前胸部 X 光顯示有開洞病灶、且治療兩個月後仍持續陽性的病人，應該考慮將整個結核病治療的療程延長至少三個月（總共九個月以上）。而在治療滿四個月時，必須再驗痰以確定是否有治療失敗的可能。</w:t>
      </w:r>
    </w:p>
    <w:p>
      <w:pPr>
        <w:pStyle w:val="BodyText"/>
        <w:spacing w:line="220" w:lineRule="auto"/>
        <w:ind w:left="961" w:right="1358" w:firstLine="487"/>
        <w:jc w:val="both"/>
      </w:pPr>
      <w:r>
        <w:rPr/>
        <w:t>除了上述時間點以外，對於痰塗片或培養陽性的病人，建議每月追蹤驗痰直至陰轉為止。</w:t>
      </w:r>
      <w:r>
        <w:rPr>
          <w:color w:val="FF0000"/>
        </w:rPr>
        <w:t>治療處方改變時，特別是加入新藥之前，也建議追蹤驗痰，並視需要及可行性進行分子藥物敏感性試驗。</w:t>
      </w:r>
    </w:p>
    <w:p>
      <w:pPr>
        <w:pStyle w:val="ListParagraph"/>
        <w:numPr>
          <w:ilvl w:val="3"/>
          <w:numId w:val="32"/>
        </w:numPr>
        <w:tabs>
          <w:tab w:pos="964" w:val="left" w:leader="none"/>
        </w:tabs>
        <w:spacing w:line="220" w:lineRule="auto" w:before="0" w:after="0"/>
        <w:ind w:left="963" w:right="1358" w:hanging="244"/>
        <w:jc w:val="both"/>
        <w:rPr>
          <w:sz w:val="24"/>
        </w:rPr>
      </w:pPr>
      <w:r>
        <w:rPr>
          <w:b/>
          <w:spacing w:val="8"/>
          <w:sz w:val="24"/>
        </w:rPr>
        <w:t>胸部 </w:t>
      </w:r>
      <w:r>
        <w:rPr>
          <w:b/>
          <w:sz w:val="24"/>
        </w:rPr>
        <w:t>X</w:t>
      </w:r>
      <w:r>
        <w:rPr>
          <w:b/>
          <w:spacing w:val="5"/>
          <w:sz w:val="24"/>
        </w:rPr>
        <w:t> 光檢查：</w:t>
      </w:r>
      <w:r>
        <w:rPr>
          <w:spacing w:val="3"/>
          <w:sz w:val="24"/>
        </w:rPr>
        <w:t>非多重抗藥性結核病的病人，治療前、治療後 </w:t>
      </w:r>
      <w:r>
        <w:rPr>
          <w:sz w:val="24"/>
        </w:rPr>
        <w:t>1~2</w:t>
      </w:r>
      <w:r>
        <w:rPr>
          <w:spacing w:val="3"/>
          <w:sz w:val="24"/>
        </w:rPr>
        <w:t> 個月、及完治</w:t>
      </w:r>
      <w:r>
        <w:rPr>
          <w:spacing w:val="-4"/>
          <w:sz w:val="24"/>
        </w:rPr>
        <w:t>時，建議追蹤胸部Ⅹ光。至於多重抗藥性病人則建議每三個月追蹤胸部Ⅹ光，特別</w:t>
      </w:r>
      <w:r>
        <w:rPr>
          <w:spacing w:val="3"/>
          <w:sz w:val="24"/>
        </w:rPr>
        <w:t>是加強期，以作為藥物治療反應的參考。但應避免只根據胸部 </w:t>
      </w:r>
      <w:r>
        <w:rPr>
          <w:sz w:val="24"/>
        </w:rPr>
        <w:t>X</w:t>
      </w:r>
      <w:r>
        <w:rPr>
          <w:spacing w:val="4"/>
          <w:sz w:val="24"/>
        </w:rPr>
        <w:t> 光就冒然決定停</w:t>
      </w:r>
      <w:r>
        <w:rPr>
          <w:spacing w:val="3"/>
          <w:sz w:val="24"/>
        </w:rPr>
        <w:t>藥。</w:t>
      </w:r>
      <w:r>
        <w:rPr>
          <w:color w:val="FF0000"/>
          <w:spacing w:val="2"/>
          <w:sz w:val="24"/>
        </w:rPr>
        <w:t>治療處方改變時，特別是加入新藥之前，建議追蹤胸部 </w:t>
      </w:r>
      <w:r>
        <w:rPr>
          <w:color w:val="FF0000"/>
          <w:sz w:val="24"/>
        </w:rPr>
        <w:t>X</w:t>
      </w:r>
      <w:r>
        <w:rPr>
          <w:color w:val="FF0000"/>
          <w:spacing w:val="3"/>
          <w:sz w:val="24"/>
        </w:rPr>
        <w:t> 光。</w:t>
      </w:r>
    </w:p>
    <w:p>
      <w:pPr>
        <w:pStyle w:val="ListParagraph"/>
        <w:numPr>
          <w:ilvl w:val="3"/>
          <w:numId w:val="32"/>
        </w:numPr>
        <w:tabs>
          <w:tab w:pos="964" w:val="left" w:leader="none"/>
        </w:tabs>
        <w:spacing w:line="220" w:lineRule="auto" w:before="0" w:after="0"/>
        <w:ind w:left="963" w:right="1358" w:hanging="244"/>
        <w:jc w:val="both"/>
        <w:rPr>
          <w:sz w:val="24"/>
        </w:rPr>
      </w:pPr>
      <w:r>
        <w:rPr>
          <w:b/>
          <w:spacing w:val="1"/>
          <w:sz w:val="24"/>
        </w:rPr>
        <w:t>病毒學檢查：</w:t>
      </w:r>
      <w:r>
        <w:rPr>
          <w:spacing w:val="1"/>
          <w:sz w:val="24"/>
        </w:rPr>
        <w:t>由於 </w:t>
      </w:r>
      <w:r>
        <w:rPr>
          <w:sz w:val="24"/>
        </w:rPr>
        <w:t>B</w:t>
      </w:r>
      <w:r>
        <w:rPr>
          <w:spacing w:val="-1"/>
          <w:sz w:val="24"/>
        </w:rPr>
        <w:t> 型、</w:t>
      </w:r>
      <w:r>
        <w:rPr>
          <w:sz w:val="24"/>
        </w:rPr>
        <w:t>C 型肝炎、或愛滋病毒感染者，於結核病治療過程中，發</w:t>
      </w:r>
      <w:r>
        <w:rPr>
          <w:spacing w:val="2"/>
          <w:sz w:val="24"/>
        </w:rPr>
        <w:t>生肝炎的機會較高，治療結核病前，如果不確定是否有 </w:t>
      </w:r>
      <w:r>
        <w:rPr>
          <w:sz w:val="24"/>
        </w:rPr>
        <w:t>B</w:t>
      </w:r>
      <w:r>
        <w:rPr>
          <w:spacing w:val="3"/>
          <w:sz w:val="24"/>
        </w:rPr>
        <w:t>、</w:t>
      </w:r>
      <w:r>
        <w:rPr>
          <w:sz w:val="24"/>
        </w:rPr>
        <w:t>C</w:t>
      </w:r>
      <w:r>
        <w:rPr>
          <w:spacing w:val="3"/>
          <w:sz w:val="24"/>
        </w:rPr>
        <w:t> 型肝炎以及愛滋病毒</w:t>
      </w:r>
      <w:r>
        <w:rPr>
          <w:spacing w:val="-5"/>
          <w:sz w:val="24"/>
        </w:rPr>
        <w:t>感染，建議為病人開立相關檢查，例如 </w:t>
      </w:r>
      <w:r>
        <w:rPr>
          <w:sz w:val="24"/>
        </w:rPr>
        <w:t>B</w:t>
      </w:r>
      <w:r>
        <w:rPr>
          <w:spacing w:val="-1"/>
          <w:sz w:val="24"/>
        </w:rPr>
        <w:t> 型肝炎病毒表面抗原</w:t>
      </w:r>
      <w:r>
        <w:rPr>
          <w:spacing w:val="-4"/>
          <w:sz w:val="24"/>
        </w:rPr>
        <w:t>（HbsAg）</w:t>
      </w:r>
      <w:r>
        <w:rPr>
          <w:spacing w:val="2"/>
          <w:sz w:val="24"/>
        </w:rPr>
        <w:t>和 </w:t>
      </w:r>
      <w:r>
        <w:rPr>
          <w:sz w:val="24"/>
        </w:rPr>
        <w:t>C</w:t>
      </w:r>
      <w:r>
        <w:rPr>
          <w:spacing w:val="3"/>
          <w:sz w:val="24"/>
        </w:rPr>
        <w:t> 型肝炎病毒抗體</w:t>
      </w:r>
      <w:r>
        <w:rPr>
          <w:sz w:val="24"/>
        </w:rPr>
        <w:t>（anti-HCV</w:t>
      </w:r>
      <w:r>
        <w:rPr>
          <w:spacing w:val="-1"/>
          <w:sz w:val="24"/>
        </w:rPr>
        <w:t> </w:t>
      </w:r>
      <w:r>
        <w:rPr>
          <w:spacing w:val="2"/>
          <w:sz w:val="24"/>
        </w:rPr>
        <w:t>Ab）。若病人未拒絕，建議同時檢測愛滋病毒相關血清學</w:t>
      </w:r>
      <w:r>
        <w:rPr>
          <w:spacing w:val="3"/>
          <w:sz w:val="24"/>
        </w:rPr>
        <w:t>檢查。</w:t>
      </w:r>
    </w:p>
    <w:p>
      <w:pPr>
        <w:pStyle w:val="ListParagraph"/>
        <w:numPr>
          <w:ilvl w:val="3"/>
          <w:numId w:val="32"/>
        </w:numPr>
        <w:tabs>
          <w:tab w:pos="964" w:val="left" w:leader="none"/>
        </w:tabs>
        <w:spacing w:line="220" w:lineRule="auto" w:before="0" w:after="0"/>
        <w:ind w:left="963" w:right="1358" w:hanging="244"/>
        <w:jc w:val="both"/>
        <w:rPr>
          <w:sz w:val="24"/>
        </w:rPr>
      </w:pPr>
      <w:r>
        <w:rPr>
          <w:b/>
          <w:spacing w:val="3"/>
          <w:sz w:val="24"/>
        </w:rPr>
        <w:t>血液及生化檢查：</w:t>
      </w:r>
      <w:r>
        <w:rPr>
          <w:spacing w:val="2"/>
          <w:sz w:val="24"/>
        </w:rPr>
        <w:t>結核病人在治療前以及開始治療後的第 </w:t>
      </w:r>
      <w:r>
        <w:rPr>
          <w:sz w:val="24"/>
        </w:rPr>
        <w:t>2</w:t>
      </w:r>
      <w:r>
        <w:rPr>
          <w:spacing w:val="4"/>
          <w:sz w:val="24"/>
        </w:rPr>
        <w:t>、</w:t>
      </w:r>
      <w:r>
        <w:rPr>
          <w:sz w:val="24"/>
        </w:rPr>
        <w:t>4</w:t>
      </w:r>
      <w:r>
        <w:rPr>
          <w:spacing w:val="4"/>
          <w:sz w:val="24"/>
        </w:rPr>
        <w:t>、</w:t>
      </w:r>
      <w:r>
        <w:rPr>
          <w:sz w:val="24"/>
        </w:rPr>
        <w:t>8</w:t>
      </w:r>
      <w:r>
        <w:rPr>
          <w:spacing w:val="3"/>
          <w:sz w:val="24"/>
        </w:rPr>
        <w:t> 週，應考慮安</w:t>
      </w:r>
      <w:r>
        <w:rPr>
          <w:spacing w:val="18"/>
          <w:sz w:val="24"/>
        </w:rPr>
        <w:t>排全血球計數</w:t>
      </w:r>
      <w:r>
        <w:rPr>
          <w:spacing w:val="3"/>
          <w:sz w:val="24"/>
        </w:rPr>
        <w:t>（complete</w:t>
      </w:r>
      <w:r>
        <w:rPr>
          <w:spacing w:val="53"/>
          <w:sz w:val="24"/>
        </w:rPr>
        <w:t> </w:t>
      </w:r>
      <w:r>
        <w:rPr>
          <w:sz w:val="24"/>
        </w:rPr>
        <w:t>blood</w:t>
      </w:r>
      <w:r>
        <w:rPr>
          <w:spacing w:val="53"/>
          <w:sz w:val="24"/>
        </w:rPr>
        <w:t> </w:t>
      </w:r>
      <w:r>
        <w:rPr>
          <w:sz w:val="24"/>
        </w:rPr>
        <w:t>count</w:t>
      </w:r>
      <w:r>
        <w:rPr>
          <w:spacing w:val="26"/>
          <w:sz w:val="24"/>
        </w:rPr>
        <w:t>, </w:t>
      </w:r>
      <w:r>
        <w:rPr>
          <w:spacing w:val="9"/>
          <w:sz w:val="24"/>
        </w:rPr>
        <w:t>CBC）</w:t>
      </w:r>
      <w:r>
        <w:rPr>
          <w:spacing w:val="18"/>
          <w:sz w:val="24"/>
        </w:rPr>
        <w:t>、白血球分類計數、</w:t>
      </w:r>
      <w:r>
        <w:rPr>
          <w:sz w:val="24"/>
        </w:rPr>
        <w:t>aspartate aminotransferase（AST）</w:t>
      </w:r>
      <w:r>
        <w:rPr>
          <w:spacing w:val="4"/>
          <w:sz w:val="24"/>
        </w:rPr>
        <w:t>、</w:t>
      </w:r>
      <w:r>
        <w:rPr>
          <w:sz w:val="24"/>
        </w:rPr>
        <w:t>alanine</w:t>
      </w:r>
      <w:r>
        <w:rPr>
          <w:spacing w:val="-2"/>
          <w:sz w:val="24"/>
        </w:rPr>
        <w:t> </w:t>
      </w:r>
      <w:r>
        <w:rPr>
          <w:sz w:val="24"/>
        </w:rPr>
        <w:t>aminotransferase（ALT）</w:t>
      </w:r>
      <w:r>
        <w:rPr>
          <w:spacing w:val="3"/>
          <w:sz w:val="24"/>
        </w:rPr>
        <w:t>、</w:t>
      </w:r>
      <w:r>
        <w:rPr>
          <w:sz w:val="24"/>
        </w:rPr>
        <w:t>bilirubin</w:t>
      </w:r>
      <w:r>
        <w:rPr>
          <w:spacing w:val="3"/>
          <w:sz w:val="24"/>
        </w:rPr>
        <w:t>、</w:t>
      </w:r>
      <w:r>
        <w:rPr>
          <w:sz w:val="24"/>
        </w:rPr>
        <w:t>uric acid</w:t>
      </w:r>
      <w:r>
        <w:rPr>
          <w:spacing w:val="4"/>
          <w:sz w:val="24"/>
        </w:rPr>
        <w:t>、</w:t>
      </w:r>
      <w:r>
        <w:rPr>
          <w:sz w:val="24"/>
        </w:rPr>
        <w:t>blood</w:t>
      </w:r>
      <w:r>
        <w:rPr>
          <w:spacing w:val="-8"/>
          <w:sz w:val="24"/>
        </w:rPr>
        <w:t> </w:t>
      </w:r>
      <w:r>
        <w:rPr>
          <w:sz w:val="24"/>
        </w:rPr>
        <w:t>urea</w:t>
      </w:r>
      <w:r>
        <w:rPr>
          <w:spacing w:val="-8"/>
          <w:sz w:val="24"/>
        </w:rPr>
        <w:t> </w:t>
      </w:r>
      <w:r>
        <w:rPr>
          <w:spacing w:val="-5"/>
          <w:sz w:val="24"/>
        </w:rPr>
        <w:t>nitrogen（BUN）</w:t>
      </w:r>
      <w:r>
        <w:rPr>
          <w:spacing w:val="4"/>
          <w:sz w:val="24"/>
        </w:rPr>
        <w:t>、</w:t>
      </w:r>
      <w:r>
        <w:rPr>
          <w:sz w:val="24"/>
        </w:rPr>
        <w:t>creatinine</w:t>
      </w:r>
      <w:r>
        <w:rPr>
          <w:spacing w:val="3"/>
          <w:sz w:val="24"/>
        </w:rPr>
        <w:t> 等檢查。若病人有 </w:t>
      </w:r>
      <w:r>
        <w:rPr>
          <w:spacing w:val="-18"/>
          <w:sz w:val="24"/>
        </w:rPr>
        <w:t>B</w:t>
      </w:r>
      <w:r>
        <w:rPr>
          <w:spacing w:val="-16"/>
          <w:sz w:val="24"/>
        </w:rPr>
        <w:t>、</w:t>
      </w:r>
      <w:r>
        <w:rPr>
          <w:sz w:val="24"/>
        </w:rPr>
        <w:t>C</w:t>
      </w:r>
      <w:r>
        <w:rPr>
          <w:spacing w:val="6"/>
          <w:sz w:val="24"/>
        </w:rPr>
        <w:t> 型肝炎</w:t>
      </w:r>
      <w:r>
        <w:rPr>
          <w:spacing w:val="-3"/>
          <w:sz w:val="24"/>
        </w:rPr>
        <w:t>或愛滋病，或治療前各種血液及生化指數異常，則返診的頻率以及血液和生化檢查應更為密集。除此之外，建議治療前可檢查飯前血糖或糖化血色素以了解病人是否</w:t>
      </w:r>
      <w:r>
        <w:rPr>
          <w:spacing w:val="-2"/>
          <w:sz w:val="24"/>
        </w:rPr>
        <w:t>同時罹患糖尿病；若病人有糖尿病，治療過程中建議持續追蹤血糖控制狀況並據以</w:t>
      </w:r>
      <w:r>
        <w:rPr>
          <w:spacing w:val="2"/>
          <w:sz w:val="24"/>
        </w:rPr>
        <w:t>調整糖尿病相關用藥。</w:t>
      </w:r>
    </w:p>
    <w:p>
      <w:pPr>
        <w:pStyle w:val="ListParagraph"/>
        <w:numPr>
          <w:ilvl w:val="3"/>
          <w:numId w:val="32"/>
        </w:numPr>
        <w:tabs>
          <w:tab w:pos="964" w:val="left" w:leader="none"/>
        </w:tabs>
        <w:spacing w:line="218" w:lineRule="auto" w:before="0" w:after="0"/>
        <w:ind w:left="963" w:right="1358" w:hanging="244"/>
        <w:jc w:val="both"/>
        <w:rPr>
          <w:sz w:val="24"/>
        </w:rPr>
      </w:pPr>
      <w:r>
        <w:rPr>
          <w:b/>
          <w:spacing w:val="2"/>
          <w:sz w:val="24"/>
        </w:rPr>
        <w:t>視力：</w:t>
      </w:r>
      <w:r>
        <w:rPr>
          <w:spacing w:val="8"/>
          <w:sz w:val="24"/>
        </w:rPr>
        <w:t>使用 </w:t>
      </w:r>
      <w:r>
        <w:rPr>
          <w:sz w:val="24"/>
        </w:rPr>
        <w:t>ethambutol（EMB）</w:t>
      </w:r>
      <w:r>
        <w:rPr>
          <w:spacing w:val="1"/>
          <w:sz w:val="24"/>
        </w:rPr>
        <w:t>之病人，宜每月檢查視力及辨色力。若病人有較高的風險發生視神經炎，</w:t>
      </w:r>
      <w:r>
        <w:rPr>
          <w:color w:val="FF0000"/>
          <w:spacing w:val="-1"/>
          <w:sz w:val="24"/>
        </w:rPr>
        <w:t>例如老年、腎功能不佳等</w:t>
      </w:r>
      <w:r>
        <w:rPr>
          <w:spacing w:val="1"/>
          <w:sz w:val="24"/>
        </w:rPr>
        <w:t>，在確定為藥物全敏感之結核病</w:t>
      </w:r>
      <w:r>
        <w:rPr>
          <w:spacing w:val="2"/>
          <w:sz w:val="24"/>
        </w:rPr>
        <w:t>後，可考慮停止使用 </w:t>
      </w:r>
      <w:r>
        <w:rPr>
          <w:sz w:val="24"/>
        </w:rPr>
        <w:t>EMB。</w:t>
      </w:r>
    </w:p>
    <w:p>
      <w:pPr>
        <w:pStyle w:val="ListParagraph"/>
        <w:numPr>
          <w:ilvl w:val="3"/>
          <w:numId w:val="32"/>
        </w:numPr>
        <w:tabs>
          <w:tab w:pos="1025" w:val="left" w:leader="none"/>
        </w:tabs>
        <w:spacing w:line="218" w:lineRule="auto" w:before="0" w:after="0"/>
        <w:ind w:left="1024" w:right="1363" w:hanging="305"/>
        <w:jc w:val="both"/>
        <w:rPr>
          <w:sz w:val="24"/>
        </w:rPr>
      </w:pPr>
      <w:r>
        <w:rPr>
          <w:b/>
          <w:spacing w:val="3"/>
          <w:sz w:val="24"/>
        </w:rPr>
        <w:t>聽力：</w:t>
      </w:r>
      <w:r>
        <w:rPr>
          <w:spacing w:val="5"/>
          <w:sz w:val="24"/>
        </w:rPr>
        <w:t>使用 </w:t>
      </w:r>
      <w:r>
        <w:rPr>
          <w:sz w:val="24"/>
        </w:rPr>
        <w:t>aminoglycoside</w:t>
      </w:r>
      <w:r>
        <w:rPr>
          <w:spacing w:val="7"/>
          <w:sz w:val="24"/>
        </w:rPr>
        <w:t> 或 </w:t>
      </w:r>
      <w:r>
        <w:rPr>
          <w:sz w:val="24"/>
        </w:rPr>
        <w:t>polypeptide</w:t>
      </w:r>
      <w:r>
        <w:rPr>
          <w:spacing w:val="-4"/>
          <w:sz w:val="24"/>
        </w:rPr>
        <w:t> 類藥物的結核病人，</w:t>
      </w:r>
      <w:r>
        <w:rPr>
          <w:color w:val="FF0000"/>
          <w:spacing w:val="-4"/>
          <w:sz w:val="24"/>
        </w:rPr>
        <w:t>特別是後者</w:t>
      </w:r>
      <w:r>
        <w:rPr>
          <w:spacing w:val="-15"/>
          <w:sz w:val="24"/>
        </w:rPr>
        <w:t>，宜</w:t>
      </w:r>
      <w:r>
        <w:rPr>
          <w:spacing w:val="2"/>
          <w:sz w:val="24"/>
        </w:rPr>
        <w:t>注意追蹤聽力及平衡能力。</w:t>
      </w:r>
    </w:p>
    <w:p>
      <w:pPr>
        <w:pStyle w:val="ListParagraph"/>
        <w:numPr>
          <w:ilvl w:val="2"/>
          <w:numId w:val="32"/>
        </w:numPr>
        <w:tabs>
          <w:tab w:pos="986" w:val="left" w:leader="none"/>
        </w:tabs>
        <w:spacing w:line="220" w:lineRule="auto" w:before="155" w:after="0"/>
        <w:ind w:left="986" w:right="1357" w:hanging="695"/>
        <w:jc w:val="both"/>
        <w:rPr>
          <w:sz w:val="24"/>
        </w:rPr>
      </w:pPr>
      <w:r>
        <w:rPr>
          <w:b/>
          <w:sz w:val="24"/>
        </w:rPr>
        <w:t>完成治療後的監測：</w:t>
      </w:r>
      <w:r>
        <w:rPr>
          <w:spacing w:val="-3"/>
          <w:sz w:val="24"/>
        </w:rPr>
        <w:t>目前的證據顯示，完成治療後的結核病人，比一般人有更高的</w:t>
      </w:r>
      <w:r>
        <w:rPr>
          <w:spacing w:val="-4"/>
          <w:sz w:val="24"/>
        </w:rPr>
        <w:t>機會再得結核病。完治後的第一年建議每半年追蹤一次，此後每年追蹤一次。追蹤</w:t>
      </w:r>
      <w:r>
        <w:rPr>
          <w:spacing w:val="3"/>
          <w:sz w:val="24"/>
        </w:rPr>
        <w:t>時，建議安排胸部Ⅹ光檢查，</w:t>
      </w:r>
      <w:r>
        <w:rPr>
          <w:color w:val="FF0000"/>
          <w:spacing w:val="3"/>
          <w:sz w:val="24"/>
        </w:rPr>
        <w:t>若有呼吸道症狀</w:t>
      </w:r>
      <w:r>
        <w:rPr>
          <w:spacing w:val="2"/>
          <w:sz w:val="24"/>
        </w:rPr>
        <w:t>，也應考慮驗痰。</w:t>
      </w:r>
    </w:p>
    <w:p>
      <w:pPr>
        <w:spacing w:after="0" w:line="220" w:lineRule="auto"/>
        <w:jc w:val="both"/>
        <w:rPr>
          <w:sz w:val="24"/>
        </w:rPr>
        <w:sectPr>
          <w:pgSz w:w="12250" w:h="17190"/>
          <w:pgMar w:header="0" w:footer="748" w:top="1460" w:bottom="1020" w:left="1180" w:right="0"/>
        </w:sectPr>
      </w:pPr>
    </w:p>
    <w:p>
      <w:pPr>
        <w:pStyle w:val="Heading6"/>
        <w:numPr>
          <w:ilvl w:val="1"/>
          <w:numId w:val="32"/>
        </w:numPr>
        <w:tabs>
          <w:tab w:pos="613" w:val="left" w:leader="none"/>
        </w:tabs>
        <w:spacing w:line="454" w:lineRule="exact" w:before="9" w:after="0"/>
        <w:ind w:left="612" w:right="0" w:hanging="433"/>
        <w:jc w:val="left"/>
      </w:pPr>
      <w:r>
        <w:rPr>
          <w:spacing w:val="2"/>
        </w:rPr>
        <w:t>不良反應：</w:t>
      </w:r>
    </w:p>
    <w:p>
      <w:pPr>
        <w:pStyle w:val="ListParagraph"/>
        <w:numPr>
          <w:ilvl w:val="2"/>
          <w:numId w:val="32"/>
        </w:numPr>
        <w:tabs>
          <w:tab w:pos="986" w:val="left" w:leader="none"/>
        </w:tabs>
        <w:spacing w:line="223" w:lineRule="auto" w:before="17" w:after="0"/>
        <w:ind w:left="986" w:right="1357" w:hanging="695"/>
        <w:jc w:val="left"/>
        <w:rPr>
          <w:sz w:val="24"/>
        </w:rPr>
      </w:pPr>
      <w:r>
        <w:rPr>
          <w:b/>
          <w:spacing w:val="-2"/>
          <w:sz w:val="24"/>
        </w:rPr>
        <w:t>處理原則：</w:t>
      </w:r>
      <w:r>
        <w:rPr>
          <w:spacing w:val="-1"/>
          <w:sz w:val="24"/>
        </w:rPr>
        <w:t>結核病人於接受抗結核藥物治療中，如發生藥物不良反應，診療醫師應</w:t>
      </w:r>
      <w:r>
        <w:rPr>
          <w:spacing w:val="3"/>
          <w:sz w:val="24"/>
        </w:rPr>
        <w:t>根據該不良反應的嚴重度妥善處理，但不一定需立即停藥。</w:t>
      </w:r>
    </w:p>
    <w:p>
      <w:pPr>
        <w:pStyle w:val="ListParagraph"/>
        <w:numPr>
          <w:ilvl w:val="3"/>
          <w:numId w:val="32"/>
        </w:numPr>
        <w:tabs>
          <w:tab w:pos="986" w:val="left" w:leader="none"/>
        </w:tabs>
        <w:spacing w:line="426" w:lineRule="exact" w:before="0" w:after="0"/>
        <w:ind w:left="986" w:right="0" w:hanging="244"/>
        <w:jc w:val="left"/>
        <w:rPr>
          <w:sz w:val="24"/>
        </w:rPr>
      </w:pPr>
      <w:r>
        <w:rPr>
          <w:spacing w:val="2"/>
          <w:sz w:val="24"/>
        </w:rPr>
        <w:t>密切觀察、或者是症狀治療即可，不必停藥，例如以下這幾種不良反應：</w:t>
      </w:r>
    </w:p>
    <w:p>
      <w:pPr>
        <w:pStyle w:val="ListParagraph"/>
        <w:numPr>
          <w:ilvl w:val="1"/>
          <w:numId w:val="33"/>
        </w:numPr>
        <w:tabs>
          <w:tab w:pos="1462" w:val="left" w:leader="none"/>
        </w:tabs>
        <w:spacing w:line="223" w:lineRule="auto" w:before="7" w:after="0"/>
        <w:ind w:left="1461" w:right="1361" w:hanging="489"/>
        <w:jc w:val="both"/>
        <w:rPr>
          <w:sz w:val="24"/>
        </w:rPr>
      </w:pPr>
      <w:r>
        <w:rPr>
          <w:spacing w:val="10"/>
          <w:sz w:val="24"/>
        </w:rPr>
        <w:t>無症狀而 </w:t>
      </w:r>
      <w:r>
        <w:rPr>
          <w:sz w:val="24"/>
        </w:rPr>
        <w:t>AST/ALT</w:t>
      </w:r>
      <w:r>
        <w:rPr>
          <w:spacing w:val="3"/>
          <w:sz w:val="24"/>
        </w:rPr>
        <w:t> 未超過正常上限的五倍，或有輕微肝炎症狀（</w:t>
      </w:r>
      <w:r>
        <w:rPr>
          <w:spacing w:val="2"/>
          <w:sz w:val="24"/>
        </w:rPr>
        <w:t>包括全身倦</w:t>
      </w:r>
      <w:r>
        <w:rPr>
          <w:spacing w:val="-9"/>
          <w:sz w:val="24"/>
        </w:rPr>
        <w:t>怠、食慾不振、噁心、腸胃不適、嘔吐、右上腹痛、黃疸</w:t>
      </w:r>
      <w:r>
        <w:rPr>
          <w:spacing w:val="-21"/>
          <w:sz w:val="24"/>
        </w:rPr>
        <w:t>）</w:t>
      </w:r>
      <w:r>
        <w:rPr>
          <w:spacing w:val="3"/>
          <w:sz w:val="24"/>
        </w:rPr>
        <w:t>但 </w:t>
      </w:r>
      <w:r>
        <w:rPr>
          <w:sz w:val="24"/>
        </w:rPr>
        <w:t>AST/ALT</w:t>
      </w:r>
      <w:r>
        <w:rPr>
          <w:spacing w:val="3"/>
          <w:sz w:val="24"/>
        </w:rPr>
        <w:t> 未超過</w:t>
      </w:r>
      <w:r>
        <w:rPr>
          <w:spacing w:val="2"/>
          <w:sz w:val="24"/>
        </w:rPr>
        <w:t>正常上限的三倍</w:t>
      </w:r>
    </w:p>
    <w:p>
      <w:pPr>
        <w:pStyle w:val="ListParagraph"/>
        <w:numPr>
          <w:ilvl w:val="1"/>
          <w:numId w:val="33"/>
        </w:numPr>
        <w:tabs>
          <w:tab w:pos="1462" w:val="left" w:leader="none"/>
        </w:tabs>
        <w:spacing w:line="402" w:lineRule="exact" w:before="0" w:after="0"/>
        <w:ind w:left="1461" w:right="0" w:hanging="490"/>
        <w:jc w:val="both"/>
        <w:rPr>
          <w:sz w:val="24"/>
        </w:rPr>
      </w:pPr>
      <w:r>
        <w:rPr>
          <w:spacing w:val="3"/>
          <w:sz w:val="24"/>
        </w:rPr>
        <w:t>輕微的皮膚搔癢，觀察即可、或可開立抗組織胺劑來緩解不適。</w:t>
      </w:r>
    </w:p>
    <w:p>
      <w:pPr>
        <w:pStyle w:val="ListParagraph"/>
        <w:numPr>
          <w:ilvl w:val="1"/>
          <w:numId w:val="33"/>
        </w:numPr>
        <w:tabs>
          <w:tab w:pos="1462" w:val="left" w:leader="none"/>
        </w:tabs>
        <w:spacing w:line="223" w:lineRule="auto" w:before="6" w:after="0"/>
        <w:ind w:left="1461" w:right="1361" w:hanging="489"/>
        <w:jc w:val="both"/>
        <w:rPr>
          <w:sz w:val="24"/>
        </w:rPr>
      </w:pPr>
      <w:r>
        <w:rPr>
          <w:spacing w:val="2"/>
          <w:sz w:val="24"/>
        </w:rPr>
        <w:t>血清中尿酸濃度在 </w:t>
      </w:r>
      <w:r>
        <w:rPr>
          <w:sz w:val="24"/>
        </w:rPr>
        <w:t>13</w:t>
      </w:r>
      <w:r>
        <w:rPr>
          <w:spacing w:val="-10"/>
          <w:sz w:val="24"/>
        </w:rPr>
        <w:t> </w:t>
      </w:r>
      <w:r>
        <w:rPr>
          <w:sz w:val="24"/>
        </w:rPr>
        <w:t>mg/dL</w:t>
      </w:r>
      <w:r>
        <w:rPr>
          <w:spacing w:val="-4"/>
          <w:sz w:val="24"/>
        </w:rPr>
        <w:t> 以下，沒有關節炎的症狀時，請病人多喝水，並</w:t>
      </w:r>
      <w:r>
        <w:rPr>
          <w:spacing w:val="2"/>
          <w:sz w:val="24"/>
        </w:rPr>
        <w:t>攝取低普林飲食，暫不停藥也不使用降尿酸藥物。</w:t>
      </w:r>
    </w:p>
    <w:p>
      <w:pPr>
        <w:pStyle w:val="ListParagraph"/>
        <w:numPr>
          <w:ilvl w:val="1"/>
          <w:numId w:val="33"/>
        </w:numPr>
        <w:tabs>
          <w:tab w:pos="1462" w:val="left" w:leader="none"/>
        </w:tabs>
        <w:spacing w:line="403" w:lineRule="exact" w:before="0" w:after="0"/>
        <w:ind w:left="1461" w:right="0" w:hanging="490"/>
        <w:jc w:val="both"/>
        <w:rPr>
          <w:sz w:val="24"/>
        </w:rPr>
      </w:pPr>
      <w:r>
        <w:rPr>
          <w:sz w:val="24"/>
        </w:rPr>
        <w:t>輕度痛風、關節酸痛，先以短暫非類固醇抗發炎藥物（NSAID）</w:t>
      </w:r>
      <w:r>
        <w:rPr>
          <w:spacing w:val="1"/>
          <w:sz w:val="24"/>
        </w:rPr>
        <w:t>作症狀處理。</w:t>
      </w:r>
    </w:p>
    <w:p>
      <w:pPr>
        <w:pStyle w:val="ListParagraph"/>
        <w:numPr>
          <w:ilvl w:val="1"/>
          <w:numId w:val="33"/>
        </w:numPr>
        <w:tabs>
          <w:tab w:pos="1462" w:val="left" w:leader="none"/>
        </w:tabs>
        <w:spacing w:line="223" w:lineRule="auto" w:before="6" w:after="0"/>
        <w:ind w:left="1461" w:right="1358" w:hanging="489"/>
        <w:jc w:val="both"/>
        <w:rPr>
          <w:sz w:val="24"/>
        </w:rPr>
      </w:pPr>
      <w:r>
        <w:rPr>
          <w:spacing w:val="-2"/>
          <w:sz w:val="24"/>
        </w:rPr>
        <w:t>病人發生腸胃不適症狀時，可將藥物改為飯後服用，或併用腸胃道藥物來緩解</w:t>
      </w:r>
      <w:r>
        <w:rPr>
          <w:spacing w:val="3"/>
          <w:sz w:val="24"/>
        </w:rPr>
        <w:t>症狀。</w:t>
      </w:r>
    </w:p>
    <w:p>
      <w:pPr>
        <w:pStyle w:val="ListParagraph"/>
        <w:numPr>
          <w:ilvl w:val="1"/>
          <w:numId w:val="33"/>
        </w:numPr>
        <w:tabs>
          <w:tab w:pos="1462" w:val="left" w:leader="none"/>
        </w:tabs>
        <w:spacing w:line="403" w:lineRule="exact" w:before="0" w:after="0"/>
        <w:ind w:left="1461" w:right="0" w:hanging="490"/>
        <w:jc w:val="both"/>
        <w:rPr>
          <w:sz w:val="24"/>
        </w:rPr>
      </w:pPr>
      <w:r>
        <w:rPr>
          <w:spacing w:val="2"/>
          <w:sz w:val="24"/>
        </w:rPr>
        <w:t>輕微的末梢神經麻木，可以使用 </w:t>
      </w:r>
      <w:r>
        <w:rPr>
          <w:sz w:val="24"/>
        </w:rPr>
        <w:t>pyridoxine</w:t>
      </w:r>
      <w:r>
        <w:rPr>
          <w:spacing w:val="3"/>
          <w:sz w:val="24"/>
        </w:rPr>
        <w:t> 改善。</w:t>
      </w:r>
    </w:p>
    <w:p>
      <w:pPr>
        <w:pStyle w:val="ListParagraph"/>
        <w:numPr>
          <w:ilvl w:val="1"/>
          <w:numId w:val="33"/>
        </w:numPr>
        <w:tabs>
          <w:tab w:pos="1462" w:val="left" w:leader="none"/>
        </w:tabs>
        <w:spacing w:line="223" w:lineRule="auto" w:before="7" w:after="0"/>
        <w:ind w:left="1461" w:right="2723" w:hanging="489"/>
        <w:jc w:val="both"/>
        <w:rPr>
          <w:sz w:val="24"/>
        </w:rPr>
      </w:pPr>
      <w:r>
        <w:rPr>
          <w:spacing w:val="3"/>
          <w:sz w:val="24"/>
        </w:rPr>
        <w:t>一開始用藥後發生類流感症狀</w:t>
      </w:r>
      <w:r>
        <w:rPr>
          <w:sz w:val="24"/>
        </w:rPr>
        <w:t>（flu-like</w:t>
      </w:r>
      <w:r>
        <w:rPr>
          <w:spacing w:val="23"/>
          <w:sz w:val="24"/>
        </w:rPr>
        <w:t> </w:t>
      </w:r>
      <w:r>
        <w:rPr>
          <w:sz w:val="24"/>
        </w:rPr>
        <w:t>syndrome</w:t>
      </w:r>
      <w:r>
        <w:rPr>
          <w:spacing w:val="2"/>
          <w:sz w:val="24"/>
        </w:rPr>
        <w:t>，包括虛弱</w:t>
      </w:r>
      <w:r>
        <w:rPr>
          <w:sz w:val="24"/>
        </w:rPr>
        <w:t>［ weakness］</w:t>
      </w:r>
      <w:r>
        <w:rPr>
          <w:spacing w:val="3"/>
          <w:sz w:val="24"/>
        </w:rPr>
        <w:t>、全身倦怠</w:t>
      </w:r>
      <w:r>
        <w:rPr>
          <w:sz w:val="24"/>
        </w:rPr>
        <w:t>［fatigue］</w:t>
      </w:r>
      <w:r>
        <w:rPr>
          <w:spacing w:val="3"/>
          <w:sz w:val="24"/>
        </w:rPr>
        <w:t>、噁心</w:t>
      </w:r>
      <w:r>
        <w:rPr>
          <w:sz w:val="24"/>
        </w:rPr>
        <w:t>［nausea］</w:t>
      </w:r>
      <w:r>
        <w:rPr>
          <w:spacing w:val="3"/>
          <w:sz w:val="24"/>
        </w:rPr>
        <w:t>、嘔吐</w:t>
      </w:r>
      <w:r>
        <w:rPr>
          <w:sz w:val="24"/>
        </w:rPr>
        <w:t>［</w:t>
      </w:r>
    </w:p>
    <w:p>
      <w:pPr>
        <w:pStyle w:val="BodyText"/>
        <w:spacing w:line="223" w:lineRule="auto"/>
        <w:ind w:left="1461" w:right="1363"/>
      </w:pPr>
      <w:r>
        <w:rPr/>
        <w:t>vomiting］、頭痛［headache］、發燒［fever］、肌肉痠痛［aches］、盜汗［sweats］、頭昏［dizziness］、呼吸短促［shortness of breath］、潮紅［flushing］、以及寒顫［chills］），可給予心理支持或改為睡前服藥， 或使用 acetaminophen 退燒、止痛。</w:t>
      </w:r>
    </w:p>
    <w:p>
      <w:pPr>
        <w:pStyle w:val="ListParagraph"/>
        <w:numPr>
          <w:ilvl w:val="3"/>
          <w:numId w:val="32"/>
        </w:numPr>
        <w:tabs>
          <w:tab w:pos="986" w:val="left" w:leader="none"/>
        </w:tabs>
        <w:spacing w:line="401" w:lineRule="exact" w:before="0" w:after="0"/>
        <w:ind w:left="986" w:right="0" w:hanging="244"/>
        <w:jc w:val="left"/>
        <w:rPr>
          <w:sz w:val="22"/>
        </w:rPr>
      </w:pPr>
      <w:r>
        <w:rPr>
          <w:spacing w:val="-5"/>
          <w:sz w:val="24"/>
        </w:rPr>
        <w:t>須停藥：發生此類不良反應時，若非常確定該不良反應是由某一特定結核藥物所致</w:t>
      </w:r>
    </w:p>
    <w:p>
      <w:pPr>
        <w:pStyle w:val="BodyText"/>
        <w:spacing w:line="223" w:lineRule="auto" w:before="6"/>
        <w:ind w:left="986" w:right="1301"/>
      </w:pPr>
      <w:r>
        <w:rPr/>
        <w:t>（如 pyrazinamide［PZA］引發無法改善之高尿酸血症），可以直接停止該藥；否則建議停止所有抗結核藥物，俟不良反應消失或減緩後，以逐一嘗試用藥方式</w:t>
      </w:r>
    </w:p>
    <w:p>
      <w:pPr>
        <w:pStyle w:val="BodyText"/>
        <w:spacing w:line="223" w:lineRule="auto"/>
        <w:ind w:left="986" w:right="1314"/>
      </w:pPr>
      <w:r>
        <w:rPr/>
        <w:t>（rechallenge）找出導致此不良反應之藥物，此後不再使用該藥物，並參考本章後半部建議之處方繼續治療病人。</w:t>
      </w:r>
    </w:p>
    <w:p>
      <w:pPr>
        <w:pStyle w:val="ListParagraph"/>
        <w:numPr>
          <w:ilvl w:val="1"/>
          <w:numId w:val="34"/>
        </w:numPr>
        <w:tabs>
          <w:tab w:pos="1462" w:val="left" w:leader="none"/>
        </w:tabs>
        <w:spacing w:line="223" w:lineRule="auto" w:before="3" w:after="0"/>
        <w:ind w:left="1461" w:right="1559" w:hanging="489"/>
        <w:jc w:val="left"/>
        <w:rPr>
          <w:sz w:val="24"/>
        </w:rPr>
      </w:pPr>
      <w:r>
        <w:rPr>
          <w:spacing w:val="2"/>
          <w:sz w:val="24"/>
        </w:rPr>
        <w:t>有肝炎症狀而 </w:t>
      </w:r>
      <w:r>
        <w:rPr>
          <w:sz w:val="24"/>
        </w:rPr>
        <w:t>AST/ALT</w:t>
      </w:r>
      <w:r>
        <w:rPr>
          <w:spacing w:val="2"/>
          <w:sz w:val="24"/>
        </w:rPr>
        <w:t> 超過正常上限的三倍；或無肝炎症狀但 </w:t>
      </w:r>
      <w:r>
        <w:rPr>
          <w:sz w:val="24"/>
        </w:rPr>
        <w:t>AST/ALT</w:t>
      </w:r>
      <w:r>
        <w:rPr>
          <w:spacing w:val="2"/>
          <w:sz w:val="24"/>
        </w:rPr>
        <w:t> 超</w:t>
      </w:r>
      <w:r>
        <w:rPr>
          <w:spacing w:val="3"/>
          <w:sz w:val="24"/>
        </w:rPr>
        <w:t>過正常上限的五倍。</w:t>
      </w:r>
    </w:p>
    <w:p>
      <w:pPr>
        <w:pStyle w:val="ListParagraph"/>
        <w:numPr>
          <w:ilvl w:val="1"/>
          <w:numId w:val="34"/>
        </w:numPr>
        <w:tabs>
          <w:tab w:pos="1462" w:val="left" w:leader="none"/>
        </w:tabs>
        <w:spacing w:line="223" w:lineRule="auto" w:before="3" w:after="0"/>
        <w:ind w:left="1461" w:right="1359" w:hanging="489"/>
        <w:jc w:val="left"/>
        <w:rPr>
          <w:sz w:val="24"/>
        </w:rPr>
      </w:pPr>
      <w:r>
        <w:rPr>
          <w:spacing w:val="3"/>
          <w:sz w:val="24"/>
        </w:rPr>
        <w:t>嚴重無法緩解之皮疹、搔癢、或併發 </w:t>
      </w:r>
      <w:r>
        <w:rPr>
          <w:sz w:val="24"/>
        </w:rPr>
        <w:t>toxic</w:t>
      </w:r>
      <w:r>
        <w:rPr>
          <w:spacing w:val="47"/>
          <w:sz w:val="24"/>
        </w:rPr>
        <w:t> </w:t>
      </w:r>
      <w:r>
        <w:rPr>
          <w:sz w:val="24"/>
        </w:rPr>
        <w:t>epidermal</w:t>
      </w:r>
      <w:r>
        <w:rPr>
          <w:spacing w:val="46"/>
          <w:sz w:val="24"/>
        </w:rPr>
        <w:t> </w:t>
      </w:r>
      <w:r>
        <w:rPr>
          <w:sz w:val="24"/>
        </w:rPr>
        <w:t>necrolysis</w:t>
      </w:r>
      <w:r>
        <w:rPr>
          <w:spacing w:val="4"/>
          <w:sz w:val="24"/>
        </w:rPr>
        <w:t>、</w:t>
      </w:r>
      <w:r>
        <w:rPr>
          <w:sz w:val="24"/>
        </w:rPr>
        <w:t>Stevens- Johnson</w:t>
      </w:r>
      <w:r>
        <w:rPr>
          <w:spacing w:val="5"/>
          <w:sz w:val="24"/>
        </w:rPr>
        <w:t> </w:t>
      </w:r>
      <w:r>
        <w:rPr>
          <w:sz w:val="24"/>
        </w:rPr>
        <w:t>syndrome。</w:t>
      </w:r>
    </w:p>
    <w:p>
      <w:pPr>
        <w:pStyle w:val="ListParagraph"/>
        <w:numPr>
          <w:ilvl w:val="1"/>
          <w:numId w:val="34"/>
        </w:numPr>
        <w:tabs>
          <w:tab w:pos="1462" w:val="left" w:leader="none"/>
        </w:tabs>
        <w:spacing w:line="408" w:lineRule="exact" w:before="0" w:after="0"/>
        <w:ind w:left="1461" w:right="0" w:hanging="490"/>
        <w:jc w:val="left"/>
        <w:rPr>
          <w:sz w:val="24"/>
        </w:rPr>
      </w:pPr>
      <w:r>
        <w:rPr>
          <w:spacing w:val="2"/>
          <w:sz w:val="24"/>
        </w:rPr>
        <w:t>視力惡化。</w:t>
      </w:r>
    </w:p>
    <w:p>
      <w:pPr>
        <w:pStyle w:val="ListParagraph"/>
        <w:numPr>
          <w:ilvl w:val="1"/>
          <w:numId w:val="34"/>
        </w:numPr>
        <w:tabs>
          <w:tab w:pos="1462" w:val="left" w:leader="none"/>
        </w:tabs>
        <w:spacing w:line="412" w:lineRule="exact" w:before="0" w:after="0"/>
        <w:ind w:left="1461" w:right="0" w:hanging="490"/>
        <w:jc w:val="left"/>
        <w:rPr>
          <w:sz w:val="24"/>
        </w:rPr>
      </w:pPr>
      <w:r>
        <w:rPr>
          <w:spacing w:val="3"/>
          <w:sz w:val="24"/>
        </w:rPr>
        <w:t>嚴重無法緩解之痛風症狀、或已經攝取足夠水分且接受低普林飲食之後血清</w:t>
      </w:r>
    </w:p>
    <w:p>
      <w:pPr>
        <w:pStyle w:val="BodyText"/>
        <w:spacing w:line="412" w:lineRule="exact"/>
        <w:ind w:left="1461"/>
      </w:pPr>
      <w:r>
        <w:rPr/>
        <w:t>尿酸值仍高於 13 mg/dL、或高尿酸血症併急性腎功能惡化。</w:t>
      </w:r>
    </w:p>
    <w:p>
      <w:pPr>
        <w:pStyle w:val="ListParagraph"/>
        <w:numPr>
          <w:ilvl w:val="1"/>
          <w:numId w:val="34"/>
        </w:numPr>
        <w:tabs>
          <w:tab w:pos="1462" w:val="left" w:leader="none"/>
        </w:tabs>
        <w:spacing w:line="414" w:lineRule="exact" w:before="0" w:after="0"/>
        <w:ind w:left="1461" w:right="0" w:hanging="490"/>
        <w:jc w:val="left"/>
        <w:rPr>
          <w:sz w:val="24"/>
        </w:rPr>
      </w:pPr>
      <w:r>
        <w:rPr>
          <w:spacing w:val="3"/>
          <w:sz w:val="24"/>
        </w:rPr>
        <w:t>嚴重之貧血、血小板下降、紫斑、白血球低下、或甚至泛血球寡少症。</w:t>
      </w:r>
    </w:p>
    <w:p>
      <w:pPr>
        <w:pStyle w:val="ListParagraph"/>
        <w:numPr>
          <w:ilvl w:val="1"/>
          <w:numId w:val="34"/>
        </w:numPr>
        <w:tabs>
          <w:tab w:pos="1462" w:val="left" w:leader="none"/>
        </w:tabs>
        <w:spacing w:line="223" w:lineRule="auto" w:before="9" w:after="0"/>
        <w:ind w:left="1461" w:right="1393" w:hanging="489"/>
        <w:jc w:val="left"/>
        <w:rPr>
          <w:sz w:val="24"/>
        </w:rPr>
      </w:pPr>
      <w:r>
        <w:rPr>
          <w:sz w:val="24"/>
        </w:rPr>
        <w:t>使用抗結核藥物後，creatinine</w:t>
      </w:r>
      <w:r>
        <w:rPr>
          <w:spacing w:val="-2"/>
          <w:sz w:val="24"/>
        </w:rPr>
        <w:t> 上升超過 </w:t>
      </w:r>
      <w:r>
        <w:rPr>
          <w:sz w:val="24"/>
        </w:rPr>
        <w:t>0.5</w:t>
      </w:r>
      <w:r>
        <w:rPr>
          <w:spacing w:val="-2"/>
          <w:sz w:val="24"/>
        </w:rPr>
        <w:t> </w:t>
      </w:r>
      <w:r>
        <w:rPr>
          <w:sz w:val="24"/>
        </w:rPr>
        <w:t>mg/dL。同時留意是否可能有其</w:t>
      </w:r>
      <w:r>
        <w:rPr>
          <w:spacing w:val="-1"/>
          <w:sz w:val="24"/>
        </w:rPr>
        <w:t>他腎功能惡化的原因，例如腎前</w:t>
      </w:r>
      <w:r>
        <w:rPr>
          <w:sz w:val="24"/>
        </w:rPr>
        <w:t>（pre-renal）、或腎後（post-renal）因素。</w:t>
      </w:r>
    </w:p>
    <w:p>
      <w:pPr>
        <w:spacing w:after="0" w:line="223" w:lineRule="auto"/>
        <w:jc w:val="left"/>
        <w:rPr>
          <w:sz w:val="24"/>
        </w:rPr>
        <w:sectPr>
          <w:pgSz w:w="12250" w:h="17190"/>
          <w:pgMar w:header="0" w:footer="748" w:top="1460" w:bottom="1020" w:left="1180" w:right="0"/>
        </w:sectPr>
      </w:pPr>
    </w:p>
    <w:p>
      <w:pPr>
        <w:pStyle w:val="ListParagraph"/>
        <w:numPr>
          <w:ilvl w:val="1"/>
          <w:numId w:val="34"/>
        </w:numPr>
        <w:tabs>
          <w:tab w:pos="1462" w:val="left" w:leader="none"/>
        </w:tabs>
        <w:spacing w:line="240" w:lineRule="auto" w:before="19" w:after="0"/>
        <w:ind w:left="1461" w:right="0" w:hanging="490"/>
        <w:jc w:val="both"/>
        <w:rPr>
          <w:sz w:val="24"/>
        </w:rPr>
      </w:pPr>
      <w:r>
        <w:rPr/>
        <w:pict>
          <v:group style="position:absolute;margin-left:571.5pt;margin-top:.670755pt;width:40.9pt;height:296.5pt;mso-position-horizontal-relative:page;mso-position-vertical-relative:paragraph;z-index:251697152" coordorigin="11430,13" coordsize="818,5930">
            <v:shape style="position:absolute;left:11430;top:13;width:818;height:5930" coordorigin="11430,13" coordsize="818,5930" path="m12247,13l11595,13,11531,26,11478,62,11443,114,11430,179,11430,5778,11443,5842,11478,5895,11531,5930,11595,5943,12247,5943,12247,13xe" filled="true" fillcolor="#a6a6a6" stroked="false">
              <v:path arrowok="t"/>
              <v:fill type="solid"/>
            </v:shape>
            <v:shape style="position:absolute;left:11430;top:13;width:818;height:5930" type="#_x0000_t202" filled="false" stroked="false">
              <v:textbox inset="0,0,0,0">
                <w:txbxContent>
                  <w:p>
                    <w:pPr>
                      <w:spacing w:line="146" w:lineRule="auto" w:before="127"/>
                      <w:ind w:left="136" w:right="458" w:firstLine="0"/>
                      <w:jc w:val="both"/>
                      <w:rPr>
                        <w:sz w:val="22"/>
                      </w:rPr>
                    </w:pPr>
                    <w:r>
                      <w:rPr>
                        <w:sz w:val="22"/>
                      </w:rPr>
                      <w:t>第五章</w:t>
                    </w:r>
                  </w:p>
                  <w:p>
                    <w:pPr>
                      <w:spacing w:line="141" w:lineRule="auto" w:before="175"/>
                      <w:ind w:left="136" w:right="458" w:firstLine="0"/>
                      <w:jc w:val="both"/>
                      <w:rPr>
                        <w:sz w:val="22"/>
                      </w:rPr>
                    </w:pPr>
                    <w:r>
                      <w:rPr>
                        <w:sz w:val="22"/>
                      </w:rPr>
                      <w:t>治療期間之監測與不良反應之處理及處方調整</w:t>
                    </w:r>
                  </w:p>
                </w:txbxContent>
              </v:textbox>
              <w10:wrap type="none"/>
            </v:shape>
            <w10:wrap type="none"/>
          </v:group>
        </w:pict>
      </w:r>
      <w:r>
        <w:rPr>
          <w:spacing w:val="3"/>
          <w:sz w:val="24"/>
        </w:rPr>
        <w:t>其他任何導致病人無法規則服藥的不良反應、或不適反應。</w:t>
      </w:r>
    </w:p>
    <w:p>
      <w:pPr>
        <w:pStyle w:val="ListParagraph"/>
        <w:numPr>
          <w:ilvl w:val="2"/>
          <w:numId w:val="32"/>
        </w:numPr>
        <w:tabs>
          <w:tab w:pos="986" w:val="left" w:leader="none"/>
        </w:tabs>
        <w:spacing w:line="220" w:lineRule="auto" w:before="182" w:after="0"/>
        <w:ind w:left="986" w:right="1301" w:hanging="695"/>
        <w:jc w:val="both"/>
        <w:rPr>
          <w:sz w:val="24"/>
        </w:rPr>
      </w:pPr>
      <w:r>
        <w:rPr>
          <w:b/>
          <w:spacing w:val="3"/>
          <w:sz w:val="24"/>
        </w:rPr>
        <w:t>各種不良反應的處理：</w:t>
      </w:r>
      <w:r>
        <w:rPr>
          <w:sz w:val="24"/>
        </w:rPr>
        <w:t>抗結核藥物之不良反應大多數對身體影響不大，是安全的。</w:t>
      </w:r>
      <w:r>
        <w:rPr>
          <w:color w:val="FF0000"/>
          <w:spacing w:val="-3"/>
          <w:sz w:val="24"/>
        </w:rPr>
        <w:t>但相較於年輕人，老人發生不良反應的風險較高</w:t>
      </w:r>
      <w:r>
        <w:rPr>
          <w:sz w:val="24"/>
        </w:rPr>
        <w:t>。也有個別情況會出現比較嚴重之</w:t>
      </w:r>
      <w:r>
        <w:rPr>
          <w:spacing w:val="-5"/>
          <w:sz w:val="24"/>
        </w:rPr>
        <w:t>症狀，所以在使用藥物過程中，醫生應密切注意病人臨床症狀，並追蹤各項必要的</w:t>
      </w:r>
      <w:r>
        <w:rPr>
          <w:sz w:val="24"/>
        </w:rPr>
        <w:t>血液、生化、</w:t>
      </w:r>
      <w:r>
        <w:rPr>
          <w:color w:val="FF0000"/>
          <w:sz w:val="24"/>
        </w:rPr>
        <w:t>視力、聽力</w:t>
      </w:r>
      <w:r>
        <w:rPr>
          <w:sz w:val="24"/>
        </w:rPr>
        <w:t>檢查，及時有效地處理不良反應，以確保完成治療，達到</w:t>
      </w:r>
      <w:r>
        <w:rPr>
          <w:spacing w:val="3"/>
          <w:sz w:val="24"/>
        </w:rPr>
        <w:t>治癒的目的。</w:t>
      </w:r>
    </w:p>
    <w:p>
      <w:pPr>
        <w:pStyle w:val="BodyText"/>
        <w:spacing w:line="220" w:lineRule="auto" w:before="24"/>
        <w:ind w:left="983" w:right="1357" w:firstLine="482"/>
        <w:jc w:val="both"/>
      </w:pPr>
      <w:r>
        <w:rPr/>
        <w:t>若因為嚴重不良反應而必須停止服用原本的抗結核藥物，原則上宜等待不良反應消失或趨於正常時，再嘗試逐一加入抗結核藥物，重新開始治療。病人若有以下任何一種情況，宜考慮在不良反應尚未緩解之前選擇其他抗結核藥物治療：</w:t>
      </w:r>
    </w:p>
    <w:p>
      <w:pPr>
        <w:pStyle w:val="ListParagraph"/>
        <w:numPr>
          <w:ilvl w:val="3"/>
          <w:numId w:val="32"/>
        </w:numPr>
        <w:tabs>
          <w:tab w:pos="1714" w:val="left" w:leader="none"/>
        </w:tabs>
        <w:spacing w:line="220" w:lineRule="auto" w:before="24" w:after="0"/>
        <w:ind w:left="1713" w:right="1357" w:hanging="268"/>
        <w:jc w:val="both"/>
        <w:rPr>
          <w:sz w:val="24"/>
        </w:rPr>
      </w:pPr>
      <w:r>
        <w:rPr>
          <w:spacing w:val="-4"/>
          <w:sz w:val="24"/>
        </w:rPr>
        <w:t>結核病情嚴重，可能危及生命或造成無法復原之傷害，例如結核病併發成人</w:t>
      </w:r>
      <w:r>
        <w:rPr>
          <w:spacing w:val="3"/>
          <w:sz w:val="24"/>
        </w:rPr>
        <w:t>呼吸窘迫症、結核性腦膜炎等。</w:t>
      </w:r>
    </w:p>
    <w:p>
      <w:pPr>
        <w:pStyle w:val="ListParagraph"/>
        <w:numPr>
          <w:ilvl w:val="3"/>
          <w:numId w:val="32"/>
        </w:numPr>
        <w:tabs>
          <w:tab w:pos="1714" w:val="left" w:leader="none"/>
        </w:tabs>
        <w:spacing w:line="420" w:lineRule="exact" w:before="0" w:after="0"/>
        <w:ind w:left="1713" w:right="0" w:hanging="269"/>
        <w:jc w:val="both"/>
        <w:rPr>
          <w:sz w:val="24"/>
        </w:rPr>
      </w:pPr>
      <w:r>
        <w:rPr>
          <w:spacing w:val="3"/>
          <w:sz w:val="24"/>
        </w:rPr>
        <w:t>病人具有高傳染力且無法適當隔離。</w:t>
      </w:r>
    </w:p>
    <w:p>
      <w:pPr>
        <w:pStyle w:val="BodyText"/>
        <w:spacing w:line="220" w:lineRule="auto" w:before="26"/>
        <w:ind w:left="983" w:right="1357" w:firstLine="482"/>
        <w:jc w:val="both"/>
      </w:pPr>
      <w:r>
        <w:rPr>
          <w:color w:val="FF0000"/>
          <w:spacing w:val="1"/>
        </w:rPr>
        <w:t>雖然在潛伏結核感染治療的研究中發現，</w:t>
      </w:r>
      <w:r>
        <w:rPr>
          <w:color w:val="FF0000"/>
        </w:rPr>
        <w:t>isoniazid（INH）</w:t>
      </w:r>
      <w:r>
        <w:rPr>
          <w:color w:val="FF0000"/>
          <w:spacing w:val="3"/>
        </w:rPr>
        <w:t>產生肝毒性的風險</w:t>
      </w:r>
      <w:r>
        <w:rPr>
          <w:color w:val="FF0000"/>
          <w:spacing w:val="6"/>
        </w:rPr>
        <w:t>比 </w:t>
      </w:r>
      <w:r>
        <w:rPr>
          <w:color w:val="FF0000"/>
          <w:spacing w:val="-5"/>
        </w:rPr>
        <w:t>rifampin（RMP）高，但在同時併用多種抗結核藥物的情況下，</w:t>
      </w:r>
      <w:r>
        <w:rPr>
          <w:spacing w:val="2"/>
        </w:rPr>
        <w:t>目前並無足夠的</w:t>
      </w:r>
      <w:r>
        <w:rPr>
          <w:spacing w:val="-1"/>
        </w:rPr>
        <w:t>證據確認兩者引發藥物性肝炎的危險性孰高孰低。因此，當病人不良反應消失或趨</w:t>
      </w:r>
      <w:r>
        <w:rPr>
          <w:spacing w:val="3"/>
        </w:rPr>
        <w:t>於正常而考慮逐一加藥時，建議先加 </w:t>
      </w:r>
      <w:r>
        <w:rPr/>
        <w:t>INH</w:t>
      </w:r>
      <w:r>
        <w:rPr>
          <w:spacing w:val="9"/>
        </w:rPr>
        <w:t>，後加 </w:t>
      </w:r>
      <w:r>
        <w:rPr/>
        <w:t>RMP，尤其是在治療加強期，理</w:t>
      </w:r>
      <w:r>
        <w:rPr>
          <w:spacing w:val="3"/>
        </w:rPr>
        <w:t>由有二：</w:t>
      </w:r>
    </w:p>
    <w:p>
      <w:pPr>
        <w:pStyle w:val="ListParagraph"/>
        <w:numPr>
          <w:ilvl w:val="0"/>
          <w:numId w:val="35"/>
        </w:numPr>
        <w:tabs>
          <w:tab w:pos="1714" w:val="left" w:leader="none"/>
        </w:tabs>
        <w:spacing w:line="220" w:lineRule="auto" w:before="24" w:after="0"/>
        <w:ind w:left="1713" w:right="1358" w:hanging="268"/>
        <w:jc w:val="both"/>
        <w:rPr>
          <w:sz w:val="24"/>
        </w:rPr>
      </w:pPr>
      <w:r>
        <w:rPr>
          <w:spacing w:val="26"/>
          <w:sz w:val="24"/>
        </w:rPr>
        <w:t>在所有第一線抗結核藥物當中， </w:t>
      </w:r>
      <w:r>
        <w:rPr>
          <w:sz w:val="24"/>
        </w:rPr>
        <w:t>INH</w:t>
      </w:r>
      <w:r>
        <w:rPr>
          <w:spacing w:val="33"/>
          <w:sz w:val="24"/>
        </w:rPr>
        <w:t> 具有最高的早期殺菌力</w:t>
      </w:r>
      <w:r>
        <w:rPr>
          <w:sz w:val="24"/>
        </w:rPr>
        <w:t>（</w:t>
      </w:r>
      <w:r>
        <w:rPr>
          <w:spacing w:val="-26"/>
          <w:sz w:val="24"/>
        </w:rPr>
        <w:t> </w:t>
      </w:r>
      <w:r>
        <w:rPr>
          <w:sz w:val="24"/>
        </w:rPr>
        <w:t>early bactericidal</w:t>
      </w:r>
      <w:r>
        <w:rPr>
          <w:spacing w:val="-1"/>
          <w:sz w:val="24"/>
        </w:rPr>
        <w:t> </w:t>
      </w:r>
      <w:r>
        <w:rPr>
          <w:spacing w:val="-4"/>
          <w:sz w:val="24"/>
        </w:rPr>
        <w:t>activity）</w:t>
      </w:r>
      <w:r>
        <w:rPr>
          <w:sz w:val="24"/>
        </w:rPr>
        <w:t>，可以迅速減少病人體內結核分枝桿菌量，改善臨床</w:t>
      </w:r>
      <w:r>
        <w:rPr>
          <w:spacing w:val="3"/>
          <w:sz w:val="24"/>
        </w:rPr>
        <w:t>症狀及降低傳染力。</w:t>
      </w:r>
    </w:p>
    <w:p>
      <w:pPr>
        <w:pStyle w:val="ListParagraph"/>
        <w:numPr>
          <w:ilvl w:val="0"/>
          <w:numId w:val="35"/>
        </w:numPr>
        <w:tabs>
          <w:tab w:pos="1714" w:val="left" w:leader="none"/>
        </w:tabs>
        <w:spacing w:line="220" w:lineRule="auto" w:before="4" w:after="0"/>
        <w:ind w:left="1713" w:right="1358" w:hanging="268"/>
        <w:jc w:val="both"/>
        <w:rPr>
          <w:sz w:val="24"/>
        </w:rPr>
      </w:pPr>
      <w:r>
        <w:rPr>
          <w:spacing w:val="-5"/>
          <w:sz w:val="24"/>
        </w:rPr>
        <w:t>逐一加藥時，由於使用的藥物種類往往不足，因此最先使用的藥物，最有可</w:t>
      </w:r>
      <w:r>
        <w:rPr>
          <w:spacing w:val="2"/>
          <w:sz w:val="24"/>
        </w:rPr>
        <w:t>能產生抗藥性。基於保護 </w:t>
      </w:r>
      <w:r>
        <w:rPr>
          <w:sz w:val="24"/>
        </w:rPr>
        <w:t>RMP</w:t>
      </w:r>
      <w:r>
        <w:rPr>
          <w:spacing w:val="1"/>
          <w:sz w:val="24"/>
        </w:rPr>
        <w:t>，優先加入 </w:t>
      </w:r>
      <w:r>
        <w:rPr>
          <w:sz w:val="24"/>
        </w:rPr>
        <w:t>INH。</w:t>
      </w:r>
    </w:p>
    <w:p>
      <w:pPr>
        <w:pStyle w:val="ListParagraph"/>
        <w:numPr>
          <w:ilvl w:val="0"/>
          <w:numId w:val="36"/>
        </w:numPr>
        <w:tabs>
          <w:tab w:pos="986" w:val="left" w:leader="none"/>
        </w:tabs>
        <w:spacing w:line="220" w:lineRule="auto" w:before="2" w:after="0"/>
        <w:ind w:left="985" w:right="1352" w:hanging="244"/>
        <w:jc w:val="both"/>
        <w:rPr>
          <w:sz w:val="24"/>
        </w:rPr>
      </w:pPr>
      <w:r>
        <w:rPr>
          <w:b/>
          <w:spacing w:val="9"/>
          <w:sz w:val="24"/>
        </w:rPr>
        <w:t>肝炎：</w:t>
      </w:r>
      <w:r>
        <w:rPr>
          <w:spacing w:val="8"/>
          <w:sz w:val="24"/>
        </w:rPr>
        <w:t>由於臺灣地區結核病人的年齡層偏高，同時病毒性肝炎盛行，再加上較多</w:t>
      </w:r>
      <w:r>
        <w:rPr>
          <w:spacing w:val="7"/>
          <w:sz w:val="24"/>
        </w:rPr>
        <w:t>的 </w:t>
      </w:r>
      <w:r>
        <w:rPr>
          <w:sz w:val="24"/>
        </w:rPr>
        <w:t>N-acetyltransferase</w:t>
      </w:r>
      <w:r>
        <w:rPr>
          <w:spacing w:val="3"/>
          <w:sz w:val="24"/>
        </w:rPr>
        <w:t> </w:t>
      </w:r>
      <w:r>
        <w:rPr>
          <w:sz w:val="24"/>
        </w:rPr>
        <w:t>2</w:t>
      </w:r>
      <w:r>
        <w:rPr>
          <w:spacing w:val="7"/>
          <w:sz w:val="24"/>
        </w:rPr>
        <w:t> 的 </w:t>
      </w:r>
      <w:r>
        <w:rPr>
          <w:sz w:val="24"/>
        </w:rPr>
        <w:t>slow</w:t>
      </w:r>
      <w:r>
        <w:rPr>
          <w:spacing w:val="3"/>
          <w:sz w:val="24"/>
        </w:rPr>
        <w:t> </w:t>
      </w:r>
      <w:r>
        <w:rPr>
          <w:sz w:val="24"/>
        </w:rPr>
        <w:t>acetylator</w:t>
      </w:r>
      <w:r>
        <w:rPr>
          <w:spacing w:val="1"/>
          <w:sz w:val="24"/>
        </w:rPr>
        <w:t>，因此產生肝炎的機會高於大部分結</w:t>
      </w:r>
      <w:r>
        <w:rPr>
          <w:spacing w:val="2"/>
          <w:sz w:val="24"/>
        </w:rPr>
        <w:t>核病盛行地區。</w:t>
      </w:r>
    </w:p>
    <w:p>
      <w:pPr>
        <w:pStyle w:val="ListParagraph"/>
        <w:numPr>
          <w:ilvl w:val="1"/>
          <w:numId w:val="36"/>
        </w:numPr>
        <w:tabs>
          <w:tab w:pos="1462" w:val="left" w:leader="none"/>
        </w:tabs>
        <w:spacing w:line="403" w:lineRule="exact" w:before="0" w:after="0"/>
        <w:ind w:left="1461" w:right="0" w:hanging="490"/>
        <w:jc w:val="both"/>
        <w:rPr>
          <w:sz w:val="24"/>
        </w:rPr>
      </w:pPr>
      <w:r>
        <w:rPr>
          <w:b/>
          <w:spacing w:val="3"/>
          <w:sz w:val="24"/>
        </w:rPr>
        <w:t>肝炎的定義</w:t>
      </w:r>
      <w:r>
        <w:rPr>
          <w:spacing w:val="1"/>
          <w:sz w:val="24"/>
        </w:rPr>
        <w:t>(參考圖 </w:t>
      </w:r>
      <w:r>
        <w:rPr>
          <w:sz w:val="24"/>
        </w:rPr>
        <w:t>5-1)：</w:t>
      </w:r>
    </w:p>
    <w:p>
      <w:pPr>
        <w:pStyle w:val="ListParagraph"/>
        <w:numPr>
          <w:ilvl w:val="2"/>
          <w:numId w:val="36"/>
        </w:numPr>
        <w:tabs>
          <w:tab w:pos="1823" w:val="left" w:leader="none"/>
        </w:tabs>
        <w:spacing w:line="220" w:lineRule="auto" w:before="13" w:after="0"/>
        <w:ind w:left="1822" w:right="1358" w:hanging="366"/>
        <w:jc w:val="both"/>
        <w:rPr>
          <w:sz w:val="24"/>
        </w:rPr>
      </w:pPr>
      <w:r>
        <w:rPr>
          <w:spacing w:val="-8"/>
          <w:sz w:val="24"/>
        </w:rPr>
        <w:t>治療前肝功能正常者：無肝炎臨床症狀者，其肝功能超過正常值的五倍；或</w:t>
      </w:r>
      <w:r>
        <w:rPr>
          <w:spacing w:val="4"/>
          <w:sz w:val="24"/>
        </w:rPr>
        <w:t>有肝炎臨床症狀者，其肝功能超過正常值的三倍或 </w:t>
      </w:r>
      <w:r>
        <w:rPr>
          <w:sz w:val="24"/>
        </w:rPr>
        <w:t>total</w:t>
      </w:r>
      <w:r>
        <w:rPr>
          <w:spacing w:val="38"/>
          <w:sz w:val="24"/>
        </w:rPr>
        <w:t> </w:t>
      </w:r>
      <w:r>
        <w:rPr>
          <w:sz w:val="24"/>
        </w:rPr>
        <w:t>bilirubin</w:t>
      </w:r>
      <w:r>
        <w:rPr>
          <w:spacing w:val="25"/>
          <w:sz w:val="24"/>
        </w:rPr>
        <w:t> 超過 </w:t>
      </w:r>
      <w:r>
        <w:rPr>
          <w:sz w:val="24"/>
        </w:rPr>
        <w:t>3 mg/dL。</w:t>
      </w:r>
    </w:p>
    <w:p>
      <w:pPr>
        <w:pStyle w:val="ListParagraph"/>
        <w:numPr>
          <w:ilvl w:val="2"/>
          <w:numId w:val="36"/>
        </w:numPr>
        <w:tabs>
          <w:tab w:pos="1823" w:val="left" w:leader="none"/>
        </w:tabs>
        <w:spacing w:line="407" w:lineRule="exact" w:before="0" w:after="0"/>
        <w:ind w:left="1822" w:right="0" w:hanging="367"/>
        <w:jc w:val="both"/>
        <w:rPr>
          <w:sz w:val="24"/>
        </w:rPr>
      </w:pPr>
      <w:r>
        <w:rPr>
          <w:spacing w:val="3"/>
          <w:sz w:val="24"/>
        </w:rPr>
        <w:t>治療前肝功能不正常者：肝功能超過治療前的兩倍。</w:t>
      </w:r>
    </w:p>
    <w:p>
      <w:pPr>
        <w:pStyle w:val="ListParagraph"/>
        <w:numPr>
          <w:ilvl w:val="1"/>
          <w:numId w:val="36"/>
        </w:numPr>
        <w:tabs>
          <w:tab w:pos="1462" w:val="left" w:leader="none"/>
        </w:tabs>
        <w:spacing w:line="410" w:lineRule="exact" w:before="0" w:after="0"/>
        <w:ind w:left="1461" w:right="0" w:hanging="490"/>
        <w:jc w:val="both"/>
        <w:rPr>
          <w:sz w:val="24"/>
        </w:rPr>
      </w:pPr>
      <w:r>
        <w:rPr>
          <w:b/>
          <w:spacing w:val="3"/>
          <w:sz w:val="24"/>
        </w:rPr>
        <w:t>發生原因：</w:t>
      </w:r>
      <w:r>
        <w:rPr>
          <w:spacing w:val="2"/>
          <w:sz w:val="24"/>
        </w:rPr>
        <w:t>抗結核藥物治療過程中，可能產生肝炎的原因有很多，包括：</w:t>
      </w:r>
    </w:p>
    <w:p>
      <w:pPr>
        <w:pStyle w:val="ListParagraph"/>
        <w:numPr>
          <w:ilvl w:val="2"/>
          <w:numId w:val="36"/>
        </w:numPr>
        <w:tabs>
          <w:tab w:pos="1823" w:val="left" w:leader="none"/>
        </w:tabs>
        <w:spacing w:line="220" w:lineRule="auto" w:before="12" w:after="0"/>
        <w:ind w:left="1822" w:right="1356" w:hanging="366"/>
        <w:jc w:val="both"/>
        <w:rPr>
          <w:sz w:val="24"/>
        </w:rPr>
      </w:pPr>
      <w:r>
        <w:rPr>
          <w:b/>
          <w:spacing w:val="1"/>
          <w:sz w:val="24"/>
        </w:rPr>
        <w:t>藥物性肝炎：</w:t>
      </w:r>
      <w:r>
        <w:rPr>
          <w:spacing w:val="1"/>
          <w:sz w:val="24"/>
        </w:rPr>
        <w:t>第一線抗結核藥物中，</w:t>
      </w:r>
      <w:r>
        <w:rPr>
          <w:sz w:val="24"/>
        </w:rPr>
        <w:t>INH、RMP</w:t>
      </w:r>
      <w:r>
        <w:rPr>
          <w:spacing w:val="2"/>
          <w:sz w:val="24"/>
        </w:rPr>
        <w:t>、及 </w:t>
      </w:r>
      <w:r>
        <w:rPr>
          <w:sz w:val="24"/>
        </w:rPr>
        <w:t>PZA</w:t>
      </w:r>
      <w:r>
        <w:rPr>
          <w:spacing w:val="3"/>
          <w:sz w:val="24"/>
        </w:rPr>
        <w:t> 皆有可能導致藥</w:t>
      </w:r>
      <w:r>
        <w:rPr>
          <w:spacing w:val="4"/>
          <w:sz w:val="24"/>
        </w:rPr>
        <w:t>物性肝炎。</w:t>
      </w:r>
      <w:r>
        <w:rPr>
          <w:spacing w:val="2"/>
          <w:sz w:val="24"/>
        </w:rPr>
        <w:t>Fluoroquinolone（FQ）</w:t>
      </w:r>
      <w:r>
        <w:rPr>
          <w:spacing w:val="4"/>
          <w:sz w:val="24"/>
        </w:rPr>
        <w:t>類藥物，近來也有報告指出可能會產</w:t>
      </w:r>
      <w:r>
        <w:rPr>
          <w:spacing w:val="3"/>
          <w:sz w:val="24"/>
        </w:rPr>
        <w:t>生嚴重肝炎。</w:t>
      </w:r>
    </w:p>
    <w:p>
      <w:pPr>
        <w:spacing w:after="0" w:line="220" w:lineRule="auto"/>
        <w:jc w:val="both"/>
        <w:rPr>
          <w:sz w:val="24"/>
        </w:rPr>
        <w:sectPr>
          <w:pgSz w:w="12250" w:h="17190"/>
          <w:pgMar w:header="0" w:footer="748" w:top="1460" w:bottom="1020" w:left="1180" w:right="0"/>
        </w:sectPr>
      </w:pPr>
    </w:p>
    <w:p>
      <w:pPr>
        <w:pStyle w:val="ListParagraph"/>
        <w:numPr>
          <w:ilvl w:val="2"/>
          <w:numId w:val="36"/>
        </w:numPr>
        <w:tabs>
          <w:tab w:pos="1823" w:val="left" w:leader="none"/>
        </w:tabs>
        <w:spacing w:line="220" w:lineRule="auto" w:before="46" w:after="0"/>
        <w:ind w:left="1822" w:right="1358" w:hanging="366"/>
        <w:jc w:val="both"/>
        <w:rPr>
          <w:sz w:val="24"/>
        </w:rPr>
      </w:pPr>
      <w:r>
        <w:rPr>
          <w:b/>
          <w:spacing w:val="3"/>
          <w:sz w:val="24"/>
        </w:rPr>
        <w:t>病毒性肝炎：</w:t>
      </w:r>
      <w:r>
        <w:rPr>
          <w:spacing w:val="2"/>
          <w:sz w:val="24"/>
        </w:rPr>
        <w:t>如果病人同時罹患 </w:t>
      </w:r>
      <w:r>
        <w:rPr>
          <w:sz w:val="24"/>
        </w:rPr>
        <w:t>B</w:t>
      </w:r>
      <w:r>
        <w:rPr>
          <w:spacing w:val="3"/>
          <w:sz w:val="24"/>
        </w:rPr>
        <w:t> 型或 </w:t>
      </w:r>
      <w:r>
        <w:rPr>
          <w:sz w:val="24"/>
        </w:rPr>
        <w:t>C</w:t>
      </w:r>
      <w:r>
        <w:rPr>
          <w:spacing w:val="3"/>
          <w:sz w:val="24"/>
        </w:rPr>
        <w:t> 型肝炎，那麼還必須考慮是否有</w:t>
      </w:r>
      <w:r>
        <w:rPr>
          <w:spacing w:val="-18"/>
          <w:sz w:val="24"/>
        </w:rPr>
        <w:t>B</w:t>
      </w:r>
      <w:r>
        <w:rPr>
          <w:spacing w:val="-17"/>
          <w:sz w:val="24"/>
        </w:rPr>
        <w:t>、</w:t>
      </w:r>
      <w:r>
        <w:rPr>
          <w:sz w:val="24"/>
        </w:rPr>
        <w:t>C</w:t>
      </w:r>
      <w:r>
        <w:rPr>
          <w:spacing w:val="-1"/>
          <w:sz w:val="24"/>
        </w:rPr>
        <w:t> 型肝炎病毒發作的可能，可由檢測病毒量來確定是否因為 </w:t>
      </w:r>
      <w:r>
        <w:rPr>
          <w:sz w:val="24"/>
        </w:rPr>
        <w:t>B</w:t>
      </w:r>
      <w:r>
        <w:rPr>
          <w:spacing w:val="3"/>
          <w:sz w:val="24"/>
        </w:rPr>
        <w:t> 型肝炎急性發作而導致肝炎。</w:t>
      </w:r>
    </w:p>
    <w:p>
      <w:pPr>
        <w:pStyle w:val="ListParagraph"/>
        <w:numPr>
          <w:ilvl w:val="2"/>
          <w:numId w:val="36"/>
        </w:numPr>
        <w:tabs>
          <w:tab w:pos="1823" w:val="left" w:leader="none"/>
        </w:tabs>
        <w:spacing w:line="399" w:lineRule="exact" w:before="0" w:after="0"/>
        <w:ind w:left="1822" w:right="0" w:hanging="367"/>
        <w:jc w:val="both"/>
        <w:rPr>
          <w:sz w:val="24"/>
        </w:rPr>
      </w:pPr>
      <w:r>
        <w:rPr>
          <w:b/>
          <w:spacing w:val="6"/>
          <w:sz w:val="24"/>
        </w:rPr>
        <w:t>酒精性肝炎：</w:t>
      </w:r>
      <w:r>
        <w:rPr>
          <w:spacing w:val="7"/>
          <w:sz w:val="24"/>
        </w:rPr>
        <w:t>詳細詢問病史，確定是否有酗酒的情形。可由生化檢測</w:t>
      </w:r>
      <w:r>
        <w:rPr>
          <w:spacing w:val="-8"/>
          <w:sz w:val="24"/>
        </w:rPr>
        <w:t>（r-</w:t>
      </w:r>
    </w:p>
    <w:p>
      <w:pPr>
        <w:pStyle w:val="BodyText"/>
        <w:spacing w:line="407" w:lineRule="exact"/>
        <w:ind w:left="1822"/>
      </w:pPr>
      <w:r>
        <w:rPr/>
        <w:t>GT）來進一步確定。</w:t>
      </w:r>
    </w:p>
    <w:p>
      <w:pPr>
        <w:pStyle w:val="ListParagraph"/>
        <w:numPr>
          <w:ilvl w:val="2"/>
          <w:numId w:val="36"/>
        </w:numPr>
        <w:tabs>
          <w:tab w:pos="1823" w:val="left" w:leader="none"/>
        </w:tabs>
        <w:spacing w:line="220" w:lineRule="auto" w:before="9" w:after="0"/>
        <w:ind w:left="1822" w:right="1363" w:hanging="366"/>
        <w:jc w:val="left"/>
        <w:rPr>
          <w:sz w:val="24"/>
        </w:rPr>
      </w:pPr>
      <w:r>
        <w:rPr>
          <w:b/>
          <w:spacing w:val="-8"/>
          <w:sz w:val="24"/>
        </w:rPr>
        <w:t>其他：</w:t>
      </w:r>
      <w:r>
        <w:rPr>
          <w:spacing w:val="-10"/>
          <w:sz w:val="24"/>
        </w:rPr>
        <w:t>肝硬化、肝癌、心衰竭，或服用其他具有肝毒性的藥物，都必須列入</w:t>
      </w:r>
      <w:r>
        <w:rPr>
          <w:spacing w:val="3"/>
          <w:sz w:val="24"/>
        </w:rPr>
        <w:t>考慮。</w:t>
      </w:r>
    </w:p>
    <w:p>
      <w:pPr>
        <w:pStyle w:val="Heading7"/>
        <w:numPr>
          <w:ilvl w:val="1"/>
          <w:numId w:val="36"/>
        </w:numPr>
        <w:tabs>
          <w:tab w:pos="1462" w:val="left" w:leader="none"/>
        </w:tabs>
        <w:spacing w:line="400" w:lineRule="exact" w:before="0" w:after="0"/>
        <w:ind w:left="1461" w:right="0" w:hanging="490"/>
        <w:jc w:val="left"/>
      </w:pPr>
      <w:r>
        <w:rPr>
          <w:spacing w:val="2"/>
        </w:rPr>
        <w:t>處理方式：</w:t>
      </w:r>
    </w:p>
    <w:p>
      <w:pPr>
        <w:pStyle w:val="ListParagraph"/>
        <w:numPr>
          <w:ilvl w:val="2"/>
          <w:numId w:val="36"/>
        </w:numPr>
        <w:tabs>
          <w:tab w:pos="1823" w:val="left" w:leader="none"/>
        </w:tabs>
        <w:spacing w:line="220" w:lineRule="auto" w:before="11" w:after="0"/>
        <w:ind w:left="1822" w:right="1301" w:hanging="366"/>
        <w:jc w:val="both"/>
        <w:rPr>
          <w:sz w:val="24"/>
        </w:rPr>
      </w:pPr>
      <w:r>
        <w:rPr>
          <w:b/>
          <w:spacing w:val="-6"/>
          <w:sz w:val="24"/>
        </w:rPr>
        <w:t>肝功能的追蹤檢查：</w:t>
      </w:r>
      <w:r>
        <w:rPr>
          <w:sz w:val="24"/>
        </w:rPr>
        <w:t>肝功能未恢復正常或未下降至正常上限的三倍以下時， </w:t>
      </w:r>
      <w:r>
        <w:rPr>
          <w:spacing w:val="2"/>
          <w:sz w:val="24"/>
        </w:rPr>
        <w:t>建議每週追蹤 </w:t>
      </w:r>
      <w:r>
        <w:rPr>
          <w:sz w:val="24"/>
        </w:rPr>
        <w:t>1-2</w:t>
      </w:r>
      <w:r>
        <w:rPr>
          <w:spacing w:val="2"/>
          <w:sz w:val="24"/>
        </w:rPr>
        <w:t> 次肝功能。</w:t>
      </w:r>
    </w:p>
    <w:p>
      <w:pPr>
        <w:pStyle w:val="ListParagraph"/>
        <w:numPr>
          <w:ilvl w:val="2"/>
          <w:numId w:val="36"/>
        </w:numPr>
        <w:tabs>
          <w:tab w:pos="1823" w:val="left" w:leader="none"/>
        </w:tabs>
        <w:spacing w:line="220" w:lineRule="auto" w:before="6" w:after="0"/>
        <w:ind w:left="1822" w:right="1301" w:hanging="366"/>
        <w:jc w:val="both"/>
        <w:rPr>
          <w:sz w:val="24"/>
        </w:rPr>
      </w:pPr>
      <w:r>
        <w:rPr>
          <w:b/>
          <w:spacing w:val="-7"/>
          <w:sz w:val="24"/>
        </w:rPr>
        <w:t>處方的調整：</w:t>
      </w:r>
      <w:r>
        <w:rPr>
          <w:spacing w:val="-7"/>
          <w:sz w:val="24"/>
        </w:rPr>
        <w:t>若肝炎發生時，臨床判斷必須繼續抗結核藥物治療，考慮以一</w:t>
      </w:r>
      <w:r>
        <w:rPr>
          <w:spacing w:val="-17"/>
          <w:sz w:val="24"/>
        </w:rPr>
        <w:t>種針劑</w:t>
      </w:r>
      <w:r>
        <w:rPr>
          <w:spacing w:val="3"/>
          <w:sz w:val="24"/>
        </w:rPr>
        <w:t>（</w:t>
      </w:r>
      <w:r>
        <w:rPr>
          <w:spacing w:val="2"/>
          <w:sz w:val="24"/>
        </w:rPr>
        <w:t>選擇的原則詳見 </w:t>
      </w:r>
      <w:r>
        <w:rPr>
          <w:sz w:val="24"/>
        </w:rPr>
        <w:t>5.3.1</w:t>
      </w:r>
      <w:r>
        <w:rPr>
          <w:spacing w:val="3"/>
          <w:sz w:val="24"/>
        </w:rPr>
        <w:t> 之說明</w:t>
      </w:r>
      <w:r>
        <w:rPr>
          <w:spacing w:val="-86"/>
          <w:sz w:val="24"/>
        </w:rPr>
        <w:t>）</w:t>
      </w:r>
      <w:r>
        <w:rPr>
          <w:spacing w:val="-26"/>
          <w:sz w:val="24"/>
        </w:rPr>
        <w:t>、</w:t>
      </w:r>
      <w:r>
        <w:rPr>
          <w:spacing w:val="-9"/>
          <w:sz w:val="24"/>
        </w:rPr>
        <w:t>EMB</w:t>
      </w:r>
      <w:r>
        <w:rPr>
          <w:spacing w:val="-2"/>
          <w:sz w:val="24"/>
        </w:rPr>
        <w:t>、加上一種 </w:t>
      </w:r>
      <w:r>
        <w:rPr>
          <w:sz w:val="24"/>
        </w:rPr>
        <w:t>FQ</w:t>
      </w:r>
      <w:r>
        <w:rPr>
          <w:spacing w:val="-2"/>
          <w:sz w:val="24"/>
        </w:rPr>
        <w:t> 類藥物治療。</w:t>
      </w:r>
      <w:r>
        <w:rPr>
          <w:spacing w:val="2"/>
          <w:sz w:val="24"/>
        </w:rPr>
        <w:t>由於 </w:t>
      </w:r>
      <w:r>
        <w:rPr>
          <w:sz w:val="24"/>
        </w:rPr>
        <w:t>FQ</w:t>
      </w:r>
      <w:r>
        <w:rPr>
          <w:spacing w:val="-5"/>
          <w:sz w:val="24"/>
        </w:rPr>
        <w:t> 類藥物也可能造成肝炎，因此治療過程中仍須持續追蹤肝功能。如</w:t>
      </w:r>
      <w:r>
        <w:rPr>
          <w:spacing w:val="5"/>
          <w:sz w:val="24"/>
        </w:rPr>
        <w:t>果暫時沒有必要繼續抗結核藥物治療，建議等待肝功能恢復或下降至正常</w:t>
      </w:r>
      <w:r>
        <w:rPr>
          <w:spacing w:val="1"/>
          <w:sz w:val="24"/>
        </w:rPr>
        <w:t>上限的三倍以下後，依 </w:t>
      </w:r>
      <w:r>
        <w:rPr>
          <w:sz w:val="24"/>
        </w:rPr>
        <w:t>INH→RMP→PZA 順序，再重新進行漸進式給藥試</w:t>
      </w:r>
      <w:r>
        <w:rPr>
          <w:spacing w:val="-22"/>
          <w:sz w:val="24"/>
        </w:rPr>
        <w:t>驗</w:t>
      </w:r>
      <w:r>
        <w:rPr>
          <w:spacing w:val="3"/>
          <w:sz w:val="24"/>
        </w:rPr>
        <w:t>（表 </w:t>
      </w:r>
      <w:r>
        <w:rPr>
          <w:spacing w:val="-9"/>
          <w:sz w:val="24"/>
        </w:rPr>
        <w:t>5-1）</w:t>
      </w:r>
      <w:r>
        <w:rPr>
          <w:spacing w:val="-4"/>
          <w:sz w:val="24"/>
        </w:rPr>
        <w:t>，逐一加入其他一線藥物。逐一加藥的過程中，可以同時使用</w:t>
      </w:r>
      <w:r>
        <w:rPr>
          <w:spacing w:val="3"/>
          <w:sz w:val="24"/>
        </w:rPr>
        <w:t>足夠劑量的 </w:t>
      </w:r>
      <w:r>
        <w:rPr>
          <w:sz w:val="24"/>
        </w:rPr>
        <w:t>EMB。俟成功加上足夠有效藥物後，可以停止</w:t>
      </w:r>
      <w:r>
        <w:rPr>
          <w:color w:val="FF0000"/>
          <w:spacing w:val="1"/>
          <w:sz w:val="24"/>
        </w:rPr>
        <w:t>針劑</w:t>
      </w:r>
      <w:r>
        <w:rPr>
          <w:spacing w:val="2"/>
          <w:sz w:val="24"/>
        </w:rPr>
        <w:t>。若病人之藥物性肝炎嚴重或合併有黃疸，在成功地重新使用上 </w:t>
      </w:r>
      <w:r>
        <w:rPr>
          <w:sz w:val="24"/>
        </w:rPr>
        <w:t>INH</w:t>
      </w:r>
      <w:r>
        <w:rPr>
          <w:spacing w:val="13"/>
          <w:sz w:val="24"/>
        </w:rPr>
        <w:t> 及 </w:t>
      </w:r>
      <w:r>
        <w:rPr>
          <w:sz w:val="24"/>
        </w:rPr>
        <w:t>RMP</w:t>
      </w:r>
      <w:r>
        <w:rPr>
          <w:spacing w:val="6"/>
          <w:sz w:val="24"/>
        </w:rPr>
        <w:t> 之後， </w:t>
      </w:r>
      <w:r>
        <w:rPr>
          <w:spacing w:val="2"/>
          <w:sz w:val="24"/>
        </w:rPr>
        <w:t>不建議嘗試加入 </w:t>
      </w:r>
      <w:r>
        <w:rPr>
          <w:sz w:val="24"/>
        </w:rPr>
        <w:t>PZA。</w:t>
      </w:r>
    </w:p>
    <w:p>
      <w:pPr>
        <w:pStyle w:val="ListParagraph"/>
        <w:numPr>
          <w:ilvl w:val="2"/>
          <w:numId w:val="36"/>
        </w:numPr>
        <w:tabs>
          <w:tab w:pos="1823" w:val="left" w:leader="none"/>
        </w:tabs>
        <w:spacing w:line="220" w:lineRule="auto" w:before="6" w:after="0"/>
        <w:ind w:left="1822" w:right="1357" w:hanging="366"/>
        <w:jc w:val="both"/>
        <w:rPr>
          <w:sz w:val="24"/>
        </w:rPr>
      </w:pPr>
      <w:r>
        <w:rPr>
          <w:b/>
          <w:spacing w:val="6"/>
          <w:sz w:val="24"/>
        </w:rPr>
        <w:t>其他可能造成肝炎原因的處理：</w:t>
      </w:r>
      <w:r>
        <w:rPr>
          <w:spacing w:val="5"/>
          <w:sz w:val="24"/>
        </w:rPr>
        <w:t>結核病治療過程中，一定要建議病人避免</w:t>
      </w:r>
      <w:r>
        <w:rPr>
          <w:spacing w:val="2"/>
          <w:sz w:val="24"/>
        </w:rPr>
        <w:t>飲酒、自行服用其他藥物、補品、或健康食品。如果確定為 </w:t>
      </w:r>
      <w:r>
        <w:rPr>
          <w:sz w:val="24"/>
        </w:rPr>
        <w:t>B</w:t>
      </w:r>
      <w:r>
        <w:rPr>
          <w:spacing w:val="6"/>
          <w:sz w:val="24"/>
        </w:rPr>
        <w:t> 型肝炎急性</w:t>
      </w:r>
      <w:r>
        <w:rPr>
          <w:spacing w:val="3"/>
          <w:sz w:val="24"/>
        </w:rPr>
        <w:t>發作，同時 </w:t>
      </w:r>
      <w:r>
        <w:rPr>
          <w:sz w:val="24"/>
        </w:rPr>
        <w:t>PT</w:t>
      </w:r>
      <w:r>
        <w:rPr>
          <w:spacing w:val="2"/>
          <w:sz w:val="24"/>
        </w:rPr>
        <w:t> 延長超過三秒、或 </w:t>
      </w:r>
      <w:r>
        <w:rPr>
          <w:sz w:val="24"/>
        </w:rPr>
        <w:t>bilirubin</w:t>
      </w:r>
      <w:r>
        <w:rPr>
          <w:spacing w:val="22"/>
          <w:sz w:val="24"/>
        </w:rPr>
        <w:t> &gt; </w:t>
      </w:r>
      <w:r>
        <w:rPr>
          <w:sz w:val="24"/>
        </w:rPr>
        <w:t>2</w:t>
      </w:r>
      <w:r>
        <w:rPr>
          <w:spacing w:val="34"/>
          <w:sz w:val="24"/>
        </w:rPr>
        <w:t> </w:t>
      </w:r>
      <w:r>
        <w:rPr>
          <w:sz w:val="24"/>
        </w:rPr>
        <w:t>mg/dL，可以照會肝膽腸</w:t>
      </w:r>
      <w:r>
        <w:rPr>
          <w:spacing w:val="2"/>
          <w:sz w:val="24"/>
        </w:rPr>
        <w:t>胃科醫師開立抗 </w:t>
      </w:r>
      <w:r>
        <w:rPr>
          <w:sz w:val="24"/>
        </w:rPr>
        <w:t>B</w:t>
      </w:r>
      <w:r>
        <w:rPr>
          <w:spacing w:val="1"/>
          <w:sz w:val="24"/>
        </w:rPr>
        <w:t> 型肝炎病毒藥物。</w:t>
      </w:r>
    </w:p>
    <w:p>
      <w:pPr>
        <w:pStyle w:val="ListParagraph"/>
        <w:numPr>
          <w:ilvl w:val="0"/>
          <w:numId w:val="36"/>
        </w:numPr>
        <w:tabs>
          <w:tab w:pos="986" w:val="left" w:leader="none"/>
        </w:tabs>
        <w:spacing w:line="220" w:lineRule="auto" w:before="59" w:after="0"/>
        <w:ind w:left="985" w:right="1361" w:hanging="244"/>
        <w:jc w:val="both"/>
        <w:rPr>
          <w:sz w:val="24"/>
        </w:rPr>
      </w:pPr>
      <w:r>
        <w:rPr>
          <w:b/>
          <w:spacing w:val="1"/>
          <w:sz w:val="24"/>
        </w:rPr>
        <w:t>皮疹： </w:t>
      </w:r>
      <w:r>
        <w:rPr>
          <w:spacing w:val="20"/>
          <w:sz w:val="24"/>
        </w:rPr>
        <w:t>不良反應的表現，可以從最輕微的 </w:t>
      </w:r>
      <w:r>
        <w:rPr>
          <w:spacing w:val="5"/>
          <w:sz w:val="24"/>
        </w:rPr>
        <w:t>acne</w:t>
      </w:r>
      <w:r>
        <w:rPr>
          <w:spacing w:val="24"/>
          <w:sz w:val="24"/>
        </w:rPr>
        <w:t>、</w:t>
      </w:r>
      <w:r>
        <w:rPr>
          <w:spacing w:val="3"/>
          <w:sz w:val="24"/>
        </w:rPr>
        <w:t>urticaria</w:t>
      </w:r>
      <w:r>
        <w:rPr>
          <w:spacing w:val="9"/>
          <w:sz w:val="24"/>
        </w:rPr>
        <w:t>， 或是不太嚴重的maculopapular</w:t>
      </w:r>
      <w:r>
        <w:rPr>
          <w:spacing w:val="51"/>
          <w:sz w:val="24"/>
        </w:rPr>
        <w:t> </w:t>
      </w:r>
      <w:r>
        <w:rPr>
          <w:spacing w:val="3"/>
          <w:sz w:val="24"/>
        </w:rPr>
        <w:t>rash</w:t>
      </w:r>
      <w:r>
        <w:rPr>
          <w:spacing w:val="12"/>
          <w:sz w:val="24"/>
        </w:rPr>
        <w:t>、</w:t>
      </w:r>
      <w:r>
        <w:rPr>
          <w:sz w:val="24"/>
        </w:rPr>
        <w:t>exfoliative</w:t>
      </w:r>
      <w:r>
        <w:rPr>
          <w:spacing w:val="52"/>
          <w:sz w:val="24"/>
        </w:rPr>
        <w:t> </w:t>
      </w:r>
      <w:r>
        <w:rPr>
          <w:spacing w:val="2"/>
          <w:sz w:val="24"/>
        </w:rPr>
        <w:t>dermatitis</w:t>
      </w:r>
      <w:r>
        <w:rPr>
          <w:spacing w:val="12"/>
          <w:sz w:val="24"/>
        </w:rPr>
        <w:t>、</w:t>
      </w:r>
      <w:r>
        <w:rPr>
          <w:sz w:val="24"/>
        </w:rPr>
        <w:t>erythema</w:t>
      </w:r>
      <w:r>
        <w:rPr>
          <w:spacing w:val="52"/>
          <w:sz w:val="24"/>
        </w:rPr>
        <w:t> </w:t>
      </w:r>
      <w:r>
        <w:rPr>
          <w:spacing w:val="3"/>
          <w:sz w:val="24"/>
        </w:rPr>
        <w:t>multiforme</w:t>
      </w:r>
      <w:r>
        <w:rPr>
          <w:spacing w:val="6"/>
          <w:sz w:val="24"/>
        </w:rPr>
        <w:t>，到最嚴</w:t>
      </w:r>
      <w:r>
        <w:rPr>
          <w:spacing w:val="3"/>
          <w:sz w:val="24"/>
        </w:rPr>
        <w:t>重且可能致命的 </w:t>
      </w:r>
      <w:r>
        <w:rPr>
          <w:sz w:val="24"/>
        </w:rPr>
        <w:t>Stevens-Johnson</w:t>
      </w:r>
      <w:r>
        <w:rPr>
          <w:spacing w:val="4"/>
          <w:sz w:val="24"/>
        </w:rPr>
        <w:t> 症候群、</w:t>
      </w:r>
      <w:r>
        <w:rPr>
          <w:sz w:val="24"/>
        </w:rPr>
        <w:t>toxic</w:t>
      </w:r>
      <w:r>
        <w:rPr>
          <w:spacing w:val="31"/>
          <w:sz w:val="24"/>
        </w:rPr>
        <w:t> </w:t>
      </w:r>
      <w:r>
        <w:rPr>
          <w:sz w:val="24"/>
        </w:rPr>
        <w:t>epidermal</w:t>
      </w:r>
      <w:r>
        <w:rPr>
          <w:spacing w:val="30"/>
          <w:sz w:val="24"/>
        </w:rPr>
        <w:t> </w:t>
      </w:r>
      <w:r>
        <w:rPr>
          <w:sz w:val="24"/>
        </w:rPr>
        <w:t>necrolysis</w:t>
      </w:r>
      <w:r>
        <w:rPr>
          <w:spacing w:val="2"/>
          <w:sz w:val="24"/>
        </w:rPr>
        <w:t>。一般輕微的皮疹，服藥兩週內會自行減輕或消失，不需要特別處理。</w:t>
      </w:r>
    </w:p>
    <w:p>
      <w:pPr>
        <w:pStyle w:val="ListParagraph"/>
        <w:numPr>
          <w:ilvl w:val="1"/>
          <w:numId w:val="37"/>
        </w:numPr>
        <w:tabs>
          <w:tab w:pos="1462" w:val="left" w:leader="none"/>
        </w:tabs>
        <w:spacing w:line="435" w:lineRule="exact" w:before="0" w:after="0"/>
        <w:ind w:left="1461" w:right="0" w:hanging="490"/>
        <w:jc w:val="both"/>
        <w:rPr>
          <w:sz w:val="24"/>
        </w:rPr>
      </w:pPr>
      <w:r>
        <w:rPr>
          <w:b/>
          <w:spacing w:val="3"/>
          <w:sz w:val="24"/>
        </w:rPr>
        <w:t>引發藥物：</w:t>
      </w:r>
      <w:r>
        <w:rPr>
          <w:spacing w:val="3"/>
          <w:sz w:val="24"/>
        </w:rPr>
        <w:t>第一線藥物中，每種藥物都可能產生皮疹。</w:t>
      </w:r>
    </w:p>
    <w:p>
      <w:pPr>
        <w:pStyle w:val="Heading7"/>
        <w:numPr>
          <w:ilvl w:val="1"/>
          <w:numId w:val="37"/>
        </w:numPr>
        <w:tabs>
          <w:tab w:pos="1462" w:val="left" w:leader="none"/>
        </w:tabs>
        <w:spacing w:line="421" w:lineRule="exact" w:before="0" w:after="0"/>
        <w:ind w:left="1461" w:right="0" w:hanging="490"/>
        <w:jc w:val="both"/>
      </w:pPr>
      <w:r>
        <w:rPr>
          <w:spacing w:val="2"/>
        </w:rPr>
        <w:t>處理方式：</w:t>
      </w:r>
    </w:p>
    <w:p>
      <w:pPr>
        <w:pStyle w:val="ListParagraph"/>
        <w:numPr>
          <w:ilvl w:val="2"/>
          <w:numId w:val="37"/>
        </w:numPr>
        <w:tabs>
          <w:tab w:pos="1823" w:val="left" w:leader="none"/>
        </w:tabs>
        <w:spacing w:line="220" w:lineRule="auto" w:before="11" w:after="0"/>
        <w:ind w:left="1822" w:right="1357" w:hanging="366"/>
        <w:jc w:val="both"/>
        <w:rPr>
          <w:sz w:val="24"/>
        </w:rPr>
      </w:pPr>
      <w:r>
        <w:rPr>
          <w:spacing w:val="-10"/>
          <w:sz w:val="24"/>
        </w:rPr>
        <w:t>一般而言，皮膚不良反應的問題，與腸胃不適的處理方式類似，大約在兩週</w:t>
      </w:r>
      <w:r>
        <w:rPr>
          <w:spacing w:val="3"/>
          <w:sz w:val="24"/>
        </w:rPr>
        <w:t>內會自行減緩或消失，診治醫師只須給予心理支持。</w:t>
      </w:r>
    </w:p>
    <w:p>
      <w:pPr>
        <w:pStyle w:val="ListParagraph"/>
        <w:numPr>
          <w:ilvl w:val="2"/>
          <w:numId w:val="37"/>
        </w:numPr>
        <w:tabs>
          <w:tab w:pos="1823" w:val="left" w:leader="none"/>
        </w:tabs>
        <w:spacing w:line="220" w:lineRule="auto" w:before="0" w:after="0"/>
        <w:ind w:left="1822" w:right="1357" w:hanging="366"/>
        <w:jc w:val="both"/>
        <w:rPr>
          <w:sz w:val="24"/>
        </w:rPr>
      </w:pPr>
      <w:r>
        <w:rPr>
          <w:spacing w:val="-9"/>
          <w:sz w:val="24"/>
        </w:rPr>
        <w:t>症狀較嚴重者，可使用抗組織胺以緩和皮疹、皮癢的症狀，其中鎮靜效果越</w:t>
      </w:r>
      <w:r>
        <w:rPr>
          <w:spacing w:val="-10"/>
          <w:sz w:val="24"/>
        </w:rPr>
        <w:t>強者，治療皮疹的效果越佳，但須考慮可能造成的中樞神經不良反應，例如</w:t>
      </w:r>
      <w:r>
        <w:rPr>
          <w:spacing w:val="2"/>
          <w:sz w:val="24"/>
        </w:rPr>
        <w:t>頭暈、嗜睡等。</w:t>
      </w:r>
    </w:p>
    <w:p>
      <w:pPr>
        <w:pStyle w:val="ListParagraph"/>
        <w:numPr>
          <w:ilvl w:val="2"/>
          <w:numId w:val="37"/>
        </w:numPr>
        <w:tabs>
          <w:tab w:pos="1823" w:val="left" w:leader="none"/>
        </w:tabs>
        <w:spacing w:line="421" w:lineRule="exact" w:before="0" w:after="0"/>
        <w:ind w:left="1822" w:right="0" w:hanging="367"/>
        <w:jc w:val="both"/>
        <w:rPr>
          <w:sz w:val="24"/>
        </w:rPr>
      </w:pPr>
      <w:r>
        <w:rPr>
          <w:spacing w:val="27"/>
          <w:sz w:val="24"/>
        </w:rPr>
        <w:t>症狀嚴重者，宜立即停止所有抗結核藥物，待症狀完全解除後， 依</w:t>
      </w:r>
    </w:p>
    <w:p>
      <w:pPr>
        <w:spacing w:after="0" w:line="421" w:lineRule="exact"/>
        <w:jc w:val="both"/>
        <w:rPr>
          <w:sz w:val="24"/>
        </w:rPr>
        <w:sectPr>
          <w:pgSz w:w="12250" w:h="17190"/>
          <w:pgMar w:header="0" w:footer="748" w:top="1460" w:bottom="1020" w:left="1180" w:right="0"/>
        </w:sectPr>
      </w:pPr>
    </w:p>
    <w:p>
      <w:pPr>
        <w:pStyle w:val="BodyText"/>
        <w:spacing w:line="220" w:lineRule="auto" w:before="44"/>
        <w:ind w:left="1822" w:right="1358"/>
        <w:jc w:val="both"/>
      </w:pPr>
      <w:r>
        <w:rPr/>
        <w:pict>
          <v:group style="position:absolute;margin-left:571.5pt;margin-top:.64388pt;width:40.9pt;height:296.5pt;mso-position-horizontal-relative:page;mso-position-vertical-relative:paragraph;z-index:251699200" coordorigin="11430,13" coordsize="818,5930">
            <v:shape style="position:absolute;left:11430;top:12;width:818;height:5930" coordorigin="11430,13" coordsize="818,5930" path="m12247,13l11595,13,11531,26,11478,61,11443,114,11430,178,11430,5778,11443,5842,11478,5894,11531,5930,11595,5943,12247,5943,12247,13xe" filled="true" fillcolor="#a6a6a6" stroked="false">
              <v:path arrowok="t"/>
              <v:fill type="solid"/>
            </v:shape>
            <v:shape style="position:absolute;left:11430;top:12;width:818;height:5930" type="#_x0000_t202" filled="false" stroked="false">
              <v:textbox inset="0,0,0,0">
                <w:txbxContent>
                  <w:p>
                    <w:pPr>
                      <w:spacing w:line="146" w:lineRule="auto" w:before="127"/>
                      <w:ind w:left="136" w:right="458" w:firstLine="0"/>
                      <w:jc w:val="both"/>
                      <w:rPr>
                        <w:sz w:val="22"/>
                      </w:rPr>
                    </w:pPr>
                    <w:r>
                      <w:rPr>
                        <w:sz w:val="22"/>
                      </w:rPr>
                      <w:t>第五章</w:t>
                    </w:r>
                  </w:p>
                  <w:p>
                    <w:pPr>
                      <w:spacing w:line="141" w:lineRule="auto" w:before="175"/>
                      <w:ind w:left="136" w:right="458" w:firstLine="0"/>
                      <w:jc w:val="both"/>
                      <w:rPr>
                        <w:sz w:val="22"/>
                      </w:rPr>
                    </w:pPr>
                    <w:r>
                      <w:rPr>
                        <w:sz w:val="22"/>
                      </w:rPr>
                      <w:t>治療期間之監測與不良反應之處理及處方調整</w:t>
                    </w:r>
                  </w:p>
                </w:txbxContent>
              </v:textbox>
              <w10:wrap type="none"/>
            </v:shape>
            <w10:wrap type="none"/>
          </v:group>
        </w:pict>
      </w:r>
      <w:r>
        <w:rPr/>
        <w:t>INH→RMP→EMB→PZA 的順序，由小劑量至足夠劑量的方式，進行藥物減敏試驗（de-sensitization）（表 5-2）。只有在出現較嚴重的過敏反應時，才可考慮使用類固醇（如每天 prednisolone 10-15mg 分二或三次口服），使治療得以繼續進行。</w:t>
      </w:r>
    </w:p>
    <w:p>
      <w:pPr>
        <w:pStyle w:val="ListParagraph"/>
        <w:numPr>
          <w:ilvl w:val="0"/>
          <w:numId w:val="36"/>
        </w:numPr>
        <w:tabs>
          <w:tab w:pos="986" w:val="left" w:leader="none"/>
        </w:tabs>
        <w:spacing w:line="220" w:lineRule="auto" w:before="6" w:after="0"/>
        <w:ind w:left="985" w:right="1357" w:hanging="244"/>
        <w:jc w:val="both"/>
        <w:rPr>
          <w:sz w:val="24"/>
        </w:rPr>
      </w:pPr>
      <w:r>
        <w:rPr>
          <w:b/>
          <w:spacing w:val="3"/>
          <w:sz w:val="24"/>
        </w:rPr>
        <w:t>視神經炎：</w:t>
      </w:r>
      <w:r>
        <w:rPr>
          <w:sz w:val="24"/>
        </w:rPr>
        <w:t>最常見的臨床表現為視力降低、紅綠色盲（dyschromatopsia）</w:t>
      </w:r>
      <w:r>
        <w:rPr>
          <w:spacing w:val="-2"/>
          <w:sz w:val="24"/>
        </w:rPr>
        <w:t>、中央</w:t>
      </w:r>
      <w:r>
        <w:rPr>
          <w:spacing w:val="-18"/>
          <w:sz w:val="24"/>
        </w:rPr>
        <w:t>盲點</w:t>
      </w:r>
      <w:r>
        <w:rPr>
          <w:sz w:val="24"/>
        </w:rPr>
        <w:t>（central</w:t>
      </w:r>
      <w:r>
        <w:rPr>
          <w:spacing w:val="-5"/>
          <w:sz w:val="24"/>
        </w:rPr>
        <w:t> </w:t>
      </w:r>
      <w:r>
        <w:rPr>
          <w:spacing w:val="-8"/>
          <w:sz w:val="24"/>
        </w:rPr>
        <w:t>scotoma）</w:t>
      </w:r>
      <w:r>
        <w:rPr>
          <w:spacing w:val="-4"/>
          <w:sz w:val="24"/>
        </w:rPr>
        <w:t>，通常兩眼一起發生。由於臺灣地區結核病人的年齡層偏</w:t>
      </w:r>
      <w:r>
        <w:rPr>
          <w:spacing w:val="-5"/>
          <w:sz w:val="24"/>
        </w:rPr>
        <w:t>高，有較多的病人同時罹患糖尿病或腎臟疾病，視神經炎的機會同樣高於大部分結</w:t>
      </w:r>
      <w:r>
        <w:rPr>
          <w:spacing w:val="3"/>
          <w:sz w:val="24"/>
        </w:rPr>
        <w:t>核病盛行地區，且較可能產生無法恢復的視力傷害，應特別注意。</w:t>
      </w:r>
    </w:p>
    <w:p>
      <w:pPr>
        <w:pStyle w:val="ListParagraph"/>
        <w:numPr>
          <w:ilvl w:val="1"/>
          <w:numId w:val="38"/>
        </w:numPr>
        <w:tabs>
          <w:tab w:pos="1462" w:val="left" w:leader="none"/>
        </w:tabs>
        <w:spacing w:line="396" w:lineRule="exact" w:before="0" w:after="0"/>
        <w:ind w:left="1461" w:right="0" w:hanging="490"/>
        <w:jc w:val="both"/>
        <w:rPr>
          <w:sz w:val="24"/>
        </w:rPr>
      </w:pPr>
      <w:r>
        <w:rPr>
          <w:b/>
          <w:spacing w:val="11"/>
          <w:sz w:val="24"/>
        </w:rPr>
        <w:t>發生原因： </w:t>
      </w:r>
      <w:r>
        <w:rPr>
          <w:sz w:val="24"/>
        </w:rPr>
        <w:t>EMB</w:t>
      </w:r>
      <w:r>
        <w:rPr>
          <w:spacing w:val="18"/>
          <w:sz w:val="24"/>
        </w:rPr>
        <w:t> 是最常見造成視神經炎的藥物， 在建議的劑量下</w:t>
      </w:r>
      <w:r>
        <w:rPr>
          <w:sz w:val="24"/>
        </w:rPr>
        <w:t>（</w:t>
      </w:r>
      <w:r>
        <w:rPr>
          <w:spacing w:val="-34"/>
          <w:sz w:val="24"/>
        </w:rPr>
        <w:t> </w:t>
      </w:r>
      <w:r>
        <w:rPr>
          <w:sz w:val="24"/>
        </w:rPr>
        <w:t>15–</w:t>
      </w:r>
    </w:p>
    <w:p>
      <w:pPr>
        <w:pStyle w:val="BodyText"/>
        <w:spacing w:line="220" w:lineRule="auto" w:before="6"/>
        <w:ind w:left="1461" w:right="1301"/>
        <w:jc w:val="both"/>
      </w:pPr>
      <w:r>
        <w:rPr/>
        <w:t>20mg/kg），視神經炎發生機率大約介於 1–2%，永久視力缺損的發生率則小於 1%。但是，不單單僅有 EMB 會造成視神經炎，其他抗結核藥物包括 INH、rifabutin、ethionamide、以及 clofazimine、linezolid 等等，也都被報告有視力傷害的可能。</w:t>
      </w:r>
    </w:p>
    <w:p>
      <w:pPr>
        <w:pStyle w:val="Heading7"/>
        <w:numPr>
          <w:ilvl w:val="1"/>
          <w:numId w:val="38"/>
        </w:numPr>
        <w:tabs>
          <w:tab w:pos="1462" w:val="left" w:leader="none"/>
        </w:tabs>
        <w:spacing w:line="399" w:lineRule="exact" w:before="0" w:after="0"/>
        <w:ind w:left="1461" w:right="0" w:hanging="490"/>
        <w:jc w:val="both"/>
      </w:pPr>
      <w:r>
        <w:rPr>
          <w:spacing w:val="2"/>
        </w:rPr>
        <w:t>處理方式：</w:t>
      </w:r>
    </w:p>
    <w:p>
      <w:pPr>
        <w:pStyle w:val="ListParagraph"/>
        <w:numPr>
          <w:ilvl w:val="2"/>
          <w:numId w:val="38"/>
        </w:numPr>
        <w:tabs>
          <w:tab w:pos="1960" w:val="left" w:leader="none"/>
        </w:tabs>
        <w:spacing w:line="218" w:lineRule="auto" w:before="12" w:after="0"/>
        <w:ind w:left="1959" w:right="1361" w:hanging="404"/>
        <w:jc w:val="both"/>
        <w:rPr>
          <w:sz w:val="24"/>
        </w:rPr>
      </w:pPr>
      <w:r>
        <w:rPr>
          <w:spacing w:val="-3"/>
          <w:sz w:val="24"/>
        </w:rPr>
        <w:t>發生嚴重的視力傷害時，應立即停止可能產生視神經毒性的藥物，包括上</w:t>
      </w:r>
      <w:r>
        <w:rPr>
          <w:spacing w:val="-4"/>
          <w:sz w:val="24"/>
        </w:rPr>
        <w:t>列所有藥物；唯此時應特別注意處方是否有藥物種類不足的問題。輕微的</w:t>
      </w:r>
      <w:r>
        <w:rPr>
          <w:spacing w:val="2"/>
          <w:sz w:val="24"/>
        </w:rPr>
        <w:t>視力模糊時，可以先停止 </w:t>
      </w:r>
      <w:r>
        <w:rPr>
          <w:sz w:val="24"/>
        </w:rPr>
        <w:t>EMB</w:t>
      </w:r>
      <w:r>
        <w:rPr>
          <w:spacing w:val="1"/>
          <w:sz w:val="24"/>
        </w:rPr>
        <w:t>，之後密切觀察。</w:t>
      </w:r>
    </w:p>
    <w:p>
      <w:pPr>
        <w:pStyle w:val="ListParagraph"/>
        <w:numPr>
          <w:ilvl w:val="2"/>
          <w:numId w:val="38"/>
        </w:numPr>
        <w:tabs>
          <w:tab w:pos="1960" w:val="left" w:leader="none"/>
        </w:tabs>
        <w:spacing w:line="423" w:lineRule="exact" w:before="0" w:after="0"/>
        <w:ind w:left="1959" w:right="0" w:hanging="404"/>
        <w:jc w:val="both"/>
        <w:rPr>
          <w:sz w:val="24"/>
        </w:rPr>
      </w:pPr>
      <w:r>
        <w:rPr>
          <w:spacing w:val="2"/>
          <w:sz w:val="24"/>
        </w:rPr>
        <w:t>照會眼科醫師。</w:t>
      </w:r>
    </w:p>
    <w:p>
      <w:pPr>
        <w:pStyle w:val="Heading7"/>
        <w:numPr>
          <w:ilvl w:val="0"/>
          <w:numId w:val="36"/>
        </w:numPr>
        <w:tabs>
          <w:tab w:pos="986" w:val="left" w:leader="none"/>
        </w:tabs>
        <w:spacing w:line="429" w:lineRule="exact" w:before="52" w:after="0"/>
        <w:ind w:left="986" w:right="0" w:hanging="244"/>
        <w:jc w:val="both"/>
      </w:pPr>
      <w:r>
        <w:rPr>
          <w:spacing w:val="2"/>
        </w:rPr>
        <w:t>腸胃不適：</w:t>
      </w:r>
    </w:p>
    <w:p>
      <w:pPr>
        <w:pStyle w:val="ListParagraph"/>
        <w:numPr>
          <w:ilvl w:val="1"/>
          <w:numId w:val="39"/>
        </w:numPr>
        <w:tabs>
          <w:tab w:pos="1462" w:val="left" w:leader="none"/>
        </w:tabs>
        <w:spacing w:line="220" w:lineRule="auto" w:before="14" w:after="0"/>
        <w:ind w:left="1461" w:right="1357" w:hanging="489"/>
        <w:jc w:val="both"/>
        <w:rPr>
          <w:sz w:val="24"/>
        </w:rPr>
      </w:pPr>
      <w:r>
        <w:rPr>
          <w:b/>
          <w:spacing w:val="-2"/>
          <w:sz w:val="24"/>
        </w:rPr>
        <w:t>引發藥物：</w:t>
      </w:r>
      <w:r>
        <w:rPr>
          <w:sz w:val="24"/>
        </w:rPr>
        <w:t>第一線藥物中，PZA</w:t>
      </w:r>
      <w:r>
        <w:rPr>
          <w:spacing w:val="-3"/>
          <w:sz w:val="24"/>
        </w:rPr>
        <w:t> 是最常引起腸胃不適的藥物。另外，飯前服用</w:t>
      </w:r>
      <w:r>
        <w:rPr>
          <w:sz w:val="24"/>
        </w:rPr>
        <w:t>INH</w:t>
      </w:r>
      <w:r>
        <w:rPr>
          <w:spacing w:val="25"/>
          <w:sz w:val="24"/>
        </w:rPr>
        <w:t> 與 </w:t>
      </w:r>
      <w:r>
        <w:rPr>
          <w:sz w:val="24"/>
        </w:rPr>
        <w:t>RMP</w:t>
      </w:r>
      <w:r>
        <w:rPr>
          <w:spacing w:val="2"/>
          <w:sz w:val="24"/>
        </w:rPr>
        <w:t>，血中藥物濃度會比飯後服用稍高，但腸胃道的不良反應也因此</w:t>
      </w:r>
      <w:r>
        <w:rPr>
          <w:spacing w:val="3"/>
          <w:sz w:val="24"/>
        </w:rPr>
        <w:t>而顯著提高。</w:t>
      </w:r>
    </w:p>
    <w:p>
      <w:pPr>
        <w:pStyle w:val="ListParagraph"/>
        <w:numPr>
          <w:ilvl w:val="1"/>
          <w:numId w:val="39"/>
        </w:numPr>
        <w:tabs>
          <w:tab w:pos="1462" w:val="left" w:leader="none"/>
        </w:tabs>
        <w:spacing w:line="220" w:lineRule="auto" w:before="1" w:after="0"/>
        <w:ind w:left="1461" w:right="1357" w:hanging="489"/>
        <w:jc w:val="both"/>
        <w:rPr>
          <w:sz w:val="24"/>
        </w:rPr>
      </w:pPr>
      <w:r>
        <w:rPr>
          <w:b/>
          <w:sz w:val="24"/>
        </w:rPr>
        <w:t>處理方式：</w:t>
      </w:r>
      <w:r>
        <w:rPr>
          <w:spacing w:val="-3"/>
          <w:sz w:val="24"/>
        </w:rPr>
        <w:t>一般而言，腸胃不適的問題，大約在兩週內會自行減緩或消失，診治醫師只須給予心理支持，通常不需藥物處理或調整。症狀較嚴重者，可以建議病人飯後或與食物一起服用，或在睡前給藥。但若症狀嚴重，應立即停止所</w:t>
      </w:r>
      <w:r>
        <w:rPr>
          <w:spacing w:val="3"/>
          <w:sz w:val="24"/>
        </w:rPr>
        <w:t>有抗結核藥物，待症狀改善後，</w:t>
      </w:r>
      <w:r>
        <w:rPr>
          <w:color w:val="FF0000"/>
          <w:spacing w:val="15"/>
          <w:sz w:val="24"/>
        </w:rPr>
        <w:t>依照 </w:t>
      </w:r>
      <w:r>
        <w:rPr>
          <w:color w:val="FF0000"/>
          <w:sz w:val="24"/>
        </w:rPr>
        <w:t>INH→RMP→EMB→PZA</w:t>
      </w:r>
      <w:r>
        <w:rPr>
          <w:color w:val="FF0000"/>
          <w:spacing w:val="10"/>
          <w:sz w:val="24"/>
        </w:rPr>
        <w:t> 的順序逐</w:t>
      </w:r>
      <w:r>
        <w:rPr>
          <w:spacing w:val="3"/>
          <w:sz w:val="24"/>
        </w:rPr>
        <w:t>一加</w:t>
      </w:r>
      <w:r>
        <w:rPr>
          <w:spacing w:val="2"/>
          <w:sz w:val="24"/>
        </w:rPr>
        <w:t>入足夠之抗結核藥物。</w:t>
      </w:r>
    </w:p>
    <w:p>
      <w:pPr>
        <w:pStyle w:val="ListParagraph"/>
        <w:numPr>
          <w:ilvl w:val="0"/>
          <w:numId w:val="36"/>
        </w:numPr>
        <w:tabs>
          <w:tab w:pos="986" w:val="left" w:leader="none"/>
        </w:tabs>
        <w:spacing w:line="220" w:lineRule="auto" w:before="44" w:after="0"/>
        <w:ind w:left="986" w:right="1357" w:hanging="244"/>
        <w:jc w:val="both"/>
        <w:rPr>
          <w:sz w:val="24"/>
        </w:rPr>
      </w:pPr>
      <w:r>
        <w:rPr>
          <w:b/>
          <w:spacing w:val="-1"/>
          <w:sz w:val="24"/>
        </w:rPr>
        <w:t>血球細胞減少：</w:t>
      </w:r>
      <w:r>
        <w:rPr>
          <w:spacing w:val="2"/>
          <w:sz w:val="24"/>
        </w:rPr>
        <w:t>最常見的引發藥物為 </w:t>
      </w:r>
      <w:r>
        <w:rPr>
          <w:sz w:val="24"/>
        </w:rPr>
        <w:t>rifabutin，其次為 </w:t>
      </w:r>
      <w:r>
        <w:rPr>
          <w:spacing w:val="-4"/>
          <w:sz w:val="24"/>
        </w:rPr>
        <w:t>RMP</w:t>
      </w:r>
      <w:r>
        <w:rPr>
          <w:spacing w:val="1"/>
          <w:sz w:val="24"/>
        </w:rPr>
        <w:t>，但偶而 </w:t>
      </w:r>
      <w:r>
        <w:rPr>
          <w:sz w:val="24"/>
        </w:rPr>
        <w:t>INH</w:t>
      </w:r>
      <w:r>
        <w:rPr>
          <w:spacing w:val="2"/>
          <w:sz w:val="24"/>
        </w:rPr>
        <w:t> 也會產</w:t>
      </w:r>
      <w:r>
        <w:rPr>
          <w:spacing w:val="5"/>
          <w:sz w:val="24"/>
        </w:rPr>
        <w:t>生 </w:t>
      </w:r>
      <w:r>
        <w:rPr>
          <w:sz w:val="24"/>
        </w:rPr>
        <w:t>hemolytic</w:t>
      </w:r>
      <w:r>
        <w:rPr>
          <w:spacing w:val="-7"/>
          <w:sz w:val="24"/>
        </w:rPr>
        <w:t> </w:t>
      </w:r>
      <w:r>
        <w:rPr>
          <w:sz w:val="24"/>
        </w:rPr>
        <w:t>anemia</w:t>
      </w:r>
      <w:r>
        <w:rPr>
          <w:spacing w:val="-6"/>
          <w:sz w:val="24"/>
        </w:rPr>
        <w:t>、</w:t>
      </w:r>
      <w:r>
        <w:rPr>
          <w:sz w:val="24"/>
        </w:rPr>
        <w:t>agranulocytosis 等不良反應，EMB</w:t>
      </w:r>
      <w:r>
        <w:rPr>
          <w:spacing w:val="5"/>
          <w:sz w:val="24"/>
        </w:rPr>
        <w:t> 和 </w:t>
      </w:r>
      <w:r>
        <w:rPr>
          <w:sz w:val="24"/>
        </w:rPr>
        <w:t>PZA</w:t>
      </w:r>
      <w:r>
        <w:rPr>
          <w:spacing w:val="3"/>
          <w:sz w:val="24"/>
        </w:rPr>
        <w:t> 也有導致貧血</w:t>
      </w:r>
      <w:r>
        <w:rPr>
          <w:spacing w:val="-5"/>
          <w:sz w:val="24"/>
        </w:rPr>
        <w:t>的個案報告，因此，當病人發生嚴重的血球細胞減少時，應立即停止所有抗結核藥</w:t>
      </w:r>
      <w:r>
        <w:rPr>
          <w:spacing w:val="-6"/>
          <w:sz w:val="24"/>
        </w:rPr>
        <w:t>物，待血球恢復後，依 </w:t>
      </w:r>
      <w:r>
        <w:rPr>
          <w:sz w:val="24"/>
        </w:rPr>
        <w:t>INH→EMB→PZA</w:t>
      </w:r>
      <w:r>
        <w:rPr>
          <w:spacing w:val="-4"/>
          <w:sz w:val="24"/>
        </w:rPr>
        <w:t> 的順序，進行漸進式給藥試驗，逐一加入</w:t>
      </w:r>
      <w:r>
        <w:rPr>
          <w:spacing w:val="3"/>
          <w:sz w:val="24"/>
        </w:rPr>
        <w:t>其他一線藥物。</w:t>
      </w:r>
      <w:r>
        <w:rPr>
          <w:color w:val="FF0000"/>
          <w:spacing w:val="2"/>
          <w:sz w:val="24"/>
        </w:rPr>
        <w:t>此外，應視臨床狀況及可行性，儘可能確認 </w:t>
      </w:r>
      <w:r>
        <w:rPr>
          <w:color w:val="FF0000"/>
          <w:sz w:val="24"/>
        </w:rPr>
        <w:t>PZA</w:t>
      </w:r>
      <w:r>
        <w:rPr>
          <w:color w:val="FF0000"/>
          <w:spacing w:val="2"/>
          <w:sz w:val="24"/>
        </w:rPr>
        <w:t> 藥物敏感性。</w:t>
      </w:r>
    </w:p>
    <w:p>
      <w:pPr>
        <w:pStyle w:val="ListParagraph"/>
        <w:numPr>
          <w:ilvl w:val="0"/>
          <w:numId w:val="36"/>
        </w:numPr>
        <w:tabs>
          <w:tab w:pos="986" w:val="left" w:leader="none"/>
        </w:tabs>
        <w:spacing w:line="218" w:lineRule="auto" w:before="48" w:after="0"/>
        <w:ind w:left="986" w:right="1358" w:hanging="244"/>
        <w:jc w:val="both"/>
        <w:rPr>
          <w:sz w:val="24"/>
        </w:rPr>
      </w:pPr>
      <w:r>
        <w:rPr>
          <w:b/>
          <w:spacing w:val="3"/>
          <w:sz w:val="24"/>
        </w:rPr>
        <w:t>高尿酸血症及關節炎：</w:t>
      </w:r>
      <w:r>
        <w:rPr>
          <w:spacing w:val="13"/>
          <w:sz w:val="24"/>
        </w:rPr>
        <w:t>主要與 </w:t>
      </w:r>
      <w:r>
        <w:rPr>
          <w:sz w:val="24"/>
        </w:rPr>
        <w:t>PZA</w:t>
      </w:r>
      <w:r>
        <w:rPr>
          <w:spacing w:val="2"/>
          <w:sz w:val="24"/>
        </w:rPr>
        <w:t> 有關，但臨床上仍須注意是否有其他原因造成</w:t>
      </w:r>
      <w:r>
        <w:rPr>
          <w:spacing w:val="4"/>
          <w:sz w:val="24"/>
        </w:rPr>
        <w:t>關節發炎，例如 </w:t>
      </w:r>
      <w:r>
        <w:rPr>
          <w:sz w:val="24"/>
        </w:rPr>
        <w:t>tuberculous</w:t>
      </w:r>
      <w:r>
        <w:rPr>
          <w:spacing w:val="41"/>
          <w:sz w:val="24"/>
        </w:rPr>
        <w:t> </w:t>
      </w:r>
      <w:r>
        <w:rPr>
          <w:sz w:val="24"/>
        </w:rPr>
        <w:t>arthritis</w:t>
      </w:r>
      <w:r>
        <w:rPr>
          <w:spacing w:val="4"/>
          <w:sz w:val="24"/>
        </w:rPr>
        <w:t>、</w:t>
      </w:r>
      <w:r>
        <w:rPr>
          <w:sz w:val="24"/>
        </w:rPr>
        <w:t>autoimmune</w:t>
      </w:r>
      <w:r>
        <w:rPr>
          <w:spacing w:val="41"/>
          <w:sz w:val="24"/>
        </w:rPr>
        <w:t> </w:t>
      </w:r>
      <w:r>
        <w:rPr>
          <w:sz w:val="24"/>
        </w:rPr>
        <w:t>arthropathy</w:t>
      </w:r>
      <w:r>
        <w:rPr>
          <w:spacing w:val="3"/>
          <w:sz w:val="24"/>
        </w:rPr>
        <w:t>。血清中尿酸</w:t>
      </w:r>
      <w:r>
        <w:rPr>
          <w:spacing w:val="2"/>
          <w:sz w:val="24"/>
        </w:rPr>
        <w:t>濃度在  </w:t>
      </w:r>
      <w:r>
        <w:rPr>
          <w:sz w:val="24"/>
        </w:rPr>
        <w:t>13</w:t>
      </w:r>
      <w:r>
        <w:rPr>
          <w:spacing w:val="37"/>
          <w:sz w:val="24"/>
        </w:rPr>
        <w:t> </w:t>
      </w:r>
      <w:r>
        <w:rPr>
          <w:sz w:val="24"/>
        </w:rPr>
        <w:t>mg/dL</w:t>
      </w:r>
      <w:r>
        <w:rPr>
          <w:spacing w:val="3"/>
          <w:sz w:val="24"/>
        </w:rPr>
        <w:t>  以下，沒有關節炎的症狀時，只需請病人多喝水，並攝取低普</w:t>
      </w:r>
    </w:p>
    <w:p>
      <w:pPr>
        <w:spacing w:after="0" w:line="218" w:lineRule="auto"/>
        <w:jc w:val="both"/>
        <w:rPr>
          <w:sz w:val="24"/>
        </w:rPr>
        <w:sectPr>
          <w:pgSz w:w="12250" w:h="17190"/>
          <w:pgMar w:header="0" w:footer="748" w:top="1460" w:bottom="1020" w:left="1180" w:right="0"/>
        </w:sectPr>
      </w:pPr>
    </w:p>
    <w:p>
      <w:pPr>
        <w:pStyle w:val="BodyText"/>
        <w:spacing w:line="218" w:lineRule="auto" w:before="46"/>
        <w:ind w:left="985" w:right="1357"/>
        <w:jc w:val="both"/>
      </w:pPr>
      <w:r>
        <w:rPr/>
        <w:t>林飲食。若已經攝取足夠水分且接受低普林飲食之後仍症狀嚴重、或血清尿酸濃度仍超過 13 mg/dL 時，應停止使用 PZA，可考慮給予一般非類固醇止痛藥緩解症狀，此時因為會與 PZA 有藥物交互作用，不建議使用 allopurinol。</w:t>
      </w:r>
    </w:p>
    <w:p>
      <w:pPr>
        <w:pStyle w:val="ListParagraph"/>
        <w:numPr>
          <w:ilvl w:val="0"/>
          <w:numId w:val="36"/>
        </w:numPr>
        <w:tabs>
          <w:tab w:pos="986" w:val="left" w:leader="none"/>
        </w:tabs>
        <w:spacing w:line="220" w:lineRule="auto" w:before="58" w:after="0"/>
        <w:ind w:left="986" w:right="1357" w:hanging="244"/>
        <w:jc w:val="both"/>
        <w:rPr>
          <w:sz w:val="24"/>
        </w:rPr>
      </w:pPr>
      <w:r>
        <w:rPr>
          <w:b/>
          <w:color w:val="FF0000"/>
          <w:spacing w:val="-5"/>
          <w:sz w:val="24"/>
        </w:rPr>
        <w:t>腎功能惡化：</w:t>
      </w:r>
      <w:r>
        <w:rPr>
          <w:color w:val="FF0000"/>
          <w:spacing w:val="-3"/>
          <w:sz w:val="24"/>
        </w:rPr>
        <w:t>結核病治療過程中發生腎功能惡化，可能的原因包括：</w:t>
      </w:r>
      <w:r>
        <w:rPr>
          <w:color w:val="FF0000"/>
          <w:spacing w:val="-7"/>
          <w:sz w:val="24"/>
        </w:rPr>
        <w:t>1</w:t>
      </w:r>
      <w:r>
        <w:rPr>
          <w:color w:val="FF0000"/>
          <w:spacing w:val="2"/>
          <w:sz w:val="24"/>
        </w:rPr>
        <w:t>. 高尿酸造成crystal</w:t>
      </w:r>
      <w:r>
        <w:rPr>
          <w:color w:val="FF0000"/>
          <w:spacing w:val="-8"/>
          <w:sz w:val="24"/>
        </w:rPr>
        <w:t> </w:t>
      </w:r>
      <w:r>
        <w:rPr>
          <w:color w:val="FF0000"/>
          <w:sz w:val="24"/>
        </w:rPr>
        <w:t>uropathy；2</w:t>
      </w:r>
      <w:r>
        <w:rPr>
          <w:color w:val="FF0000"/>
          <w:spacing w:val="-4"/>
          <w:sz w:val="24"/>
        </w:rPr>
        <w:t>. </w:t>
      </w:r>
      <w:r>
        <w:rPr>
          <w:color w:val="FF0000"/>
          <w:sz w:val="24"/>
        </w:rPr>
        <w:t>RMP</w:t>
      </w:r>
      <w:r>
        <w:rPr>
          <w:color w:val="FF0000"/>
          <w:spacing w:val="5"/>
          <w:sz w:val="24"/>
        </w:rPr>
        <w:t> 導致 </w:t>
      </w:r>
      <w:r>
        <w:rPr>
          <w:color w:val="FF0000"/>
          <w:sz w:val="24"/>
        </w:rPr>
        <w:t>interstitial</w:t>
      </w:r>
      <w:r>
        <w:rPr>
          <w:color w:val="FF0000"/>
          <w:spacing w:val="-7"/>
          <w:sz w:val="24"/>
        </w:rPr>
        <w:t> </w:t>
      </w:r>
      <w:r>
        <w:rPr>
          <w:color w:val="FF0000"/>
          <w:sz w:val="24"/>
        </w:rPr>
        <w:t>nephritis</w:t>
      </w:r>
      <w:r>
        <w:rPr>
          <w:color w:val="FF0000"/>
          <w:spacing w:val="3"/>
          <w:sz w:val="24"/>
        </w:rPr>
        <w:t>；或者 </w:t>
      </w:r>
      <w:r>
        <w:rPr>
          <w:color w:val="FF0000"/>
          <w:sz w:val="24"/>
        </w:rPr>
        <w:t>3</w:t>
      </w:r>
      <w:r>
        <w:rPr>
          <w:color w:val="FF0000"/>
          <w:spacing w:val="3"/>
          <w:sz w:val="24"/>
        </w:rPr>
        <w:t>. 其他身體狀況改變</w:t>
      </w:r>
      <w:r>
        <w:rPr>
          <w:color w:val="FF0000"/>
          <w:spacing w:val="-4"/>
          <w:sz w:val="24"/>
        </w:rPr>
        <w:t>導致急性腎損傷。因此一旦發現腎功能惡化，除了停止抗結核藥物治療以外，也應</w:t>
      </w:r>
      <w:r>
        <w:rPr>
          <w:color w:val="FF0000"/>
          <w:spacing w:val="-1"/>
          <w:sz w:val="24"/>
        </w:rPr>
        <w:t>該安排進一步檢查或照會腎臟科醫師鑑別診斷。之後待腎功能恢復或穩定後，再逐</w:t>
      </w:r>
      <w:r>
        <w:rPr>
          <w:color w:val="FF0000"/>
          <w:spacing w:val="3"/>
          <w:sz w:val="24"/>
        </w:rPr>
        <w:t>一上藥。</w:t>
      </w:r>
    </w:p>
    <w:p>
      <w:pPr>
        <w:pStyle w:val="ListParagraph"/>
        <w:numPr>
          <w:ilvl w:val="0"/>
          <w:numId w:val="36"/>
        </w:numPr>
        <w:tabs>
          <w:tab w:pos="986" w:val="left" w:leader="none"/>
        </w:tabs>
        <w:spacing w:line="220" w:lineRule="auto" w:before="44" w:after="0"/>
        <w:ind w:left="986" w:right="1368" w:hanging="244"/>
        <w:jc w:val="both"/>
        <w:rPr>
          <w:sz w:val="24"/>
        </w:rPr>
      </w:pPr>
      <w:r>
        <w:rPr>
          <w:b/>
          <w:spacing w:val="3"/>
          <w:sz w:val="24"/>
        </w:rPr>
        <w:t>發燒及倦怠：</w:t>
      </w:r>
      <w:r>
        <w:rPr>
          <w:spacing w:val="4"/>
          <w:sz w:val="24"/>
        </w:rPr>
        <w:t>第一線藥物中的 </w:t>
      </w:r>
      <w:r>
        <w:rPr>
          <w:spacing w:val="2"/>
          <w:sz w:val="24"/>
        </w:rPr>
        <w:t>INH</w:t>
      </w:r>
      <w:r>
        <w:rPr>
          <w:spacing w:val="6"/>
          <w:sz w:val="24"/>
        </w:rPr>
        <w:t> 和 </w:t>
      </w:r>
      <w:r>
        <w:rPr>
          <w:spacing w:val="4"/>
          <w:sz w:val="24"/>
        </w:rPr>
        <w:t>RMP</w:t>
      </w:r>
      <w:r>
        <w:rPr>
          <w:spacing w:val="5"/>
          <w:sz w:val="24"/>
        </w:rPr>
        <w:t>，都可能產生 </w:t>
      </w:r>
      <w:r>
        <w:rPr>
          <w:spacing w:val="2"/>
          <w:sz w:val="24"/>
        </w:rPr>
        <w:t>drug</w:t>
      </w:r>
      <w:r>
        <w:rPr>
          <w:spacing w:val="42"/>
          <w:sz w:val="24"/>
        </w:rPr>
        <w:t> </w:t>
      </w:r>
      <w:r>
        <w:rPr>
          <w:spacing w:val="3"/>
          <w:sz w:val="24"/>
        </w:rPr>
        <w:t>fever</w:t>
      </w:r>
      <w:r>
        <w:rPr>
          <w:spacing w:val="5"/>
          <w:sz w:val="24"/>
        </w:rPr>
        <w:t> 或類流感症</w:t>
      </w:r>
      <w:r>
        <w:rPr>
          <w:spacing w:val="2"/>
          <w:sz w:val="24"/>
        </w:rPr>
        <w:t>狀，尤其是 </w:t>
      </w:r>
      <w:r>
        <w:rPr>
          <w:sz w:val="24"/>
        </w:rPr>
        <w:t>RMP</w:t>
      </w:r>
      <w:r>
        <w:rPr>
          <w:spacing w:val="3"/>
          <w:sz w:val="24"/>
        </w:rPr>
        <w:t>。一般會自行恢復或給予退燒藥，不需特別處理。</w:t>
      </w:r>
    </w:p>
    <w:p>
      <w:pPr>
        <w:pStyle w:val="ListParagraph"/>
        <w:numPr>
          <w:ilvl w:val="0"/>
          <w:numId w:val="36"/>
        </w:numPr>
        <w:tabs>
          <w:tab w:pos="986" w:val="left" w:leader="none"/>
        </w:tabs>
        <w:spacing w:line="240" w:lineRule="auto" w:before="25" w:after="0"/>
        <w:ind w:left="986" w:right="0" w:hanging="244"/>
        <w:jc w:val="both"/>
        <w:rPr>
          <w:sz w:val="24"/>
        </w:rPr>
      </w:pPr>
      <w:r>
        <w:rPr>
          <w:b/>
          <w:spacing w:val="3"/>
          <w:sz w:val="24"/>
        </w:rPr>
        <w:t>聽力、平衡功能障礙：</w:t>
      </w:r>
      <w:r>
        <w:rPr>
          <w:spacing w:val="2"/>
          <w:sz w:val="24"/>
        </w:rPr>
        <w:t>停用針劑藥物。</w:t>
      </w:r>
    </w:p>
    <w:p>
      <w:pPr>
        <w:pStyle w:val="BodyText"/>
        <w:spacing w:before="5"/>
        <w:rPr>
          <w:sz w:val="19"/>
        </w:rPr>
      </w:pPr>
    </w:p>
    <w:p>
      <w:pPr>
        <w:pStyle w:val="Heading6"/>
        <w:numPr>
          <w:ilvl w:val="1"/>
          <w:numId w:val="32"/>
        </w:numPr>
        <w:tabs>
          <w:tab w:pos="664" w:val="left" w:leader="none"/>
        </w:tabs>
        <w:spacing w:line="240" w:lineRule="auto" w:before="0" w:after="0"/>
        <w:ind w:left="663" w:right="0" w:hanging="484"/>
        <w:jc w:val="both"/>
      </w:pPr>
      <w:r>
        <w:rPr>
          <w:spacing w:val="3"/>
        </w:rPr>
        <w:t>不良反應發生後抗結核處方的調整：</w:t>
      </w:r>
    </w:p>
    <w:p>
      <w:pPr>
        <w:pStyle w:val="ListParagraph"/>
        <w:numPr>
          <w:ilvl w:val="2"/>
          <w:numId w:val="32"/>
        </w:numPr>
        <w:tabs>
          <w:tab w:pos="962" w:val="left" w:leader="none"/>
        </w:tabs>
        <w:spacing w:line="220" w:lineRule="auto" w:before="33" w:after="0"/>
        <w:ind w:left="961" w:right="1321" w:hanging="671"/>
        <w:jc w:val="both"/>
        <w:rPr>
          <w:sz w:val="24"/>
        </w:rPr>
      </w:pPr>
      <w:bookmarkStart w:name="5.3.1 基本的概念：抗結核治療過程中發生不良反應時，除了上述針對不良反應本身" w:id="45"/>
      <w:bookmarkEnd w:id="45"/>
      <w:r>
        <w:rPr/>
      </w:r>
      <w:bookmarkStart w:name="5.3.1 基本的概念：抗結核治療過程中發生不良反應時，除了上述針對不良反應本身" w:id="46"/>
      <w:bookmarkEnd w:id="46"/>
      <w:r>
        <w:rPr>
          <w:b/>
          <w:spacing w:val="-1"/>
          <w:sz w:val="24"/>
        </w:rPr>
        <w:t>基本的概念：</w:t>
      </w:r>
      <w:r>
        <w:rPr>
          <w:spacing w:val="1"/>
          <w:sz w:val="24"/>
        </w:rPr>
        <w:t>抗結核治療過程中發生不良反應時，除了上述針對不良反應本身的處</w:t>
      </w:r>
      <w:r>
        <w:rPr>
          <w:spacing w:val="2"/>
          <w:sz w:val="24"/>
        </w:rPr>
        <w:t>理之外，後續的抗結核治療處方常常必須據以調整。但除了 </w:t>
      </w:r>
      <w:r>
        <w:rPr>
          <w:sz w:val="24"/>
        </w:rPr>
        <w:t>INH</w:t>
      </w:r>
      <w:r>
        <w:rPr>
          <w:spacing w:val="3"/>
          <w:sz w:val="24"/>
        </w:rPr>
        <w:t> 單一藥物無法使</w:t>
      </w:r>
      <w:r>
        <w:rPr>
          <w:spacing w:val="-2"/>
          <w:sz w:val="24"/>
        </w:rPr>
        <w:t>用、或者是 </w:t>
      </w:r>
      <w:r>
        <w:rPr>
          <w:sz w:val="24"/>
        </w:rPr>
        <w:t>INH</w:t>
      </w:r>
      <w:r>
        <w:rPr>
          <w:spacing w:val="3"/>
          <w:sz w:val="24"/>
        </w:rPr>
        <w:t> 和 </w:t>
      </w:r>
      <w:r>
        <w:rPr>
          <w:sz w:val="24"/>
        </w:rPr>
        <w:t>RMP</w:t>
      </w:r>
      <w:r>
        <w:rPr>
          <w:spacing w:val="1"/>
          <w:sz w:val="24"/>
        </w:rPr>
        <w:t> 兩種藥物同時無法使用這兩種情況，有較多的研究資料與</w:t>
      </w:r>
      <w:r>
        <w:rPr>
          <w:spacing w:val="-2"/>
          <w:sz w:val="24"/>
        </w:rPr>
        <w:t>處方調整建議以外，其餘情況下的建議多半沒有可靠且大規模的研究結果支持。因</w:t>
      </w:r>
      <w:r>
        <w:rPr>
          <w:spacing w:val="1"/>
          <w:sz w:val="24"/>
        </w:rPr>
        <w:t>此，以下所列出的處方僅供大方向的參考，臨床醫師仍須參酌病人病情細心調整， </w:t>
      </w:r>
      <w:r>
        <w:rPr>
          <w:spacing w:val="-1"/>
          <w:sz w:val="24"/>
        </w:rPr>
        <w:t>並建議與結核病專家討論或轉診至結核病專責醫院。處方調整過後，仍應持續追蹤</w:t>
      </w:r>
      <w:r>
        <w:rPr>
          <w:spacing w:val="-4"/>
          <w:sz w:val="24"/>
        </w:rPr>
        <w:t>評估，以期能即早發現治療效果不佳或抗藥性的存在，並進一步修改用藥。處方調</w:t>
      </w:r>
      <w:r>
        <w:rPr>
          <w:spacing w:val="3"/>
          <w:sz w:val="24"/>
        </w:rPr>
        <w:t>整的基本概念如下：</w:t>
      </w:r>
    </w:p>
    <w:p>
      <w:pPr>
        <w:pStyle w:val="ListParagraph"/>
        <w:numPr>
          <w:ilvl w:val="3"/>
          <w:numId w:val="32"/>
        </w:numPr>
        <w:tabs>
          <w:tab w:pos="976" w:val="left" w:leader="none"/>
        </w:tabs>
        <w:spacing w:line="390" w:lineRule="exact" w:before="0" w:after="0"/>
        <w:ind w:left="975" w:right="0" w:hanging="246"/>
        <w:jc w:val="both"/>
        <w:rPr>
          <w:sz w:val="24"/>
        </w:rPr>
      </w:pPr>
      <w:r>
        <w:rPr>
          <w:spacing w:val="15"/>
          <w:sz w:val="24"/>
        </w:rPr>
        <w:t>大多數的不良反應發生在治療的一開始，此時結核分枝桿菌的藥物感受性試驗</w:t>
      </w:r>
    </w:p>
    <w:p>
      <w:pPr>
        <w:pStyle w:val="BodyText"/>
        <w:spacing w:line="220" w:lineRule="auto" w:before="7"/>
        <w:ind w:left="975" w:right="1301"/>
        <w:jc w:val="both"/>
      </w:pPr>
      <w:r>
        <w:rPr/>
        <w:t>（drug susceptibility test</w:t>
      </w:r>
      <w:r>
        <w:rPr>
          <w:spacing w:val="2"/>
        </w:rPr>
        <w:t>，以下簡稱</w:t>
      </w:r>
      <w:r>
        <w:rPr>
          <w:spacing w:val="4"/>
        </w:rPr>
        <w:t>［</w:t>
      </w:r>
      <w:r>
        <w:rPr>
          <w:spacing w:val="3"/>
        </w:rPr>
        <w:t>藥敏］）通常尚未有結果。因此，調整處</w:t>
      </w:r>
      <w:r>
        <w:rPr>
          <w:spacing w:val="-13"/>
        </w:rPr>
        <w:t>方時，除了避開引發不良反應的藥物之外，同時仍須注意是否會有抗藥的問題存在， </w:t>
      </w:r>
      <w:r>
        <w:rPr>
          <w:spacing w:val="3"/>
        </w:rPr>
        <w:t>是故處方中藥物種類通常稍多，以避免因抗藥性而導致有效藥物不足</w:t>
      </w:r>
      <w:r>
        <w:rPr>
          <w:spacing w:val="4"/>
        </w:rPr>
        <w:t>（</w:t>
      </w:r>
      <w:r>
        <w:rPr>
          <w:spacing w:val="1"/>
        </w:rPr>
        <w:t>舉例來說， </w:t>
      </w:r>
      <w:r>
        <w:rPr>
          <w:spacing w:val="-3"/>
        </w:rPr>
        <w:t>不良反應發生後，若因為試藥時間太長導致抗藥性已然產生，就會有加一種藥等於</w:t>
      </w:r>
      <w:r>
        <w:rPr>
          <w:spacing w:val="2"/>
        </w:rPr>
        <w:t>是製造對該種藥物抗藥的細菌孳生的可能；又或，因為不良反應無法使用 </w:t>
      </w:r>
      <w:r>
        <w:rPr/>
        <w:t>EMB</w:t>
      </w:r>
      <w:r>
        <w:rPr>
          <w:spacing w:val="11"/>
        </w:rPr>
        <w:t> 和PZA</w:t>
      </w:r>
      <w:r>
        <w:rPr>
          <w:spacing w:val="-1"/>
        </w:rPr>
        <w:t> 時，處方改為 </w:t>
      </w:r>
      <w:r>
        <w:rPr/>
        <w:t>INH</w:t>
      </w:r>
      <w:r>
        <w:rPr>
          <w:spacing w:val="-3"/>
        </w:rPr>
        <w:t>、</w:t>
      </w:r>
      <w:r>
        <w:rPr/>
        <w:t>RMP、加上一種 </w:t>
      </w:r>
      <w:r>
        <w:rPr>
          <w:spacing w:val="-3"/>
        </w:rPr>
        <w:t>FQ</w:t>
      </w:r>
      <w:r>
        <w:rPr>
          <w:spacing w:val="1"/>
        </w:rPr>
        <w:t>，但最後又發現該結核分枝桿菌株對</w:t>
      </w:r>
      <w:r>
        <w:rPr/>
        <w:t>INH</w:t>
      </w:r>
      <w:r>
        <w:rPr>
          <w:spacing w:val="3"/>
        </w:rPr>
        <w:t> 抗藥</w:t>
      </w:r>
      <w:r>
        <w:rPr>
          <w:spacing w:val="-35"/>
        </w:rPr>
        <w:t>）</w:t>
      </w:r>
      <w:r>
        <w:rPr>
          <w:spacing w:val="-2"/>
        </w:rPr>
        <w:t>。本章之後的處方調整建議，將區分為藥敏結果已知和未知兩種情況說</w:t>
      </w:r>
      <w:r>
        <w:rPr>
          <w:spacing w:val="4"/>
        </w:rPr>
        <w:t>明。</w:t>
      </w:r>
    </w:p>
    <w:p>
      <w:pPr>
        <w:pStyle w:val="ListParagraph"/>
        <w:numPr>
          <w:ilvl w:val="3"/>
          <w:numId w:val="32"/>
        </w:numPr>
        <w:tabs>
          <w:tab w:pos="976" w:val="left" w:leader="none"/>
        </w:tabs>
        <w:spacing w:line="220" w:lineRule="auto" w:before="0" w:after="0"/>
        <w:ind w:left="975" w:right="1357" w:hanging="245"/>
        <w:jc w:val="both"/>
        <w:rPr>
          <w:sz w:val="24"/>
        </w:rPr>
      </w:pPr>
      <w:r>
        <w:rPr>
          <w:color w:val="FF0000"/>
          <w:spacing w:val="-4"/>
          <w:sz w:val="24"/>
        </w:rPr>
        <w:t>逐步上藥之前，應盡可能考慮以抗藥性快速分子檢測輔助臨床用藥選擇的必要性與</w:t>
      </w:r>
      <w:r>
        <w:rPr>
          <w:color w:val="FF0000"/>
          <w:spacing w:val="2"/>
          <w:sz w:val="24"/>
        </w:rPr>
        <w:t>可行性，例如 </w:t>
      </w:r>
      <w:r>
        <w:rPr>
          <w:color w:val="FF0000"/>
          <w:sz w:val="24"/>
        </w:rPr>
        <w:t>PZA</w:t>
      </w:r>
      <w:r>
        <w:rPr>
          <w:color w:val="FF0000"/>
          <w:spacing w:val="4"/>
          <w:sz w:val="24"/>
        </w:rPr>
        <w:t>、</w:t>
      </w:r>
      <w:r>
        <w:rPr>
          <w:color w:val="FF0000"/>
          <w:sz w:val="24"/>
        </w:rPr>
        <w:t>FQ</w:t>
      </w:r>
      <w:r>
        <w:rPr>
          <w:color w:val="FF0000"/>
          <w:spacing w:val="2"/>
          <w:sz w:val="24"/>
        </w:rPr>
        <w:t>、針劑。</w:t>
      </w:r>
    </w:p>
    <w:p>
      <w:pPr>
        <w:pStyle w:val="ListParagraph"/>
        <w:numPr>
          <w:ilvl w:val="3"/>
          <w:numId w:val="32"/>
        </w:numPr>
        <w:tabs>
          <w:tab w:pos="976" w:val="left" w:leader="none"/>
        </w:tabs>
        <w:spacing w:line="220" w:lineRule="auto" w:before="0" w:after="0"/>
        <w:ind w:left="975" w:right="1361" w:hanging="245"/>
        <w:jc w:val="both"/>
        <w:rPr>
          <w:sz w:val="24"/>
        </w:rPr>
      </w:pPr>
      <w:r>
        <w:rPr>
          <w:spacing w:val="-3"/>
          <w:sz w:val="24"/>
        </w:rPr>
        <w:t>逐步上藥的過程應儘量縮短，若評估結核分枝桿菌的菌量很大</w:t>
      </w:r>
      <w:r>
        <w:rPr>
          <w:spacing w:val="3"/>
          <w:sz w:val="24"/>
        </w:rPr>
        <w:t>（</w:t>
      </w:r>
      <w:r>
        <w:rPr>
          <w:spacing w:val="2"/>
          <w:sz w:val="24"/>
        </w:rPr>
        <w:t>例如胸部 </w:t>
      </w:r>
      <w:r>
        <w:rPr>
          <w:sz w:val="24"/>
        </w:rPr>
        <w:t>X</w:t>
      </w:r>
      <w:r>
        <w:rPr>
          <w:spacing w:val="1"/>
          <w:sz w:val="24"/>
        </w:rPr>
        <w:t> 光顯示</w:t>
      </w:r>
      <w:r>
        <w:rPr>
          <w:sz w:val="24"/>
        </w:rPr>
        <w:t>有開洞病灶、或者痰塗片為強陽性</w:t>
      </w:r>
      <w:r>
        <w:rPr>
          <w:spacing w:val="-10"/>
          <w:sz w:val="24"/>
        </w:rPr>
        <w:t>）</w:t>
      </w:r>
      <w:r>
        <w:rPr>
          <w:spacing w:val="-2"/>
          <w:sz w:val="24"/>
        </w:rPr>
        <w:t>，可考慮於過程中輔以針劑藥物，直至影像改</w:t>
      </w:r>
      <w:r>
        <w:rPr>
          <w:spacing w:val="3"/>
          <w:sz w:val="24"/>
        </w:rPr>
        <w:t>善或痰塗片陰轉，以避免產生續發性抗藥</w:t>
      </w:r>
      <w:r>
        <w:rPr>
          <w:sz w:val="24"/>
        </w:rPr>
        <w:t>（acquired</w:t>
      </w:r>
      <w:r>
        <w:rPr>
          <w:spacing w:val="5"/>
          <w:sz w:val="24"/>
        </w:rPr>
        <w:t> </w:t>
      </w:r>
      <w:r>
        <w:rPr>
          <w:sz w:val="24"/>
        </w:rPr>
        <w:t>resistance）</w:t>
      </w:r>
      <w:r>
        <w:rPr>
          <w:spacing w:val="3"/>
          <w:sz w:val="24"/>
        </w:rPr>
        <w:t>。</w:t>
      </w:r>
    </w:p>
    <w:p>
      <w:pPr>
        <w:spacing w:after="0" w:line="220" w:lineRule="auto"/>
        <w:jc w:val="both"/>
        <w:rPr>
          <w:sz w:val="24"/>
        </w:rPr>
        <w:sectPr>
          <w:pgSz w:w="12250" w:h="17190"/>
          <w:pgMar w:header="0" w:footer="748" w:top="1460" w:bottom="1020" w:left="1180" w:right="0"/>
        </w:sectPr>
      </w:pPr>
    </w:p>
    <w:p>
      <w:pPr>
        <w:pStyle w:val="ListParagraph"/>
        <w:numPr>
          <w:ilvl w:val="3"/>
          <w:numId w:val="32"/>
        </w:numPr>
        <w:tabs>
          <w:tab w:pos="976" w:val="left" w:leader="none"/>
        </w:tabs>
        <w:spacing w:line="220" w:lineRule="auto" w:before="44" w:after="0"/>
        <w:ind w:left="975" w:right="1301" w:hanging="245"/>
        <w:jc w:val="both"/>
        <w:rPr>
          <w:sz w:val="24"/>
        </w:rPr>
      </w:pPr>
      <w:r>
        <w:rPr/>
        <w:pict>
          <v:group style="position:absolute;margin-left:571.5pt;margin-top:.64388pt;width:40.9pt;height:296.5pt;mso-position-horizontal-relative:page;mso-position-vertical-relative:paragraph;z-index:251701248" coordorigin="11430,13" coordsize="818,5930">
            <v:shape style="position:absolute;left:11430;top:12;width:818;height:5930" coordorigin="11430,13" coordsize="818,5930" path="m12247,13l11595,13,11531,26,11478,61,11443,114,11430,178,11430,5778,11443,5842,11478,5894,11531,5930,11595,5943,12247,5943,12247,13xe" filled="true" fillcolor="#a6a6a6" stroked="false">
              <v:path arrowok="t"/>
              <v:fill type="solid"/>
            </v:shape>
            <v:shape style="position:absolute;left:11430;top:12;width:818;height:5930" type="#_x0000_t202" filled="false" stroked="false">
              <v:textbox inset="0,0,0,0">
                <w:txbxContent>
                  <w:p>
                    <w:pPr>
                      <w:spacing w:line="146" w:lineRule="auto" w:before="127"/>
                      <w:ind w:left="136" w:right="458" w:firstLine="0"/>
                      <w:jc w:val="both"/>
                      <w:rPr>
                        <w:sz w:val="22"/>
                      </w:rPr>
                    </w:pPr>
                    <w:r>
                      <w:rPr>
                        <w:sz w:val="22"/>
                      </w:rPr>
                      <w:t>第五章</w:t>
                    </w:r>
                  </w:p>
                  <w:p>
                    <w:pPr>
                      <w:spacing w:line="141" w:lineRule="auto" w:before="175"/>
                      <w:ind w:left="136" w:right="458" w:firstLine="0"/>
                      <w:jc w:val="both"/>
                      <w:rPr>
                        <w:sz w:val="22"/>
                      </w:rPr>
                    </w:pPr>
                    <w:r>
                      <w:rPr>
                        <w:sz w:val="22"/>
                      </w:rPr>
                      <w:t>治療期間之監測與不良反應之處理及處方調整</w:t>
                    </w:r>
                  </w:p>
                </w:txbxContent>
              </v:textbox>
              <w10:wrap type="none"/>
            </v:shape>
            <w10:wrap type="none"/>
          </v:group>
        </w:pict>
      </w:r>
      <w:r>
        <w:rPr>
          <w:spacing w:val="-10"/>
          <w:sz w:val="24"/>
        </w:rPr>
        <w:t>有藥物不良反應，又遇上治療反應不佳時</w:t>
      </w:r>
      <w:r>
        <w:rPr>
          <w:spacing w:val="3"/>
          <w:sz w:val="24"/>
        </w:rPr>
        <w:t>（</w:t>
      </w:r>
      <w:r>
        <w:rPr>
          <w:spacing w:val="-6"/>
          <w:sz w:val="24"/>
        </w:rPr>
        <w:t>痰塗片價數未減少、胸部 </w:t>
      </w:r>
      <w:r>
        <w:rPr>
          <w:sz w:val="24"/>
        </w:rPr>
        <w:t>X</w:t>
      </w:r>
      <w:r>
        <w:rPr>
          <w:spacing w:val="-4"/>
          <w:sz w:val="24"/>
        </w:rPr>
        <w:t> 光沒有進步、</w:t>
      </w:r>
      <w:r>
        <w:rPr>
          <w:spacing w:val="3"/>
          <w:sz w:val="24"/>
        </w:rPr>
        <w:t>或臨床症狀沒有改善</w:t>
      </w:r>
      <w:r>
        <w:rPr>
          <w:spacing w:val="-10"/>
          <w:sz w:val="24"/>
        </w:rPr>
        <w:t>）</w:t>
      </w:r>
      <w:r>
        <w:rPr>
          <w:spacing w:val="-3"/>
          <w:sz w:val="24"/>
        </w:rPr>
        <w:t>，務必重新審視是否另有抗藥性的問題。此時，應考慮同時</w:t>
      </w:r>
      <w:r>
        <w:rPr>
          <w:spacing w:val="2"/>
          <w:sz w:val="24"/>
        </w:rPr>
        <w:t>加上兩種或三種以上之替代藥物。</w:t>
      </w:r>
    </w:p>
    <w:p>
      <w:pPr>
        <w:pStyle w:val="ListParagraph"/>
        <w:numPr>
          <w:ilvl w:val="3"/>
          <w:numId w:val="32"/>
        </w:numPr>
        <w:tabs>
          <w:tab w:pos="976" w:val="left" w:leader="none"/>
        </w:tabs>
        <w:spacing w:line="223" w:lineRule="auto" w:before="0" w:after="0"/>
        <w:ind w:left="975" w:right="1357" w:hanging="245"/>
        <w:jc w:val="both"/>
        <w:rPr>
          <w:sz w:val="24"/>
        </w:rPr>
      </w:pPr>
      <w:r>
        <w:rPr>
          <w:spacing w:val="2"/>
          <w:sz w:val="24"/>
        </w:rPr>
        <w:t>使用 </w:t>
      </w:r>
      <w:r>
        <w:rPr>
          <w:sz w:val="24"/>
        </w:rPr>
        <w:t>FQ 時，務必確認處方中有足夠種類的藥物</w:t>
      </w:r>
      <w:r>
        <w:rPr>
          <w:spacing w:val="4"/>
          <w:sz w:val="24"/>
        </w:rPr>
        <w:t>（</w:t>
      </w:r>
      <w:r>
        <w:rPr>
          <w:spacing w:val="3"/>
          <w:sz w:val="24"/>
        </w:rPr>
        <w:t>最好同時有另外兩種高度可能有</w:t>
      </w:r>
      <w:r>
        <w:rPr>
          <w:spacing w:val="2"/>
          <w:sz w:val="24"/>
        </w:rPr>
        <w:t>效的藥物，特別是針劑</w:t>
      </w:r>
      <w:r>
        <w:rPr>
          <w:sz w:val="24"/>
        </w:rPr>
        <w:t>）</w:t>
      </w:r>
      <w:r>
        <w:rPr>
          <w:spacing w:val="1"/>
          <w:sz w:val="24"/>
        </w:rPr>
        <w:t>，以避免產生 </w:t>
      </w:r>
      <w:r>
        <w:rPr>
          <w:sz w:val="24"/>
        </w:rPr>
        <w:t>FQ</w:t>
      </w:r>
      <w:r>
        <w:rPr>
          <w:spacing w:val="1"/>
          <w:sz w:val="24"/>
        </w:rPr>
        <w:t> 續發性抗藥。必要時</w:t>
      </w:r>
      <w:r>
        <w:rPr>
          <w:spacing w:val="4"/>
          <w:sz w:val="24"/>
        </w:rPr>
        <w:t>（</w:t>
      </w:r>
      <w:r>
        <w:rPr>
          <w:spacing w:val="3"/>
          <w:sz w:val="24"/>
        </w:rPr>
        <w:t>例如原本治療時顯示反應不佳），</w:t>
      </w:r>
      <w:r>
        <w:rPr>
          <w:spacing w:val="2"/>
          <w:sz w:val="24"/>
        </w:rPr>
        <w:t>應考慮加上 </w:t>
      </w:r>
      <w:r>
        <w:rPr>
          <w:sz w:val="24"/>
        </w:rPr>
        <w:t>prothionamide。</w:t>
      </w:r>
    </w:p>
    <w:p>
      <w:pPr>
        <w:pStyle w:val="ListParagraph"/>
        <w:numPr>
          <w:ilvl w:val="3"/>
          <w:numId w:val="32"/>
        </w:numPr>
        <w:tabs>
          <w:tab w:pos="976" w:val="left" w:leader="none"/>
        </w:tabs>
        <w:spacing w:line="223" w:lineRule="auto" w:before="0" w:after="0"/>
        <w:ind w:left="975" w:right="1361" w:hanging="245"/>
        <w:jc w:val="both"/>
        <w:rPr>
          <w:sz w:val="24"/>
        </w:rPr>
      </w:pPr>
      <w:r>
        <w:rPr>
          <w:spacing w:val="-5"/>
          <w:sz w:val="24"/>
        </w:rPr>
        <w:t>無論如何，應儘快取得可靠的藥敏。若盡力取得檢體且所有檢體培養均為陰性，通</w:t>
      </w:r>
      <w:r>
        <w:rPr>
          <w:spacing w:val="-1"/>
          <w:sz w:val="24"/>
        </w:rPr>
        <w:t>常意味著結核分枝桿菌菌量較小。惟判讀藥敏結果時，必須了解該藥敏結果代表的是之前結核分枝桿菌株的藥敏，務必評估在最近這段治療時間內，是否可能已經產</w:t>
      </w:r>
      <w:r>
        <w:rPr>
          <w:spacing w:val="2"/>
          <w:sz w:val="24"/>
        </w:rPr>
        <w:t>生續發性抗藥，導致藥敏改變。尤其是痰尚未陰轉，或治療反應不理想的病人。</w:t>
      </w:r>
    </w:p>
    <w:p>
      <w:pPr>
        <w:pStyle w:val="ListParagraph"/>
        <w:numPr>
          <w:ilvl w:val="3"/>
          <w:numId w:val="32"/>
        </w:numPr>
        <w:tabs>
          <w:tab w:pos="976" w:val="left" w:leader="none"/>
        </w:tabs>
        <w:spacing w:line="223" w:lineRule="auto" w:before="0" w:after="0"/>
        <w:ind w:left="975" w:right="1362" w:hanging="245"/>
        <w:jc w:val="both"/>
        <w:rPr>
          <w:sz w:val="24"/>
        </w:rPr>
      </w:pPr>
      <w:r>
        <w:rPr>
          <w:spacing w:val="2"/>
          <w:sz w:val="24"/>
        </w:rPr>
        <w:t>因為不良反應而無法使用 </w:t>
      </w:r>
      <w:r>
        <w:rPr>
          <w:sz w:val="24"/>
        </w:rPr>
        <w:t>RMP</w:t>
      </w:r>
      <w:r>
        <w:rPr>
          <w:spacing w:val="-10"/>
          <w:sz w:val="24"/>
        </w:rPr>
        <w:t> 時，除非有其他禁忌，否則應先嘗試以 </w:t>
      </w:r>
      <w:r>
        <w:rPr>
          <w:sz w:val="24"/>
        </w:rPr>
        <w:t>rifabutin</w:t>
      </w:r>
      <w:r>
        <w:rPr>
          <w:spacing w:val="5"/>
          <w:sz w:val="24"/>
        </w:rPr>
        <w:t> 取代 </w:t>
      </w:r>
      <w:r>
        <w:rPr>
          <w:sz w:val="24"/>
        </w:rPr>
        <w:t>RMP</w:t>
      </w:r>
      <w:r>
        <w:rPr>
          <w:spacing w:val="2"/>
          <w:sz w:val="24"/>
        </w:rPr>
        <w:t> 進行治療。</w:t>
      </w:r>
    </w:p>
    <w:p>
      <w:pPr>
        <w:pStyle w:val="ListParagraph"/>
        <w:numPr>
          <w:ilvl w:val="3"/>
          <w:numId w:val="32"/>
        </w:numPr>
        <w:tabs>
          <w:tab w:pos="976" w:val="left" w:leader="none"/>
        </w:tabs>
        <w:spacing w:line="223" w:lineRule="auto" w:before="0" w:after="0"/>
        <w:ind w:left="975" w:right="1357" w:hanging="245"/>
        <w:jc w:val="both"/>
        <w:rPr>
          <w:sz w:val="24"/>
        </w:rPr>
      </w:pPr>
      <w:r>
        <w:rPr>
          <w:spacing w:val="2"/>
          <w:sz w:val="24"/>
        </w:rPr>
        <w:t>根據目前的共識，當結核分枝桿菌對於 </w:t>
      </w:r>
      <w:r>
        <w:rPr>
          <w:sz w:val="24"/>
        </w:rPr>
        <w:t>RMP</w:t>
      </w:r>
      <w:r>
        <w:rPr>
          <w:spacing w:val="3"/>
          <w:sz w:val="24"/>
        </w:rPr>
        <w:t> 抗藥時，治療處方建議使用多重抗藥</w:t>
      </w:r>
      <w:r>
        <w:rPr>
          <w:sz w:val="24"/>
        </w:rPr>
        <w:t>性結核病（multidrug-resistant</w:t>
      </w:r>
      <w:r>
        <w:rPr>
          <w:spacing w:val="7"/>
          <w:sz w:val="24"/>
        </w:rPr>
        <w:t> </w:t>
      </w:r>
      <w:r>
        <w:rPr>
          <w:sz w:val="24"/>
        </w:rPr>
        <w:t>tuberculosis）</w:t>
      </w:r>
      <w:r>
        <w:rPr>
          <w:spacing w:val="-2"/>
          <w:sz w:val="24"/>
        </w:rPr>
        <w:t>治療處方。因此，當病人因不良反</w:t>
      </w:r>
      <w:r>
        <w:rPr>
          <w:spacing w:val="2"/>
          <w:sz w:val="24"/>
        </w:rPr>
        <w:t>應無法使用 </w:t>
      </w:r>
      <w:r>
        <w:rPr>
          <w:sz w:val="24"/>
        </w:rPr>
        <w:t>rifamycin</w:t>
      </w:r>
      <w:r>
        <w:rPr>
          <w:spacing w:val="3"/>
          <w:sz w:val="24"/>
        </w:rPr>
        <w:t> 類藥物時，可考慮比照多重抗藥結核病處理。</w:t>
      </w:r>
    </w:p>
    <w:p>
      <w:pPr>
        <w:pStyle w:val="ListParagraph"/>
        <w:numPr>
          <w:ilvl w:val="3"/>
          <w:numId w:val="32"/>
        </w:numPr>
        <w:tabs>
          <w:tab w:pos="976" w:val="left" w:leader="none"/>
        </w:tabs>
        <w:spacing w:line="402" w:lineRule="exact" w:before="0" w:after="0"/>
        <w:ind w:left="975" w:right="0" w:hanging="246"/>
        <w:jc w:val="both"/>
        <w:rPr>
          <w:sz w:val="24"/>
        </w:rPr>
      </w:pPr>
      <w:r>
        <w:rPr>
          <w:spacing w:val="3"/>
          <w:sz w:val="24"/>
        </w:rPr>
        <w:t>替代藥物的選擇，可以根據以下的順序：</w:t>
      </w:r>
    </w:p>
    <w:p>
      <w:pPr>
        <w:pStyle w:val="ListParagraph"/>
        <w:numPr>
          <w:ilvl w:val="1"/>
          <w:numId w:val="40"/>
        </w:numPr>
        <w:tabs>
          <w:tab w:pos="1450" w:val="left" w:leader="none"/>
        </w:tabs>
        <w:spacing w:line="410" w:lineRule="exact" w:before="0" w:after="0"/>
        <w:ind w:left="1449" w:right="0" w:hanging="489"/>
        <w:jc w:val="both"/>
        <w:rPr>
          <w:sz w:val="24"/>
        </w:rPr>
      </w:pPr>
      <w:r>
        <w:rPr>
          <w:sz w:val="24"/>
        </w:rPr>
        <w:t>FQ：levofloxacin</w:t>
      </w:r>
      <w:r>
        <w:rPr>
          <w:spacing w:val="3"/>
          <w:sz w:val="24"/>
        </w:rPr>
        <w:t> 或 </w:t>
      </w:r>
      <w:r>
        <w:rPr>
          <w:sz w:val="24"/>
        </w:rPr>
        <w:t>moxifloxacin</w:t>
      </w:r>
      <w:r>
        <w:rPr>
          <w:spacing w:val="2"/>
          <w:sz w:val="24"/>
        </w:rPr>
        <w:t> 兩者擇一。</w:t>
      </w:r>
    </w:p>
    <w:p>
      <w:pPr>
        <w:pStyle w:val="ListParagraph"/>
        <w:numPr>
          <w:ilvl w:val="1"/>
          <w:numId w:val="40"/>
        </w:numPr>
        <w:tabs>
          <w:tab w:pos="1450" w:val="left" w:leader="none"/>
        </w:tabs>
        <w:spacing w:line="223" w:lineRule="auto" w:before="0" w:after="0"/>
        <w:ind w:left="1449" w:right="1356" w:hanging="488"/>
        <w:jc w:val="both"/>
        <w:rPr>
          <w:sz w:val="24"/>
        </w:rPr>
      </w:pPr>
      <w:r>
        <w:rPr>
          <w:spacing w:val="2"/>
          <w:sz w:val="24"/>
        </w:rPr>
        <w:t>針劑：SM</w:t>
      </w:r>
      <w:r>
        <w:rPr>
          <w:spacing w:val="4"/>
          <w:sz w:val="24"/>
        </w:rPr>
        <w:t>、</w:t>
      </w:r>
      <w:r>
        <w:rPr>
          <w:sz w:val="24"/>
        </w:rPr>
        <w:t>KM</w:t>
      </w:r>
      <w:r>
        <w:rPr>
          <w:spacing w:val="4"/>
          <w:sz w:val="24"/>
        </w:rPr>
        <w:t>、</w:t>
      </w:r>
      <w:r>
        <w:rPr>
          <w:sz w:val="24"/>
        </w:rPr>
        <w:t>amikacin</w:t>
      </w:r>
      <w:r>
        <w:rPr>
          <w:spacing w:val="6"/>
          <w:sz w:val="24"/>
        </w:rPr>
        <w:t>、或 </w:t>
      </w:r>
      <w:r>
        <w:rPr>
          <w:sz w:val="24"/>
        </w:rPr>
        <w:t>capreomycin</w:t>
      </w:r>
      <w:r>
        <w:rPr>
          <w:spacing w:val="2"/>
          <w:sz w:val="24"/>
        </w:rPr>
        <w:t> 四者擇一，一般前兩者較常使</w:t>
      </w:r>
      <w:r>
        <w:rPr>
          <w:spacing w:val="3"/>
          <w:sz w:val="24"/>
        </w:rPr>
        <w:t>用。</w:t>
      </w:r>
      <w:r>
        <w:rPr>
          <w:color w:val="FF0000"/>
          <w:spacing w:val="7"/>
          <w:sz w:val="24"/>
        </w:rPr>
        <w:t>根據國內 </w:t>
      </w:r>
      <w:r>
        <w:rPr>
          <w:color w:val="FF0000"/>
          <w:sz w:val="24"/>
        </w:rPr>
        <w:t>2020</w:t>
      </w:r>
      <w:r>
        <w:rPr>
          <w:color w:val="FF0000"/>
          <w:spacing w:val="3"/>
          <w:sz w:val="24"/>
        </w:rPr>
        <w:t> 年結核病抗藥性監測的資料顯示，新病人和再治病人 </w:t>
      </w:r>
      <w:r>
        <w:rPr>
          <w:color w:val="FF0000"/>
          <w:sz w:val="24"/>
        </w:rPr>
        <w:t>SM </w:t>
      </w:r>
      <w:r>
        <w:rPr>
          <w:color w:val="FF0000"/>
          <w:spacing w:val="8"/>
          <w:sz w:val="24"/>
        </w:rPr>
        <w:t>抗藥的比例分別為 </w:t>
      </w:r>
      <w:r>
        <w:rPr>
          <w:color w:val="FF0000"/>
          <w:sz w:val="24"/>
        </w:rPr>
        <w:t>5%及 6</w:t>
      </w:r>
      <w:r>
        <w:rPr>
          <w:color w:val="FF0000"/>
          <w:spacing w:val="1"/>
          <w:sz w:val="24"/>
        </w:rPr>
        <w:t>%。</w:t>
      </w:r>
      <w:r>
        <w:rPr>
          <w:spacing w:val="3"/>
          <w:sz w:val="24"/>
        </w:rPr>
        <w:t>原則上當處方中其他藥物為一線藥物時，選擇使用 </w:t>
      </w:r>
      <w:r>
        <w:rPr>
          <w:spacing w:val="-11"/>
          <w:sz w:val="24"/>
        </w:rPr>
        <w:t>SM</w:t>
      </w:r>
      <w:r>
        <w:rPr>
          <w:spacing w:val="-3"/>
          <w:sz w:val="24"/>
        </w:rPr>
        <w:t>；若處方中包含其他二線藥物，特別是 </w:t>
      </w:r>
      <w:r>
        <w:rPr>
          <w:sz w:val="24"/>
        </w:rPr>
        <w:t>FQ</w:t>
      </w:r>
      <w:r>
        <w:rPr>
          <w:spacing w:val="-3"/>
          <w:sz w:val="24"/>
        </w:rPr>
        <w:t> 時，建議使用 </w:t>
      </w:r>
      <w:r>
        <w:rPr>
          <w:spacing w:val="-11"/>
          <w:sz w:val="24"/>
        </w:rPr>
        <w:t>KM</w:t>
      </w:r>
      <w:r>
        <w:rPr>
          <w:spacing w:val="-1"/>
          <w:sz w:val="24"/>
        </w:rPr>
        <w:t>，惟此時</w:t>
      </w:r>
      <w:r>
        <w:rPr>
          <w:spacing w:val="36"/>
          <w:sz w:val="24"/>
        </w:rPr>
        <w:t>若藥物感受性試驗確定 </w:t>
      </w:r>
      <w:r>
        <w:rPr>
          <w:sz w:val="24"/>
        </w:rPr>
        <w:t>SM</w:t>
      </w:r>
      <w:r>
        <w:rPr>
          <w:spacing w:val="32"/>
          <w:sz w:val="24"/>
        </w:rPr>
        <w:t> 敏感，可用 </w:t>
      </w:r>
      <w:r>
        <w:rPr>
          <w:sz w:val="24"/>
        </w:rPr>
        <w:t>SM</w:t>
      </w:r>
      <w:r>
        <w:rPr>
          <w:spacing w:val="28"/>
          <w:sz w:val="24"/>
        </w:rPr>
        <w:t> 取代 </w:t>
      </w:r>
      <w:r>
        <w:rPr>
          <w:sz w:val="24"/>
        </w:rPr>
        <w:t>KM</w:t>
      </w:r>
      <w:r>
        <w:rPr>
          <w:spacing w:val="24"/>
          <w:sz w:val="24"/>
        </w:rPr>
        <w:t> ，將其他三種aminoglycoside</w:t>
      </w:r>
      <w:r>
        <w:rPr>
          <w:spacing w:val="2"/>
          <w:sz w:val="24"/>
        </w:rPr>
        <w:t> 保留給多重抗藥結核病人使用。</w:t>
      </w:r>
    </w:p>
    <w:p>
      <w:pPr>
        <w:pStyle w:val="ListParagraph"/>
        <w:numPr>
          <w:ilvl w:val="1"/>
          <w:numId w:val="40"/>
        </w:numPr>
        <w:tabs>
          <w:tab w:pos="1450" w:val="left" w:leader="none"/>
        </w:tabs>
        <w:spacing w:line="223" w:lineRule="auto" w:before="0" w:after="0"/>
        <w:ind w:left="1449" w:right="1448" w:hanging="488"/>
        <w:jc w:val="both"/>
        <w:rPr>
          <w:sz w:val="24"/>
        </w:rPr>
      </w:pPr>
      <w:r>
        <w:rPr>
          <w:spacing w:val="2"/>
          <w:sz w:val="24"/>
        </w:rPr>
        <w:t>其他第二線用藥：</w:t>
      </w:r>
      <w:r>
        <w:rPr>
          <w:sz w:val="24"/>
        </w:rPr>
        <w:t>prothionamide</w:t>
      </w:r>
      <w:r>
        <w:rPr>
          <w:spacing w:val="12"/>
          <w:sz w:val="24"/>
        </w:rPr>
        <w:t> 或 </w:t>
      </w:r>
      <w:r>
        <w:rPr>
          <w:sz w:val="24"/>
        </w:rPr>
        <w:t>ethionamide（</w:t>
      </w:r>
      <w:r>
        <w:rPr>
          <w:spacing w:val="3"/>
          <w:sz w:val="24"/>
        </w:rPr>
        <w:t>臺灣目前僅有前者</w:t>
      </w:r>
      <w:r>
        <w:rPr>
          <w:spacing w:val="4"/>
          <w:sz w:val="24"/>
        </w:rPr>
        <w:t>）</w:t>
      </w:r>
      <w:r>
        <w:rPr>
          <w:sz w:val="24"/>
        </w:rPr>
        <w:t>、</w:t>
      </w:r>
      <w:r>
        <w:rPr>
          <w:spacing w:val="-5"/>
          <w:sz w:val="24"/>
        </w:rPr>
        <w:t>cycloserine</w:t>
      </w:r>
      <w:r>
        <w:rPr>
          <w:spacing w:val="-2"/>
          <w:sz w:val="24"/>
        </w:rPr>
        <w:t> 或 </w:t>
      </w:r>
      <w:r>
        <w:rPr>
          <w:spacing w:val="-5"/>
          <w:sz w:val="24"/>
        </w:rPr>
        <w:t>terizidone</w:t>
      </w:r>
      <w:r>
        <w:rPr>
          <w:sz w:val="24"/>
        </w:rPr>
        <w:t>。原則上優先選用 </w:t>
      </w:r>
      <w:r>
        <w:rPr>
          <w:spacing w:val="-4"/>
          <w:sz w:val="24"/>
        </w:rPr>
        <w:t>prothionamide</w:t>
      </w:r>
      <w:r>
        <w:rPr>
          <w:spacing w:val="-3"/>
          <w:sz w:val="24"/>
        </w:rPr>
        <w:t> 或</w:t>
      </w:r>
    </w:p>
    <w:p>
      <w:pPr>
        <w:pStyle w:val="BodyText"/>
        <w:spacing w:line="418" w:lineRule="exact"/>
        <w:ind w:left="1449"/>
      </w:pPr>
      <w:r>
        <w:rPr/>
        <w:t>ethionamide。</w:t>
      </w:r>
    </w:p>
    <w:p>
      <w:pPr>
        <w:pStyle w:val="ListParagraph"/>
        <w:numPr>
          <w:ilvl w:val="2"/>
          <w:numId w:val="32"/>
        </w:numPr>
        <w:tabs>
          <w:tab w:pos="962" w:val="left" w:leader="none"/>
        </w:tabs>
        <w:spacing w:line="220" w:lineRule="auto" w:before="181" w:after="0"/>
        <w:ind w:left="961" w:right="1362" w:hanging="671"/>
        <w:jc w:val="left"/>
        <w:rPr>
          <w:sz w:val="24"/>
        </w:rPr>
      </w:pPr>
      <w:bookmarkStart w:name="5.3.2 處方的調整：建議的處方如表5-3所列。所列之處方僅為原則上的建議，診" w:id="47"/>
      <w:bookmarkEnd w:id="47"/>
      <w:r>
        <w:rPr/>
      </w:r>
      <w:bookmarkStart w:name="5.3.2 處方的調整：建議的處方如表5-3所列。所列之處方僅為原則上的建議，診" w:id="48"/>
      <w:bookmarkEnd w:id="48"/>
      <w:r>
        <w:rPr>
          <w:b/>
          <w:spacing w:val="-1"/>
          <w:sz w:val="24"/>
        </w:rPr>
        <w:t>處方的調整：</w:t>
      </w:r>
      <w:r>
        <w:rPr>
          <w:spacing w:val="2"/>
          <w:sz w:val="24"/>
        </w:rPr>
        <w:t>建議的處方如表 </w:t>
      </w:r>
      <w:r>
        <w:rPr>
          <w:sz w:val="24"/>
        </w:rPr>
        <w:t>5-3</w:t>
      </w:r>
      <w:r>
        <w:rPr>
          <w:spacing w:val="-3"/>
          <w:sz w:val="24"/>
        </w:rPr>
        <w:t> 所列。所列之處方僅為原則上的建議，診治醫師</w:t>
      </w:r>
      <w:r>
        <w:rPr>
          <w:spacing w:val="3"/>
          <w:sz w:val="24"/>
        </w:rPr>
        <w:t>務必參酌病人病史及臨床狀況綜合判斷。</w:t>
      </w:r>
    </w:p>
    <w:p>
      <w:pPr>
        <w:pStyle w:val="ListParagraph"/>
        <w:numPr>
          <w:ilvl w:val="2"/>
          <w:numId w:val="32"/>
        </w:numPr>
        <w:tabs>
          <w:tab w:pos="962" w:val="left" w:leader="none"/>
        </w:tabs>
        <w:spacing w:line="423" w:lineRule="exact" w:before="164" w:after="0"/>
        <w:ind w:left="962" w:right="0" w:hanging="671"/>
        <w:jc w:val="left"/>
        <w:rPr>
          <w:color w:val="FF0000"/>
          <w:sz w:val="24"/>
        </w:rPr>
      </w:pPr>
      <w:bookmarkStart w:name="5.3.3 療程的建議：rifampin和rifabutin為主要藥物的處方，一" w:id="49"/>
      <w:bookmarkEnd w:id="49"/>
      <w:r>
        <w:rPr/>
      </w:r>
      <w:bookmarkStart w:name="5.3.3 療程的建議：rifampin和rifabutin為主要藥物的處方，一" w:id="50"/>
      <w:bookmarkEnd w:id="50"/>
      <w:r>
        <w:rPr>
          <w:b/>
          <w:color w:val="FF0000"/>
          <w:spacing w:val="2"/>
          <w:sz w:val="24"/>
        </w:rPr>
        <w:t>療程的建議：</w:t>
      </w:r>
      <w:r>
        <w:rPr>
          <w:color w:val="FF0000"/>
          <w:sz w:val="24"/>
        </w:rPr>
        <w:t>rifampin</w:t>
      </w:r>
      <w:r>
        <w:rPr>
          <w:color w:val="FF0000"/>
          <w:spacing w:val="38"/>
          <w:sz w:val="24"/>
        </w:rPr>
        <w:t> 和 </w:t>
      </w:r>
      <w:r>
        <w:rPr>
          <w:color w:val="FF0000"/>
          <w:sz w:val="24"/>
        </w:rPr>
        <w:t>rifabutin</w:t>
      </w:r>
      <w:r>
        <w:rPr>
          <w:color w:val="FF0000"/>
          <w:spacing w:val="6"/>
          <w:sz w:val="24"/>
        </w:rPr>
        <w:t> 為主要藥物的處方，一般療程為 </w:t>
      </w:r>
      <w:r>
        <w:rPr>
          <w:color w:val="FF0000"/>
          <w:sz w:val="24"/>
        </w:rPr>
        <w:t>6-9</w:t>
      </w:r>
      <w:r>
        <w:rPr>
          <w:color w:val="FF0000"/>
          <w:spacing w:val="15"/>
          <w:sz w:val="24"/>
        </w:rPr>
        <w:t> 個月。</w:t>
      </w:r>
    </w:p>
    <w:p>
      <w:pPr>
        <w:pStyle w:val="BodyText"/>
        <w:spacing w:line="423" w:lineRule="exact"/>
        <w:ind w:left="961"/>
      </w:pPr>
      <w:r>
        <w:rPr>
          <w:color w:val="FF0000"/>
        </w:rPr>
        <w:t>rifampin 和 rifabutin 無法全程使用的處方，療程通常較長。</w:t>
      </w:r>
    </w:p>
    <w:p>
      <w:pPr>
        <w:pStyle w:val="BodyText"/>
        <w:spacing w:before="7"/>
        <w:rPr>
          <w:sz w:val="20"/>
        </w:rPr>
      </w:pPr>
    </w:p>
    <w:p>
      <w:pPr>
        <w:pStyle w:val="Heading7"/>
        <w:spacing w:line="426" w:lineRule="exact"/>
        <w:ind w:left="291"/>
        <w:jc w:val="left"/>
      </w:pPr>
      <w:bookmarkStart w:name="結語：" w:id="51"/>
      <w:bookmarkEnd w:id="51"/>
      <w:r>
        <w:rPr>
          <w:b w:val="0"/>
        </w:rPr>
      </w:r>
      <w:r>
        <w:rPr/>
        <w:t>結語：</w:t>
      </w:r>
    </w:p>
    <w:p>
      <w:pPr>
        <w:pStyle w:val="BodyText"/>
        <w:spacing w:line="220" w:lineRule="auto" w:before="11"/>
        <w:ind w:left="322" w:right="1357" w:firstLine="426"/>
      </w:pPr>
      <w:r>
        <w:rPr>
          <w:spacing w:val="-5"/>
        </w:rPr>
        <w:t>結核病的治療，通常需要六個月以上的時間，不是幾個星期就可以完全治好的，診治</w:t>
      </w:r>
      <w:r>
        <w:rPr>
          <w:spacing w:val="-1"/>
        </w:rPr>
        <w:t>醫師在整個過程中，必須定期追蹤細菌學檢驗、胸部 </w:t>
      </w:r>
      <w:r>
        <w:rPr/>
        <w:t>X 光檢查，並隨時注意臨床症狀的</w:t>
      </w:r>
    </w:p>
    <w:p>
      <w:pPr>
        <w:spacing w:after="0" w:line="220" w:lineRule="auto"/>
        <w:sectPr>
          <w:pgSz w:w="12250" w:h="17190"/>
          <w:pgMar w:header="0" w:footer="748" w:top="1460" w:bottom="1020" w:left="1180" w:right="0"/>
        </w:sectPr>
      </w:pPr>
    </w:p>
    <w:p>
      <w:pPr>
        <w:pStyle w:val="BodyText"/>
        <w:spacing w:line="220" w:lineRule="auto" w:before="44"/>
        <w:ind w:left="322" w:right="1358"/>
      </w:pPr>
      <w:r>
        <w:rPr>
          <w:spacing w:val="-9"/>
        </w:rPr>
        <w:t>變化，迅速妥善處理藥物的不良反應，以增進病人服藥順從性，提升完治率，如此才能有</w:t>
      </w:r>
      <w:r>
        <w:rPr>
          <w:spacing w:val="2"/>
        </w:rPr>
        <w:t>效控制結核病。</w:t>
      </w:r>
    </w:p>
    <w:p>
      <w:pPr>
        <w:spacing w:after="0" w:line="220" w:lineRule="auto"/>
        <w:sectPr>
          <w:pgSz w:w="12250" w:h="17190"/>
          <w:pgMar w:header="0" w:footer="748" w:top="1460" w:bottom="1020" w:left="1180" w:right="0"/>
        </w:sectPr>
      </w:pPr>
    </w:p>
    <w:p>
      <w:pPr>
        <w:pStyle w:val="Heading6"/>
        <w:spacing w:line="458" w:lineRule="exact" w:before="8"/>
        <w:ind w:left="180"/>
      </w:pPr>
      <w:r>
        <w:rPr/>
        <w:pict>
          <v:group style="position:absolute;margin-left:571.5pt;margin-top:2.645657pt;width:40.9pt;height:296.5pt;mso-position-horizontal-relative:page;mso-position-vertical-relative:paragraph;z-index:251703296" coordorigin="11430,53" coordsize="818,5930">
            <v:shape style="position:absolute;left:11430;top:52;width:818;height:5930" coordorigin="11430,53" coordsize="818,5930" path="m12247,53l11595,53,11531,66,11478,101,11443,154,11430,218,11430,5818,11443,5882,11478,5934,11531,5970,11595,5983,12247,5983,12247,53xe" filled="true" fillcolor="#a6a6a6" stroked="false">
              <v:path arrowok="t"/>
              <v:fill type="solid"/>
            </v:shape>
            <v:shape style="position:absolute;left:11430;top:52;width:818;height:5930" type="#_x0000_t202" filled="false" stroked="false">
              <v:textbox inset="0,0,0,0">
                <w:txbxContent>
                  <w:p>
                    <w:pPr>
                      <w:spacing w:line="146" w:lineRule="auto" w:before="127"/>
                      <w:ind w:left="136" w:right="458" w:firstLine="0"/>
                      <w:jc w:val="both"/>
                      <w:rPr>
                        <w:sz w:val="22"/>
                      </w:rPr>
                    </w:pPr>
                    <w:r>
                      <w:rPr>
                        <w:sz w:val="22"/>
                      </w:rPr>
                      <w:t>第五章</w:t>
                    </w:r>
                  </w:p>
                  <w:p>
                    <w:pPr>
                      <w:spacing w:line="141" w:lineRule="auto" w:before="175"/>
                      <w:ind w:left="136" w:right="458" w:firstLine="0"/>
                      <w:jc w:val="both"/>
                      <w:rPr>
                        <w:sz w:val="22"/>
                      </w:rPr>
                    </w:pPr>
                    <w:r>
                      <w:rPr>
                        <w:sz w:val="22"/>
                      </w:rPr>
                      <w:t>治療期間之監測與不良反應之處理及處方調整</w:t>
                    </w:r>
                  </w:p>
                </w:txbxContent>
              </v:textbox>
              <w10:wrap type="none"/>
            </v:shape>
            <w10:wrap type="none"/>
          </v:group>
        </w:pict>
      </w:r>
      <w:bookmarkStart w:name="參考文獻" w:id="52"/>
      <w:bookmarkEnd w:id="52"/>
      <w:r>
        <w:rPr>
          <w:b w:val="0"/>
        </w:rPr>
      </w:r>
      <w:r>
        <w:rPr/>
        <w:t>參考文獻</w:t>
      </w:r>
    </w:p>
    <w:p>
      <w:pPr>
        <w:pStyle w:val="ListParagraph"/>
        <w:numPr>
          <w:ilvl w:val="3"/>
          <w:numId w:val="32"/>
        </w:numPr>
        <w:tabs>
          <w:tab w:pos="959" w:val="left" w:leader="none"/>
        </w:tabs>
        <w:spacing w:line="228" w:lineRule="auto" w:before="14" w:after="0"/>
        <w:ind w:left="958" w:right="1357" w:hanging="371"/>
        <w:jc w:val="both"/>
        <w:rPr>
          <w:sz w:val="23"/>
        </w:rPr>
      </w:pPr>
      <w:r>
        <w:rPr>
          <w:spacing w:val="-4"/>
          <w:sz w:val="23"/>
        </w:rPr>
        <w:t>World </w:t>
      </w:r>
      <w:r>
        <w:rPr>
          <w:sz w:val="23"/>
        </w:rPr>
        <w:t>Health Organization. </w:t>
      </w:r>
      <w:r>
        <w:rPr>
          <w:spacing w:val="-5"/>
          <w:sz w:val="23"/>
        </w:rPr>
        <w:t>Treatment </w:t>
      </w:r>
      <w:r>
        <w:rPr>
          <w:sz w:val="23"/>
        </w:rPr>
        <w:t>of </w:t>
      </w:r>
      <w:r>
        <w:rPr>
          <w:spacing w:val="-4"/>
          <w:sz w:val="23"/>
        </w:rPr>
        <w:t>Tuberculosis: </w:t>
      </w:r>
      <w:r>
        <w:rPr>
          <w:sz w:val="23"/>
        </w:rPr>
        <w:t>Guidelines for National </w:t>
      </w:r>
      <w:r>
        <w:rPr>
          <w:spacing w:val="-3"/>
          <w:sz w:val="23"/>
        </w:rPr>
        <w:t>Programmes, </w:t>
      </w:r>
      <w:r>
        <w:rPr>
          <w:sz w:val="23"/>
        </w:rPr>
        <w:t>4th ed. </w:t>
      </w:r>
      <w:r>
        <w:rPr>
          <w:spacing w:val="-3"/>
          <w:sz w:val="23"/>
        </w:rPr>
        <w:t>World </w:t>
      </w:r>
      <w:r>
        <w:rPr>
          <w:sz w:val="23"/>
        </w:rPr>
        <w:t>Health </w:t>
      </w:r>
      <w:r>
        <w:rPr>
          <w:spacing w:val="-3"/>
          <w:sz w:val="23"/>
        </w:rPr>
        <w:t>Organization Document 2009; WHO/HTM/TB/ 2009.420. </w:t>
      </w:r>
      <w:hyperlink r:id="rId30">
        <w:r>
          <w:rPr>
            <w:sz w:val="23"/>
          </w:rPr>
          <w:t>http://whqlibdoc.who.int/publications/2010/9789241547833_eng.pdf,</w:t>
        </w:r>
      </w:hyperlink>
      <w:r>
        <w:rPr>
          <w:sz w:val="23"/>
        </w:rPr>
        <w:t> </w:t>
      </w:r>
      <w:r>
        <w:rPr>
          <w:spacing w:val="-4"/>
          <w:sz w:val="23"/>
        </w:rPr>
        <w:t>online </w:t>
      </w:r>
      <w:r>
        <w:rPr>
          <w:sz w:val="23"/>
        </w:rPr>
        <w:t>version accessed on</w:t>
      </w:r>
      <w:r>
        <w:rPr>
          <w:spacing w:val="-10"/>
          <w:sz w:val="23"/>
        </w:rPr>
        <w:t> </w:t>
      </w:r>
      <w:r>
        <w:rPr>
          <w:sz w:val="23"/>
        </w:rPr>
        <w:t>2017-07-19.</w:t>
      </w:r>
    </w:p>
    <w:p>
      <w:pPr>
        <w:pStyle w:val="ListParagraph"/>
        <w:numPr>
          <w:ilvl w:val="3"/>
          <w:numId w:val="32"/>
        </w:numPr>
        <w:tabs>
          <w:tab w:pos="967" w:val="left" w:leader="none"/>
        </w:tabs>
        <w:spacing w:line="228" w:lineRule="auto" w:before="1" w:after="0"/>
        <w:ind w:left="966" w:right="1357" w:hanging="380"/>
        <w:jc w:val="both"/>
        <w:rPr>
          <w:sz w:val="23"/>
        </w:rPr>
      </w:pPr>
      <w:r>
        <w:rPr>
          <w:sz w:val="23"/>
        </w:rPr>
        <w:t>American Thoracic Society, CDC, and Infectious Diseases Society of America. </w:t>
      </w:r>
      <w:r>
        <w:rPr>
          <w:spacing w:val="-5"/>
          <w:sz w:val="23"/>
        </w:rPr>
        <w:t>Treatment </w:t>
      </w:r>
      <w:r>
        <w:rPr>
          <w:sz w:val="23"/>
        </w:rPr>
        <w:t>of </w:t>
      </w:r>
      <w:r>
        <w:rPr>
          <w:spacing w:val="-4"/>
          <w:sz w:val="23"/>
        </w:rPr>
        <w:t>Tuberculosis. </w:t>
      </w:r>
      <w:r>
        <w:rPr>
          <w:sz w:val="23"/>
        </w:rPr>
        <w:t>MMWR 2003; 52:</w:t>
      </w:r>
      <w:r>
        <w:rPr>
          <w:spacing w:val="-7"/>
          <w:sz w:val="23"/>
        </w:rPr>
        <w:t> </w:t>
      </w:r>
      <w:r>
        <w:rPr>
          <w:sz w:val="23"/>
        </w:rPr>
        <w:t>RR-11</w:t>
      </w:r>
    </w:p>
    <w:p>
      <w:pPr>
        <w:pStyle w:val="ListParagraph"/>
        <w:numPr>
          <w:ilvl w:val="3"/>
          <w:numId w:val="32"/>
        </w:numPr>
        <w:tabs>
          <w:tab w:pos="967" w:val="left" w:leader="none"/>
        </w:tabs>
        <w:spacing w:line="228" w:lineRule="auto" w:before="0" w:after="0"/>
        <w:ind w:left="966" w:right="1360" w:hanging="380"/>
        <w:jc w:val="both"/>
        <w:rPr>
          <w:color w:val="FF0000"/>
          <w:sz w:val="23"/>
        </w:rPr>
      </w:pPr>
      <w:r>
        <w:rPr>
          <w:color w:val="FF0000"/>
          <w:sz w:val="23"/>
        </w:rPr>
        <w:t>Menzies</w:t>
      </w:r>
      <w:r>
        <w:rPr>
          <w:color w:val="FF0000"/>
          <w:spacing w:val="-10"/>
          <w:sz w:val="23"/>
        </w:rPr>
        <w:t> </w:t>
      </w:r>
      <w:r>
        <w:rPr>
          <w:color w:val="FF0000"/>
          <w:sz w:val="23"/>
        </w:rPr>
        <w:t>D,</w:t>
      </w:r>
      <w:r>
        <w:rPr>
          <w:color w:val="FF0000"/>
          <w:spacing w:val="-11"/>
          <w:sz w:val="23"/>
        </w:rPr>
        <w:t> </w:t>
      </w:r>
      <w:r>
        <w:rPr>
          <w:color w:val="FF0000"/>
          <w:sz w:val="23"/>
        </w:rPr>
        <w:t>Adjobimey</w:t>
      </w:r>
      <w:r>
        <w:rPr>
          <w:color w:val="FF0000"/>
          <w:spacing w:val="-10"/>
          <w:sz w:val="23"/>
        </w:rPr>
        <w:t> </w:t>
      </w:r>
      <w:r>
        <w:rPr>
          <w:color w:val="FF0000"/>
          <w:sz w:val="23"/>
        </w:rPr>
        <w:t>M,</w:t>
      </w:r>
      <w:r>
        <w:rPr>
          <w:color w:val="FF0000"/>
          <w:spacing w:val="-10"/>
          <w:sz w:val="23"/>
        </w:rPr>
        <w:t> </w:t>
      </w:r>
      <w:r>
        <w:rPr>
          <w:color w:val="FF0000"/>
          <w:sz w:val="23"/>
        </w:rPr>
        <w:t>Ruslami</w:t>
      </w:r>
      <w:r>
        <w:rPr>
          <w:color w:val="FF0000"/>
          <w:spacing w:val="-11"/>
          <w:sz w:val="23"/>
        </w:rPr>
        <w:t> </w:t>
      </w:r>
      <w:r>
        <w:rPr>
          <w:color w:val="FF0000"/>
          <w:sz w:val="23"/>
        </w:rPr>
        <w:t>R,</w:t>
      </w:r>
      <w:r>
        <w:rPr>
          <w:color w:val="FF0000"/>
          <w:spacing w:val="-10"/>
          <w:sz w:val="23"/>
        </w:rPr>
        <w:t> </w:t>
      </w:r>
      <w:r>
        <w:rPr>
          <w:color w:val="FF0000"/>
          <w:sz w:val="23"/>
        </w:rPr>
        <w:t>et</w:t>
      </w:r>
      <w:r>
        <w:rPr>
          <w:color w:val="FF0000"/>
          <w:spacing w:val="-10"/>
          <w:sz w:val="23"/>
        </w:rPr>
        <w:t> </w:t>
      </w:r>
      <w:r>
        <w:rPr>
          <w:color w:val="FF0000"/>
          <w:sz w:val="23"/>
        </w:rPr>
        <w:t>al.</w:t>
      </w:r>
      <w:r>
        <w:rPr>
          <w:color w:val="FF0000"/>
          <w:spacing w:val="-10"/>
          <w:sz w:val="23"/>
        </w:rPr>
        <w:t> </w:t>
      </w:r>
      <w:r>
        <w:rPr>
          <w:color w:val="FF0000"/>
          <w:sz w:val="23"/>
        </w:rPr>
        <w:t>Four</w:t>
      </w:r>
      <w:r>
        <w:rPr>
          <w:color w:val="FF0000"/>
          <w:spacing w:val="-10"/>
          <w:sz w:val="23"/>
        </w:rPr>
        <w:t> </w:t>
      </w:r>
      <w:r>
        <w:rPr>
          <w:color w:val="FF0000"/>
          <w:sz w:val="23"/>
        </w:rPr>
        <w:t>months</w:t>
      </w:r>
      <w:r>
        <w:rPr>
          <w:color w:val="FF0000"/>
          <w:spacing w:val="-9"/>
          <w:sz w:val="23"/>
        </w:rPr>
        <w:t> </w:t>
      </w:r>
      <w:r>
        <w:rPr>
          <w:color w:val="FF0000"/>
          <w:sz w:val="23"/>
        </w:rPr>
        <w:t>of</w:t>
      </w:r>
      <w:r>
        <w:rPr>
          <w:color w:val="FF0000"/>
          <w:spacing w:val="-10"/>
          <w:sz w:val="23"/>
        </w:rPr>
        <w:t> </w:t>
      </w:r>
      <w:r>
        <w:rPr>
          <w:color w:val="FF0000"/>
          <w:sz w:val="23"/>
        </w:rPr>
        <w:t>rifampin</w:t>
      </w:r>
      <w:r>
        <w:rPr>
          <w:color w:val="FF0000"/>
          <w:spacing w:val="-11"/>
          <w:sz w:val="23"/>
        </w:rPr>
        <w:t> </w:t>
      </w:r>
      <w:r>
        <w:rPr>
          <w:color w:val="FF0000"/>
          <w:sz w:val="23"/>
        </w:rPr>
        <w:t>or</w:t>
      </w:r>
      <w:r>
        <w:rPr>
          <w:color w:val="FF0000"/>
          <w:spacing w:val="-11"/>
          <w:sz w:val="23"/>
        </w:rPr>
        <w:t> </w:t>
      </w:r>
      <w:r>
        <w:rPr>
          <w:color w:val="FF0000"/>
          <w:sz w:val="23"/>
        </w:rPr>
        <w:t>nine</w:t>
      </w:r>
      <w:r>
        <w:rPr>
          <w:color w:val="FF0000"/>
          <w:spacing w:val="-10"/>
          <w:sz w:val="23"/>
        </w:rPr>
        <w:t> </w:t>
      </w:r>
      <w:r>
        <w:rPr>
          <w:color w:val="FF0000"/>
          <w:sz w:val="23"/>
        </w:rPr>
        <w:t>months of isoniazid for latent tuberculosis in adults. N Engl J Med 2018;379:</w:t>
      </w:r>
      <w:r>
        <w:rPr>
          <w:color w:val="FF0000"/>
          <w:spacing w:val="-18"/>
          <w:sz w:val="23"/>
        </w:rPr>
        <w:t> </w:t>
      </w:r>
      <w:r>
        <w:rPr>
          <w:color w:val="FF0000"/>
          <w:sz w:val="23"/>
        </w:rPr>
        <w:t>440-53.</w:t>
      </w:r>
    </w:p>
    <w:p>
      <w:pPr>
        <w:pStyle w:val="ListParagraph"/>
        <w:numPr>
          <w:ilvl w:val="3"/>
          <w:numId w:val="32"/>
        </w:numPr>
        <w:tabs>
          <w:tab w:pos="967" w:val="left" w:leader="none"/>
        </w:tabs>
        <w:spacing w:line="228" w:lineRule="auto" w:before="1" w:after="0"/>
        <w:ind w:left="966" w:right="1358" w:hanging="380"/>
        <w:jc w:val="both"/>
        <w:rPr>
          <w:sz w:val="23"/>
        </w:rPr>
      </w:pPr>
      <w:r>
        <w:rPr>
          <w:sz w:val="23"/>
        </w:rPr>
        <w:t>Ormerod </w:t>
      </w:r>
      <w:r>
        <w:rPr>
          <w:spacing w:val="-10"/>
          <w:sz w:val="23"/>
        </w:rPr>
        <w:t>LP, </w:t>
      </w:r>
      <w:r>
        <w:rPr>
          <w:sz w:val="23"/>
        </w:rPr>
        <w:t>Horsfield N. Frequency and type of reactions to antituberculosis drugs: observations in routine treatment. </w:t>
      </w:r>
      <w:r>
        <w:rPr>
          <w:spacing w:val="-6"/>
          <w:sz w:val="23"/>
        </w:rPr>
        <w:t>Tuber </w:t>
      </w:r>
      <w:r>
        <w:rPr>
          <w:sz w:val="23"/>
        </w:rPr>
        <w:t>Lung Dis 1996; 77:</w:t>
      </w:r>
      <w:r>
        <w:rPr>
          <w:spacing w:val="-25"/>
          <w:sz w:val="23"/>
        </w:rPr>
        <w:t> </w:t>
      </w:r>
      <w:r>
        <w:rPr>
          <w:sz w:val="23"/>
        </w:rPr>
        <w:t>37-42.</w:t>
      </w:r>
    </w:p>
    <w:p>
      <w:pPr>
        <w:pStyle w:val="ListParagraph"/>
        <w:numPr>
          <w:ilvl w:val="3"/>
          <w:numId w:val="32"/>
        </w:numPr>
        <w:tabs>
          <w:tab w:pos="959" w:val="left" w:leader="none"/>
        </w:tabs>
        <w:spacing w:line="228" w:lineRule="auto" w:before="0" w:after="0"/>
        <w:ind w:left="958" w:right="1357" w:hanging="371"/>
        <w:jc w:val="both"/>
        <w:rPr>
          <w:sz w:val="23"/>
        </w:rPr>
      </w:pPr>
      <w:r>
        <w:rPr>
          <w:spacing w:val="-4"/>
          <w:sz w:val="23"/>
        </w:rPr>
        <w:t>Steele</w:t>
      </w:r>
      <w:r>
        <w:rPr>
          <w:spacing w:val="-21"/>
          <w:sz w:val="23"/>
        </w:rPr>
        <w:t> </w:t>
      </w:r>
      <w:r>
        <w:rPr>
          <w:sz w:val="23"/>
        </w:rPr>
        <w:t>MA,</w:t>
      </w:r>
      <w:r>
        <w:rPr>
          <w:spacing w:val="-10"/>
          <w:sz w:val="23"/>
        </w:rPr>
        <w:t> </w:t>
      </w:r>
      <w:r>
        <w:rPr>
          <w:sz w:val="23"/>
        </w:rPr>
        <w:t>Burk</w:t>
      </w:r>
      <w:r>
        <w:rPr>
          <w:spacing w:val="-15"/>
          <w:sz w:val="23"/>
        </w:rPr>
        <w:t> </w:t>
      </w:r>
      <w:r>
        <w:rPr>
          <w:spacing w:val="-6"/>
          <w:sz w:val="23"/>
        </w:rPr>
        <w:t>RF,</w:t>
      </w:r>
      <w:r>
        <w:rPr>
          <w:spacing w:val="-29"/>
          <w:sz w:val="23"/>
        </w:rPr>
        <w:t> </w:t>
      </w:r>
      <w:r>
        <w:rPr>
          <w:sz w:val="23"/>
        </w:rPr>
        <w:t>DesPrez</w:t>
      </w:r>
      <w:r>
        <w:rPr>
          <w:spacing w:val="-14"/>
          <w:sz w:val="23"/>
        </w:rPr>
        <w:t> </w:t>
      </w:r>
      <w:r>
        <w:rPr>
          <w:sz w:val="23"/>
        </w:rPr>
        <w:t>RM.</w:t>
      </w:r>
      <w:r>
        <w:rPr>
          <w:spacing w:val="-14"/>
          <w:sz w:val="23"/>
        </w:rPr>
        <w:t> </w:t>
      </w:r>
      <w:r>
        <w:rPr>
          <w:spacing w:val="-6"/>
          <w:sz w:val="23"/>
        </w:rPr>
        <w:t>Toxic</w:t>
      </w:r>
      <w:r>
        <w:rPr>
          <w:spacing w:val="-27"/>
          <w:sz w:val="23"/>
        </w:rPr>
        <w:t> </w:t>
      </w:r>
      <w:r>
        <w:rPr>
          <w:sz w:val="23"/>
        </w:rPr>
        <w:t>hepatitis</w:t>
      </w:r>
      <w:r>
        <w:rPr>
          <w:spacing w:val="-14"/>
          <w:sz w:val="23"/>
        </w:rPr>
        <w:t> </w:t>
      </w:r>
      <w:r>
        <w:rPr>
          <w:sz w:val="23"/>
        </w:rPr>
        <w:t>with</w:t>
      </w:r>
      <w:r>
        <w:rPr>
          <w:spacing w:val="-13"/>
          <w:sz w:val="23"/>
        </w:rPr>
        <w:t> </w:t>
      </w:r>
      <w:r>
        <w:rPr>
          <w:sz w:val="23"/>
        </w:rPr>
        <w:t>isoniazid</w:t>
      </w:r>
      <w:r>
        <w:rPr>
          <w:spacing w:val="-14"/>
          <w:sz w:val="23"/>
        </w:rPr>
        <w:t> </w:t>
      </w:r>
      <w:r>
        <w:rPr>
          <w:sz w:val="23"/>
        </w:rPr>
        <w:t>and</w:t>
      </w:r>
      <w:r>
        <w:rPr>
          <w:spacing w:val="-13"/>
          <w:sz w:val="23"/>
        </w:rPr>
        <w:t> </w:t>
      </w:r>
      <w:r>
        <w:rPr>
          <w:sz w:val="23"/>
        </w:rPr>
        <w:t>rifampin:</w:t>
      </w:r>
      <w:r>
        <w:rPr>
          <w:spacing w:val="-14"/>
          <w:sz w:val="23"/>
        </w:rPr>
        <w:t> </w:t>
      </w:r>
      <w:r>
        <w:rPr>
          <w:sz w:val="23"/>
        </w:rPr>
        <w:t>a</w:t>
      </w:r>
      <w:r>
        <w:rPr>
          <w:spacing w:val="-16"/>
          <w:sz w:val="23"/>
        </w:rPr>
        <w:t> </w:t>
      </w:r>
      <w:r>
        <w:rPr>
          <w:sz w:val="23"/>
        </w:rPr>
        <w:t>meta- analysis. Chest 1991; 99:</w:t>
      </w:r>
      <w:r>
        <w:rPr>
          <w:spacing w:val="-10"/>
          <w:sz w:val="23"/>
        </w:rPr>
        <w:t> </w:t>
      </w:r>
      <w:r>
        <w:rPr>
          <w:sz w:val="23"/>
        </w:rPr>
        <w:t>465-71.</w:t>
      </w:r>
    </w:p>
    <w:p>
      <w:pPr>
        <w:pStyle w:val="ListParagraph"/>
        <w:numPr>
          <w:ilvl w:val="3"/>
          <w:numId w:val="32"/>
        </w:numPr>
        <w:tabs>
          <w:tab w:pos="967" w:val="left" w:leader="none"/>
        </w:tabs>
        <w:spacing w:line="228" w:lineRule="auto" w:before="1" w:after="0"/>
        <w:ind w:left="966" w:right="1357" w:hanging="380"/>
        <w:jc w:val="both"/>
        <w:rPr>
          <w:sz w:val="23"/>
        </w:rPr>
      </w:pPr>
      <w:r>
        <w:rPr>
          <w:sz w:val="23"/>
        </w:rPr>
        <w:t>Saukkonen</w:t>
      </w:r>
      <w:r>
        <w:rPr>
          <w:spacing w:val="-16"/>
          <w:sz w:val="23"/>
        </w:rPr>
        <w:t> </w:t>
      </w:r>
      <w:r>
        <w:rPr>
          <w:spacing w:val="-5"/>
          <w:sz w:val="23"/>
        </w:rPr>
        <w:t>JJ,</w:t>
      </w:r>
      <w:r>
        <w:rPr>
          <w:spacing w:val="-27"/>
          <w:sz w:val="23"/>
        </w:rPr>
        <w:t> </w:t>
      </w:r>
      <w:r>
        <w:rPr>
          <w:sz w:val="23"/>
        </w:rPr>
        <w:t>Cohn,</w:t>
      </w:r>
      <w:r>
        <w:rPr>
          <w:spacing w:val="-15"/>
          <w:sz w:val="23"/>
        </w:rPr>
        <w:t> </w:t>
      </w:r>
      <w:r>
        <w:rPr>
          <w:sz w:val="23"/>
        </w:rPr>
        <w:t>DL,</w:t>
      </w:r>
      <w:r>
        <w:rPr>
          <w:spacing w:val="-16"/>
          <w:sz w:val="23"/>
        </w:rPr>
        <w:t> </w:t>
      </w:r>
      <w:r>
        <w:rPr>
          <w:sz w:val="23"/>
        </w:rPr>
        <w:t>Jasmer</w:t>
      </w:r>
      <w:r>
        <w:rPr>
          <w:spacing w:val="-15"/>
          <w:sz w:val="23"/>
        </w:rPr>
        <w:t> </w:t>
      </w:r>
      <w:r>
        <w:rPr>
          <w:sz w:val="23"/>
        </w:rPr>
        <w:t>RM,</w:t>
      </w:r>
      <w:r>
        <w:rPr>
          <w:spacing w:val="-16"/>
          <w:sz w:val="23"/>
        </w:rPr>
        <w:t> </w:t>
      </w:r>
      <w:r>
        <w:rPr>
          <w:sz w:val="23"/>
        </w:rPr>
        <w:t>et</w:t>
      </w:r>
      <w:r>
        <w:rPr>
          <w:spacing w:val="-14"/>
          <w:sz w:val="23"/>
        </w:rPr>
        <w:t> </w:t>
      </w:r>
      <w:r>
        <w:rPr>
          <w:sz w:val="23"/>
        </w:rPr>
        <w:t>al.</w:t>
      </w:r>
      <w:r>
        <w:rPr>
          <w:spacing w:val="-15"/>
          <w:sz w:val="23"/>
        </w:rPr>
        <w:t> </w:t>
      </w:r>
      <w:r>
        <w:rPr>
          <w:sz w:val="23"/>
        </w:rPr>
        <w:t>An</w:t>
      </w:r>
      <w:r>
        <w:rPr>
          <w:spacing w:val="-14"/>
          <w:sz w:val="23"/>
        </w:rPr>
        <w:t> </w:t>
      </w:r>
      <w:r>
        <w:rPr>
          <w:sz w:val="23"/>
        </w:rPr>
        <w:t>Official</w:t>
      </w:r>
      <w:r>
        <w:rPr>
          <w:spacing w:val="-14"/>
          <w:sz w:val="23"/>
        </w:rPr>
        <w:t> </w:t>
      </w:r>
      <w:r>
        <w:rPr>
          <w:spacing w:val="-5"/>
          <w:sz w:val="23"/>
        </w:rPr>
        <w:t>ATS</w:t>
      </w:r>
      <w:r>
        <w:rPr>
          <w:spacing w:val="-27"/>
          <w:sz w:val="23"/>
        </w:rPr>
        <w:t> </w:t>
      </w:r>
      <w:r>
        <w:rPr>
          <w:sz w:val="23"/>
        </w:rPr>
        <w:t>Statement:</w:t>
      </w:r>
      <w:r>
        <w:rPr>
          <w:spacing w:val="-17"/>
          <w:sz w:val="23"/>
        </w:rPr>
        <w:t> </w:t>
      </w:r>
      <w:r>
        <w:rPr>
          <w:sz w:val="23"/>
        </w:rPr>
        <w:t>Hepatotoxicity of antituberculosis </w:t>
      </w:r>
      <w:r>
        <w:rPr>
          <w:spacing w:val="-4"/>
          <w:sz w:val="23"/>
        </w:rPr>
        <w:t>therapy. </w:t>
      </w:r>
      <w:r>
        <w:rPr>
          <w:sz w:val="23"/>
        </w:rPr>
        <w:t>Am J Respir Crit Care Med 2006; 174:</w:t>
      </w:r>
      <w:r>
        <w:rPr>
          <w:spacing w:val="-23"/>
          <w:sz w:val="23"/>
        </w:rPr>
        <w:t> </w:t>
      </w:r>
      <w:r>
        <w:rPr>
          <w:sz w:val="23"/>
        </w:rPr>
        <w:t>935-52.</w:t>
      </w:r>
    </w:p>
    <w:p>
      <w:pPr>
        <w:pStyle w:val="ListParagraph"/>
        <w:numPr>
          <w:ilvl w:val="3"/>
          <w:numId w:val="32"/>
        </w:numPr>
        <w:tabs>
          <w:tab w:pos="966" w:val="left" w:leader="none"/>
          <w:tab w:pos="967" w:val="left" w:leader="none"/>
        </w:tabs>
        <w:spacing w:line="228" w:lineRule="auto" w:before="0" w:after="0"/>
        <w:ind w:left="966" w:right="1359" w:hanging="380"/>
        <w:jc w:val="left"/>
        <w:rPr>
          <w:sz w:val="23"/>
        </w:rPr>
      </w:pPr>
      <w:r>
        <w:rPr>
          <w:sz w:val="23"/>
        </w:rPr>
        <w:t>Donald </w:t>
      </w:r>
      <w:r>
        <w:rPr>
          <w:spacing w:val="-12"/>
          <w:sz w:val="23"/>
        </w:rPr>
        <w:t>P, </w:t>
      </w:r>
      <w:r>
        <w:rPr>
          <w:sz w:val="23"/>
        </w:rPr>
        <w:t>Dermot M, Maritz S, Qazi SA, and World Health Organization. Ethambutol efficacy and </w:t>
      </w:r>
      <w:r>
        <w:rPr>
          <w:spacing w:val="-5"/>
          <w:sz w:val="23"/>
        </w:rPr>
        <w:t>toxicity. </w:t>
      </w:r>
      <w:r>
        <w:rPr>
          <w:sz w:val="23"/>
        </w:rPr>
        <w:t>World Health Organization Document 2006; WHO/HTM/TB/2006.365.</w:t>
      </w:r>
      <w:hyperlink r:id="rId31">
        <w:r>
          <w:rPr>
            <w:sz w:val="23"/>
          </w:rPr>
          <w:t> </w:t>
        </w:r>
        <w:r>
          <w:rPr>
            <w:spacing w:val="2"/>
            <w:sz w:val="23"/>
          </w:rPr>
          <w:t>http://apps.who.int/iris/bitstream/10665/69366/1/WHO_HTM_TB_2006.365_e</w:t>
        </w:r>
      </w:hyperlink>
      <w:hyperlink r:id="rId31">
        <w:r>
          <w:rPr>
            <w:spacing w:val="2"/>
            <w:sz w:val="23"/>
          </w:rPr>
          <w:t> ng.pdf?ua=1&amp;ua=1, </w:t>
        </w:r>
      </w:hyperlink>
      <w:r>
        <w:rPr>
          <w:sz w:val="23"/>
        </w:rPr>
        <w:t>online version accessed on</w:t>
      </w:r>
      <w:r>
        <w:rPr>
          <w:spacing w:val="-8"/>
          <w:sz w:val="23"/>
        </w:rPr>
        <w:t> </w:t>
      </w:r>
      <w:r>
        <w:rPr>
          <w:sz w:val="23"/>
        </w:rPr>
        <w:t>2017-07-19.</w:t>
      </w:r>
    </w:p>
    <w:p>
      <w:pPr>
        <w:pStyle w:val="ListParagraph"/>
        <w:numPr>
          <w:ilvl w:val="3"/>
          <w:numId w:val="32"/>
        </w:numPr>
        <w:tabs>
          <w:tab w:pos="967" w:val="left" w:leader="none"/>
        </w:tabs>
        <w:spacing w:line="228" w:lineRule="auto" w:before="2" w:after="0"/>
        <w:ind w:left="966" w:right="1355" w:hanging="380"/>
        <w:jc w:val="both"/>
        <w:rPr>
          <w:sz w:val="23"/>
        </w:rPr>
      </w:pPr>
      <w:r>
        <w:rPr>
          <w:sz w:val="23"/>
        </w:rPr>
        <w:t>Donald PR, Maher </w:t>
      </w:r>
      <w:r>
        <w:rPr>
          <w:spacing w:val="-5"/>
          <w:sz w:val="23"/>
        </w:rPr>
        <w:t>D, </w:t>
      </w:r>
      <w:r>
        <w:rPr>
          <w:sz w:val="23"/>
        </w:rPr>
        <w:t>Maritz JS, Qazi S. Ethambutol dosage for the treatment of children, literature review and recommendations. Int J </w:t>
      </w:r>
      <w:r>
        <w:rPr>
          <w:spacing w:val="-5"/>
          <w:sz w:val="23"/>
        </w:rPr>
        <w:t>Tuberc </w:t>
      </w:r>
      <w:r>
        <w:rPr>
          <w:sz w:val="23"/>
        </w:rPr>
        <w:t>Lung Dis 2006; 10: 1318-30.</w:t>
      </w:r>
    </w:p>
    <w:p>
      <w:pPr>
        <w:pStyle w:val="ListParagraph"/>
        <w:numPr>
          <w:ilvl w:val="3"/>
          <w:numId w:val="32"/>
        </w:numPr>
        <w:tabs>
          <w:tab w:pos="967" w:val="left" w:leader="none"/>
        </w:tabs>
        <w:spacing w:line="228" w:lineRule="auto" w:before="0" w:after="0"/>
        <w:ind w:left="966" w:right="1358" w:hanging="380"/>
        <w:jc w:val="both"/>
        <w:rPr>
          <w:color w:val="FF0000"/>
          <w:sz w:val="23"/>
        </w:rPr>
      </w:pPr>
      <w:r>
        <w:rPr>
          <w:color w:val="FF0000"/>
          <w:sz w:val="23"/>
        </w:rPr>
        <w:t>Gülbay BE, Gürkan ÖU, Yildiz ÖA, Önen ZP, Erkekol FÖ, Baççio</w:t>
      </w:r>
      <w:r>
        <w:rPr>
          <w:rFonts w:ascii="Calibri" w:hAnsi="Calibri"/>
          <w:color w:val="FF0000"/>
          <w:sz w:val="23"/>
        </w:rPr>
        <w:t>ğ</w:t>
      </w:r>
      <w:r>
        <w:rPr>
          <w:color w:val="FF0000"/>
          <w:sz w:val="23"/>
        </w:rPr>
        <w:t>lu </w:t>
      </w:r>
      <w:hyperlink r:id="rId32">
        <w:r>
          <w:rPr>
            <w:color w:val="FF0000"/>
            <w:sz w:val="23"/>
          </w:rPr>
          <w:t>A, </w:t>
        </w:r>
      </w:hyperlink>
      <w:r>
        <w:rPr>
          <w:color w:val="FF0000"/>
          <w:sz w:val="23"/>
        </w:rPr>
        <w:t>Acican </w:t>
      </w:r>
      <w:hyperlink r:id="rId33">
        <w:r>
          <w:rPr>
            <w:color w:val="FF0000"/>
            <w:sz w:val="23"/>
          </w:rPr>
          <w:t>T. </w:t>
        </w:r>
      </w:hyperlink>
      <w:r>
        <w:rPr>
          <w:color w:val="FF0000"/>
          <w:sz w:val="23"/>
        </w:rPr>
        <w:t>Side effects</w:t>
      </w:r>
      <w:r>
        <w:rPr>
          <w:color w:val="FF0000"/>
          <w:spacing w:val="-7"/>
          <w:sz w:val="23"/>
        </w:rPr>
        <w:t> </w:t>
      </w:r>
      <w:r>
        <w:rPr>
          <w:color w:val="FF0000"/>
          <w:sz w:val="23"/>
        </w:rPr>
        <w:t>due</w:t>
      </w:r>
      <w:r>
        <w:rPr>
          <w:color w:val="FF0000"/>
          <w:spacing w:val="-7"/>
          <w:sz w:val="23"/>
        </w:rPr>
        <w:t> </w:t>
      </w:r>
      <w:r>
        <w:rPr>
          <w:color w:val="FF0000"/>
          <w:sz w:val="23"/>
        </w:rPr>
        <w:t>to</w:t>
      </w:r>
      <w:r>
        <w:rPr>
          <w:color w:val="FF0000"/>
          <w:spacing w:val="-5"/>
          <w:sz w:val="23"/>
        </w:rPr>
        <w:t> </w:t>
      </w:r>
      <w:r>
        <w:rPr>
          <w:color w:val="FF0000"/>
          <w:sz w:val="23"/>
        </w:rPr>
        <w:t>primary</w:t>
      </w:r>
      <w:r>
        <w:rPr>
          <w:color w:val="FF0000"/>
          <w:spacing w:val="-7"/>
          <w:sz w:val="23"/>
        </w:rPr>
        <w:t> </w:t>
      </w:r>
      <w:r>
        <w:rPr>
          <w:color w:val="FF0000"/>
          <w:sz w:val="23"/>
        </w:rPr>
        <w:t>antituberculosis</w:t>
      </w:r>
      <w:r>
        <w:rPr>
          <w:color w:val="FF0000"/>
          <w:spacing w:val="-6"/>
          <w:sz w:val="23"/>
        </w:rPr>
        <w:t> </w:t>
      </w:r>
      <w:r>
        <w:rPr>
          <w:color w:val="FF0000"/>
          <w:sz w:val="23"/>
        </w:rPr>
        <w:t>drugs</w:t>
      </w:r>
      <w:r>
        <w:rPr>
          <w:color w:val="FF0000"/>
          <w:spacing w:val="-6"/>
          <w:sz w:val="23"/>
        </w:rPr>
        <w:t> </w:t>
      </w:r>
      <w:r>
        <w:rPr>
          <w:color w:val="FF0000"/>
          <w:sz w:val="23"/>
        </w:rPr>
        <w:t>during</w:t>
      </w:r>
      <w:r>
        <w:rPr>
          <w:color w:val="FF0000"/>
          <w:spacing w:val="-6"/>
          <w:sz w:val="23"/>
        </w:rPr>
        <w:t> </w:t>
      </w:r>
      <w:r>
        <w:rPr>
          <w:color w:val="FF0000"/>
          <w:sz w:val="23"/>
        </w:rPr>
        <w:t>the</w:t>
      </w:r>
      <w:r>
        <w:rPr>
          <w:color w:val="FF0000"/>
          <w:spacing w:val="-6"/>
          <w:sz w:val="23"/>
        </w:rPr>
        <w:t> </w:t>
      </w:r>
      <w:r>
        <w:rPr>
          <w:color w:val="FF0000"/>
          <w:sz w:val="23"/>
        </w:rPr>
        <w:t>initial</w:t>
      </w:r>
      <w:r>
        <w:rPr>
          <w:color w:val="FF0000"/>
          <w:spacing w:val="-6"/>
          <w:sz w:val="23"/>
        </w:rPr>
        <w:t> </w:t>
      </w:r>
      <w:r>
        <w:rPr>
          <w:color w:val="FF0000"/>
          <w:sz w:val="23"/>
        </w:rPr>
        <w:t>phase</w:t>
      </w:r>
      <w:r>
        <w:rPr>
          <w:color w:val="FF0000"/>
          <w:spacing w:val="-5"/>
          <w:sz w:val="23"/>
        </w:rPr>
        <w:t> </w:t>
      </w:r>
      <w:r>
        <w:rPr>
          <w:color w:val="FF0000"/>
          <w:sz w:val="23"/>
        </w:rPr>
        <w:t>of</w:t>
      </w:r>
      <w:r>
        <w:rPr>
          <w:color w:val="FF0000"/>
          <w:spacing w:val="-6"/>
          <w:sz w:val="23"/>
        </w:rPr>
        <w:t> </w:t>
      </w:r>
      <w:r>
        <w:rPr>
          <w:color w:val="FF0000"/>
          <w:sz w:val="23"/>
        </w:rPr>
        <w:t>therapy</w:t>
      </w:r>
      <w:r>
        <w:rPr>
          <w:color w:val="FF0000"/>
          <w:spacing w:val="-5"/>
          <w:sz w:val="23"/>
        </w:rPr>
        <w:t> </w:t>
      </w:r>
      <w:r>
        <w:rPr>
          <w:color w:val="FF0000"/>
          <w:sz w:val="23"/>
        </w:rPr>
        <w:t>in 1149 hospitalized patients for tuberculosis. Respir Med 2006; 100:</w:t>
      </w:r>
      <w:r>
        <w:rPr>
          <w:color w:val="FF0000"/>
          <w:spacing w:val="-19"/>
          <w:sz w:val="23"/>
        </w:rPr>
        <w:t> </w:t>
      </w:r>
      <w:r>
        <w:rPr>
          <w:color w:val="FF0000"/>
          <w:sz w:val="23"/>
        </w:rPr>
        <w:t>1834-42.</w:t>
      </w:r>
    </w:p>
    <w:p>
      <w:pPr>
        <w:pStyle w:val="ListParagraph"/>
        <w:numPr>
          <w:ilvl w:val="3"/>
          <w:numId w:val="32"/>
        </w:numPr>
        <w:tabs>
          <w:tab w:pos="967" w:val="left" w:leader="none"/>
        </w:tabs>
        <w:spacing w:line="228" w:lineRule="auto" w:before="0" w:after="0"/>
        <w:ind w:left="966" w:right="1357" w:hanging="380"/>
        <w:jc w:val="both"/>
        <w:rPr>
          <w:sz w:val="23"/>
        </w:rPr>
      </w:pPr>
      <w:r>
        <w:rPr>
          <w:sz w:val="23"/>
        </w:rPr>
        <w:t>Ezer N, Benedetti A, Darvish-Zargar M, Menzies </w:t>
      </w:r>
      <w:r>
        <w:rPr>
          <w:spacing w:val="-5"/>
          <w:sz w:val="23"/>
        </w:rPr>
        <w:t>D. </w:t>
      </w:r>
      <w:r>
        <w:rPr>
          <w:sz w:val="23"/>
        </w:rPr>
        <w:t>Incidence of ethambutol- related</w:t>
      </w:r>
      <w:r>
        <w:rPr>
          <w:spacing w:val="-15"/>
          <w:sz w:val="23"/>
        </w:rPr>
        <w:t> </w:t>
      </w:r>
      <w:r>
        <w:rPr>
          <w:sz w:val="23"/>
        </w:rPr>
        <w:t>visual</w:t>
      </w:r>
      <w:r>
        <w:rPr>
          <w:spacing w:val="-15"/>
          <w:sz w:val="23"/>
        </w:rPr>
        <w:t> </w:t>
      </w:r>
      <w:r>
        <w:rPr>
          <w:sz w:val="23"/>
        </w:rPr>
        <w:t>impairment</w:t>
      </w:r>
      <w:r>
        <w:rPr>
          <w:spacing w:val="-15"/>
          <w:sz w:val="23"/>
        </w:rPr>
        <w:t> </w:t>
      </w:r>
      <w:r>
        <w:rPr>
          <w:sz w:val="23"/>
        </w:rPr>
        <w:t>during</w:t>
      </w:r>
      <w:r>
        <w:rPr>
          <w:spacing w:val="-16"/>
          <w:sz w:val="23"/>
        </w:rPr>
        <w:t> </w:t>
      </w:r>
      <w:r>
        <w:rPr>
          <w:sz w:val="23"/>
        </w:rPr>
        <w:t>treatment</w:t>
      </w:r>
      <w:r>
        <w:rPr>
          <w:spacing w:val="-15"/>
          <w:sz w:val="23"/>
        </w:rPr>
        <w:t> </w:t>
      </w:r>
      <w:r>
        <w:rPr>
          <w:sz w:val="23"/>
        </w:rPr>
        <w:t>of</w:t>
      </w:r>
      <w:r>
        <w:rPr>
          <w:spacing w:val="-22"/>
          <w:sz w:val="23"/>
        </w:rPr>
        <w:t> </w:t>
      </w:r>
      <w:r>
        <w:rPr>
          <w:sz w:val="23"/>
        </w:rPr>
        <w:t>active</w:t>
      </w:r>
      <w:r>
        <w:rPr>
          <w:spacing w:val="-15"/>
          <w:sz w:val="23"/>
        </w:rPr>
        <w:t> </w:t>
      </w:r>
      <w:r>
        <w:rPr>
          <w:sz w:val="23"/>
        </w:rPr>
        <w:t>tuberculosis.</w:t>
      </w:r>
      <w:r>
        <w:rPr>
          <w:spacing w:val="-17"/>
          <w:sz w:val="23"/>
        </w:rPr>
        <w:t> </w:t>
      </w:r>
      <w:r>
        <w:rPr>
          <w:sz w:val="23"/>
        </w:rPr>
        <w:t>Int</w:t>
      </w:r>
      <w:r>
        <w:rPr>
          <w:spacing w:val="-16"/>
          <w:sz w:val="23"/>
        </w:rPr>
        <w:t> </w:t>
      </w:r>
      <w:r>
        <w:rPr>
          <w:sz w:val="23"/>
        </w:rPr>
        <w:t>J</w:t>
      </w:r>
      <w:r>
        <w:rPr>
          <w:spacing w:val="-16"/>
          <w:sz w:val="23"/>
        </w:rPr>
        <w:t> </w:t>
      </w:r>
      <w:r>
        <w:rPr>
          <w:spacing w:val="-5"/>
          <w:sz w:val="23"/>
        </w:rPr>
        <w:t>Tuberc</w:t>
      </w:r>
      <w:r>
        <w:rPr>
          <w:spacing w:val="-24"/>
          <w:sz w:val="23"/>
        </w:rPr>
        <w:t> </w:t>
      </w:r>
      <w:r>
        <w:rPr>
          <w:sz w:val="23"/>
        </w:rPr>
        <w:t>Lung Dis 2013; 17: 447-55.</w:t>
      </w:r>
    </w:p>
    <w:p>
      <w:pPr>
        <w:pStyle w:val="ListParagraph"/>
        <w:numPr>
          <w:ilvl w:val="3"/>
          <w:numId w:val="32"/>
        </w:numPr>
        <w:tabs>
          <w:tab w:pos="968" w:val="left" w:leader="none"/>
        </w:tabs>
        <w:spacing w:line="228" w:lineRule="auto" w:before="1" w:after="0"/>
        <w:ind w:left="967" w:right="1361" w:hanging="380"/>
        <w:jc w:val="both"/>
        <w:rPr>
          <w:color w:val="FF0000"/>
          <w:sz w:val="23"/>
        </w:rPr>
      </w:pPr>
      <w:r>
        <w:rPr>
          <w:color w:val="FF0000"/>
          <w:sz w:val="23"/>
        </w:rPr>
        <w:t>Chang CH, Chen YF, Wu VC, et al. Acute kidney injury due to anti-tuberculosis drugs: a five-year experience in an aging population. BMC Infect</w:t>
      </w:r>
      <w:r>
        <w:rPr>
          <w:color w:val="FF0000"/>
          <w:spacing w:val="-27"/>
          <w:sz w:val="23"/>
        </w:rPr>
        <w:t> </w:t>
      </w:r>
      <w:r>
        <w:rPr>
          <w:color w:val="FF0000"/>
          <w:sz w:val="23"/>
        </w:rPr>
        <w:t>Dis2014;14:23.</w:t>
      </w:r>
    </w:p>
    <w:p>
      <w:pPr>
        <w:pStyle w:val="ListParagraph"/>
        <w:numPr>
          <w:ilvl w:val="3"/>
          <w:numId w:val="32"/>
        </w:numPr>
        <w:tabs>
          <w:tab w:pos="968" w:val="left" w:leader="none"/>
        </w:tabs>
        <w:spacing w:line="228" w:lineRule="auto" w:before="0" w:after="0"/>
        <w:ind w:left="967" w:right="1359" w:hanging="380"/>
        <w:jc w:val="both"/>
        <w:rPr>
          <w:color w:val="FF0000"/>
          <w:sz w:val="23"/>
        </w:rPr>
      </w:pPr>
      <w:r>
        <w:rPr>
          <w:color w:val="FF0000"/>
          <w:sz w:val="23"/>
        </w:rPr>
        <w:t>Yee</w:t>
      </w:r>
      <w:r>
        <w:rPr>
          <w:color w:val="FF0000"/>
          <w:spacing w:val="-14"/>
          <w:sz w:val="23"/>
        </w:rPr>
        <w:t> </w:t>
      </w:r>
      <w:r>
        <w:rPr>
          <w:color w:val="FF0000"/>
          <w:sz w:val="23"/>
        </w:rPr>
        <w:t>D,</w:t>
      </w:r>
      <w:r>
        <w:rPr>
          <w:color w:val="FF0000"/>
          <w:spacing w:val="-13"/>
          <w:sz w:val="23"/>
        </w:rPr>
        <w:t> </w:t>
      </w:r>
      <w:r>
        <w:rPr>
          <w:color w:val="FF0000"/>
          <w:sz w:val="23"/>
        </w:rPr>
        <w:t>Valiquette</w:t>
      </w:r>
      <w:r>
        <w:rPr>
          <w:color w:val="FF0000"/>
          <w:spacing w:val="-14"/>
          <w:sz w:val="23"/>
        </w:rPr>
        <w:t> </w:t>
      </w:r>
      <w:r>
        <w:rPr>
          <w:color w:val="FF0000"/>
          <w:sz w:val="23"/>
        </w:rPr>
        <w:t>C,</w:t>
      </w:r>
      <w:r>
        <w:rPr>
          <w:color w:val="FF0000"/>
          <w:spacing w:val="-12"/>
          <w:sz w:val="23"/>
        </w:rPr>
        <w:t> </w:t>
      </w:r>
      <w:r>
        <w:rPr>
          <w:color w:val="FF0000"/>
          <w:sz w:val="23"/>
        </w:rPr>
        <w:t>Pelletier</w:t>
      </w:r>
      <w:r>
        <w:rPr>
          <w:color w:val="FF0000"/>
          <w:spacing w:val="-14"/>
          <w:sz w:val="23"/>
        </w:rPr>
        <w:t> </w:t>
      </w:r>
      <w:r>
        <w:rPr>
          <w:color w:val="FF0000"/>
          <w:sz w:val="23"/>
        </w:rPr>
        <w:t>M,</w:t>
      </w:r>
      <w:r>
        <w:rPr>
          <w:color w:val="FF0000"/>
          <w:spacing w:val="-14"/>
          <w:sz w:val="23"/>
        </w:rPr>
        <w:t> </w:t>
      </w:r>
      <w:r>
        <w:rPr>
          <w:color w:val="FF0000"/>
          <w:sz w:val="23"/>
        </w:rPr>
        <w:t>Parisien</w:t>
      </w:r>
      <w:r>
        <w:rPr>
          <w:color w:val="FF0000"/>
          <w:spacing w:val="-14"/>
          <w:sz w:val="23"/>
        </w:rPr>
        <w:t> </w:t>
      </w:r>
      <w:r>
        <w:rPr>
          <w:color w:val="FF0000"/>
          <w:sz w:val="23"/>
        </w:rPr>
        <w:t>I,</w:t>
      </w:r>
      <w:r>
        <w:rPr>
          <w:color w:val="FF0000"/>
          <w:spacing w:val="-13"/>
          <w:sz w:val="23"/>
        </w:rPr>
        <w:t> </w:t>
      </w:r>
      <w:r>
        <w:rPr>
          <w:color w:val="FF0000"/>
          <w:sz w:val="23"/>
        </w:rPr>
        <w:t>Rocher</w:t>
      </w:r>
      <w:r>
        <w:rPr>
          <w:color w:val="FF0000"/>
          <w:spacing w:val="-14"/>
          <w:sz w:val="23"/>
        </w:rPr>
        <w:t> </w:t>
      </w:r>
      <w:r>
        <w:rPr>
          <w:color w:val="FF0000"/>
          <w:sz w:val="23"/>
        </w:rPr>
        <w:t>I,</w:t>
      </w:r>
      <w:r>
        <w:rPr>
          <w:color w:val="FF0000"/>
          <w:spacing w:val="-13"/>
          <w:sz w:val="23"/>
        </w:rPr>
        <w:t> </w:t>
      </w:r>
      <w:r>
        <w:rPr>
          <w:color w:val="FF0000"/>
          <w:sz w:val="23"/>
        </w:rPr>
        <w:t>Menzies</w:t>
      </w:r>
      <w:r>
        <w:rPr>
          <w:color w:val="FF0000"/>
          <w:spacing w:val="-14"/>
          <w:sz w:val="23"/>
        </w:rPr>
        <w:t> </w:t>
      </w:r>
      <w:r>
        <w:rPr>
          <w:color w:val="FF0000"/>
          <w:sz w:val="23"/>
        </w:rPr>
        <w:t>D.</w:t>
      </w:r>
      <w:r>
        <w:rPr>
          <w:color w:val="FF0000"/>
          <w:spacing w:val="-13"/>
          <w:sz w:val="23"/>
        </w:rPr>
        <w:t> </w:t>
      </w:r>
      <w:r>
        <w:rPr>
          <w:color w:val="FF0000"/>
          <w:sz w:val="23"/>
        </w:rPr>
        <w:t>Incidence</w:t>
      </w:r>
      <w:r>
        <w:rPr>
          <w:color w:val="FF0000"/>
          <w:spacing w:val="-13"/>
          <w:sz w:val="23"/>
        </w:rPr>
        <w:t> </w:t>
      </w:r>
      <w:r>
        <w:rPr>
          <w:color w:val="FF0000"/>
          <w:sz w:val="23"/>
        </w:rPr>
        <w:t>of</w:t>
      </w:r>
      <w:r>
        <w:rPr>
          <w:color w:val="FF0000"/>
          <w:spacing w:val="-13"/>
          <w:sz w:val="23"/>
        </w:rPr>
        <w:t> </w:t>
      </w:r>
      <w:r>
        <w:rPr>
          <w:color w:val="FF0000"/>
          <w:sz w:val="23"/>
        </w:rPr>
        <w:t>serious side</w:t>
      </w:r>
      <w:r>
        <w:rPr>
          <w:color w:val="FF0000"/>
          <w:spacing w:val="-16"/>
          <w:sz w:val="23"/>
        </w:rPr>
        <w:t> </w:t>
      </w:r>
      <w:r>
        <w:rPr>
          <w:color w:val="FF0000"/>
          <w:sz w:val="23"/>
        </w:rPr>
        <w:t>effects</w:t>
      </w:r>
      <w:r>
        <w:rPr>
          <w:color w:val="FF0000"/>
          <w:spacing w:val="-15"/>
          <w:sz w:val="23"/>
        </w:rPr>
        <w:t> </w:t>
      </w:r>
      <w:r>
        <w:rPr>
          <w:color w:val="FF0000"/>
          <w:sz w:val="23"/>
        </w:rPr>
        <w:t>from</w:t>
      </w:r>
      <w:r>
        <w:rPr>
          <w:color w:val="FF0000"/>
          <w:spacing w:val="-14"/>
          <w:sz w:val="23"/>
        </w:rPr>
        <w:t> </w:t>
      </w:r>
      <w:r>
        <w:rPr>
          <w:color w:val="FF0000"/>
          <w:sz w:val="23"/>
        </w:rPr>
        <w:t>first-line</w:t>
      </w:r>
      <w:r>
        <w:rPr>
          <w:color w:val="FF0000"/>
          <w:spacing w:val="-15"/>
          <w:sz w:val="23"/>
        </w:rPr>
        <w:t> </w:t>
      </w:r>
      <w:r>
        <w:rPr>
          <w:color w:val="FF0000"/>
          <w:sz w:val="23"/>
        </w:rPr>
        <w:t>antituberculosis</w:t>
      </w:r>
      <w:r>
        <w:rPr>
          <w:color w:val="FF0000"/>
          <w:spacing w:val="-14"/>
          <w:sz w:val="23"/>
        </w:rPr>
        <w:t> </w:t>
      </w:r>
      <w:r>
        <w:rPr>
          <w:color w:val="FF0000"/>
          <w:sz w:val="23"/>
        </w:rPr>
        <w:t>drugs</w:t>
      </w:r>
      <w:r>
        <w:rPr>
          <w:color w:val="FF0000"/>
          <w:spacing w:val="-15"/>
          <w:sz w:val="23"/>
        </w:rPr>
        <w:t> </w:t>
      </w:r>
      <w:r>
        <w:rPr>
          <w:color w:val="FF0000"/>
          <w:sz w:val="23"/>
        </w:rPr>
        <w:t>among</w:t>
      </w:r>
      <w:r>
        <w:rPr>
          <w:color w:val="FF0000"/>
          <w:spacing w:val="-15"/>
          <w:sz w:val="23"/>
        </w:rPr>
        <w:t> </w:t>
      </w:r>
      <w:r>
        <w:rPr>
          <w:color w:val="FF0000"/>
          <w:sz w:val="23"/>
        </w:rPr>
        <w:t>patients</w:t>
      </w:r>
      <w:r>
        <w:rPr>
          <w:color w:val="FF0000"/>
          <w:spacing w:val="-14"/>
          <w:sz w:val="23"/>
        </w:rPr>
        <w:t> </w:t>
      </w:r>
      <w:r>
        <w:rPr>
          <w:color w:val="FF0000"/>
          <w:sz w:val="23"/>
        </w:rPr>
        <w:t>treated</w:t>
      </w:r>
      <w:r>
        <w:rPr>
          <w:color w:val="FF0000"/>
          <w:spacing w:val="-14"/>
          <w:sz w:val="23"/>
        </w:rPr>
        <w:t> </w:t>
      </w:r>
      <w:r>
        <w:rPr>
          <w:color w:val="FF0000"/>
          <w:sz w:val="23"/>
        </w:rPr>
        <w:t>for</w:t>
      </w:r>
      <w:r>
        <w:rPr>
          <w:color w:val="FF0000"/>
          <w:spacing w:val="-15"/>
          <w:sz w:val="23"/>
        </w:rPr>
        <w:t> </w:t>
      </w:r>
      <w:r>
        <w:rPr>
          <w:color w:val="FF0000"/>
          <w:sz w:val="23"/>
        </w:rPr>
        <w:t>active tuberculosis. Am J Respir Crit Care Med 2003;</w:t>
      </w:r>
      <w:r>
        <w:rPr>
          <w:color w:val="FF0000"/>
          <w:spacing w:val="-8"/>
          <w:sz w:val="23"/>
        </w:rPr>
        <w:t> </w:t>
      </w:r>
      <w:r>
        <w:rPr>
          <w:color w:val="FF0000"/>
          <w:sz w:val="23"/>
        </w:rPr>
        <w:t>167:1472-7.</w:t>
      </w:r>
    </w:p>
    <w:p>
      <w:pPr>
        <w:pStyle w:val="ListParagraph"/>
        <w:numPr>
          <w:ilvl w:val="3"/>
          <w:numId w:val="32"/>
        </w:numPr>
        <w:tabs>
          <w:tab w:pos="939" w:val="left" w:leader="none"/>
        </w:tabs>
        <w:spacing w:line="230" w:lineRule="auto" w:before="2" w:after="0"/>
        <w:ind w:left="938" w:right="1356" w:hanging="351"/>
        <w:jc w:val="both"/>
        <w:rPr>
          <w:sz w:val="23"/>
        </w:rPr>
      </w:pPr>
      <w:r>
        <w:rPr>
          <w:spacing w:val="-7"/>
          <w:sz w:val="23"/>
        </w:rPr>
        <w:t>Tan </w:t>
      </w:r>
      <w:r>
        <w:rPr>
          <w:sz w:val="23"/>
        </w:rPr>
        <w:t>WC, Ong CK, Lo Kang SC, Razak MA. </w:t>
      </w:r>
      <w:r>
        <w:rPr>
          <w:spacing w:val="-4"/>
          <w:sz w:val="23"/>
        </w:rPr>
        <w:t>Two </w:t>
      </w:r>
      <w:r>
        <w:rPr>
          <w:sz w:val="23"/>
        </w:rPr>
        <w:t>years review of cutaneous adverse drug reaction from first line anti-tuberculous drugs. Med J Mlaysia 2007; 62:</w:t>
      </w:r>
      <w:r>
        <w:rPr>
          <w:spacing w:val="49"/>
          <w:sz w:val="23"/>
        </w:rPr>
        <w:t> </w:t>
      </w:r>
      <w:r>
        <w:rPr>
          <w:sz w:val="23"/>
        </w:rPr>
        <w:t>143-</w:t>
      </w:r>
    </w:p>
    <w:p>
      <w:pPr>
        <w:spacing w:after="0" w:line="230" w:lineRule="auto"/>
        <w:jc w:val="both"/>
        <w:rPr>
          <w:sz w:val="23"/>
        </w:rPr>
        <w:sectPr>
          <w:pgSz w:w="12250" w:h="17190"/>
          <w:pgMar w:header="0" w:footer="748" w:top="1420" w:bottom="1020" w:left="1180" w:right="0"/>
        </w:sectPr>
      </w:pPr>
    </w:p>
    <w:p>
      <w:pPr>
        <w:spacing w:line="415" w:lineRule="exact" w:before="12"/>
        <w:ind w:left="938" w:right="0" w:firstLine="0"/>
        <w:jc w:val="left"/>
        <w:rPr>
          <w:sz w:val="23"/>
        </w:rPr>
      </w:pPr>
      <w:r>
        <w:rPr>
          <w:sz w:val="23"/>
        </w:rPr>
        <w:t>6.</w:t>
      </w:r>
    </w:p>
    <w:p>
      <w:pPr>
        <w:pStyle w:val="ListParagraph"/>
        <w:numPr>
          <w:ilvl w:val="3"/>
          <w:numId w:val="32"/>
        </w:numPr>
        <w:tabs>
          <w:tab w:pos="959" w:val="left" w:leader="none"/>
        </w:tabs>
        <w:spacing w:line="230" w:lineRule="auto" w:before="4" w:after="0"/>
        <w:ind w:left="958" w:right="1359" w:hanging="371"/>
        <w:jc w:val="both"/>
        <w:rPr>
          <w:sz w:val="23"/>
        </w:rPr>
      </w:pPr>
      <w:r>
        <w:rPr>
          <w:spacing w:val="-3"/>
          <w:sz w:val="23"/>
        </w:rPr>
        <w:t>Wang </w:t>
      </w:r>
      <w:r>
        <w:rPr>
          <w:spacing w:val="-6"/>
          <w:sz w:val="23"/>
        </w:rPr>
        <w:t>JY, </w:t>
      </w:r>
      <w:r>
        <w:rPr>
          <w:sz w:val="23"/>
        </w:rPr>
        <w:t>Liu CH, Hu FC, et al. Risk factors of hepatitis during anti-tuberculous treatment and implications of hepatitis virus load. J Infect 2011; 62:</w:t>
      </w:r>
      <w:r>
        <w:rPr>
          <w:spacing w:val="-46"/>
          <w:sz w:val="23"/>
        </w:rPr>
        <w:t> </w:t>
      </w:r>
      <w:r>
        <w:rPr>
          <w:sz w:val="23"/>
        </w:rPr>
        <w:t>448-55.</w:t>
      </w:r>
    </w:p>
    <w:p>
      <w:pPr>
        <w:pStyle w:val="ListParagraph"/>
        <w:numPr>
          <w:ilvl w:val="3"/>
          <w:numId w:val="32"/>
        </w:numPr>
        <w:tabs>
          <w:tab w:pos="967" w:val="left" w:leader="none"/>
        </w:tabs>
        <w:spacing w:line="230" w:lineRule="auto" w:before="0" w:after="0"/>
        <w:ind w:left="966" w:right="1360" w:hanging="380"/>
        <w:jc w:val="both"/>
        <w:rPr>
          <w:color w:val="FF0000"/>
          <w:sz w:val="23"/>
        </w:rPr>
      </w:pPr>
      <w:r>
        <w:rPr>
          <w:color w:val="FF0000"/>
          <w:sz w:val="23"/>
        </w:rPr>
        <w:t>Lacroix C, Guyonnaud C, Chaou M, Duwos H, Lafont O. Interaction between allopurinol and pyrazinamide. Eur Respir J 1988;</w:t>
      </w:r>
      <w:r>
        <w:rPr>
          <w:color w:val="FF0000"/>
          <w:spacing w:val="-6"/>
          <w:sz w:val="23"/>
        </w:rPr>
        <w:t> </w:t>
      </w:r>
      <w:r>
        <w:rPr>
          <w:color w:val="FF0000"/>
          <w:sz w:val="23"/>
        </w:rPr>
        <w:t>1:807-11.</w:t>
      </w:r>
    </w:p>
    <w:p>
      <w:pPr>
        <w:pStyle w:val="ListParagraph"/>
        <w:numPr>
          <w:ilvl w:val="3"/>
          <w:numId w:val="32"/>
        </w:numPr>
        <w:tabs>
          <w:tab w:pos="967" w:val="left" w:leader="none"/>
        </w:tabs>
        <w:spacing w:line="230" w:lineRule="auto" w:before="0" w:after="0"/>
        <w:ind w:left="966" w:right="1359" w:hanging="379"/>
        <w:jc w:val="both"/>
        <w:rPr>
          <w:sz w:val="23"/>
        </w:rPr>
      </w:pPr>
      <w:r>
        <w:rPr>
          <w:sz w:val="23"/>
        </w:rPr>
        <w:t>World Health </w:t>
      </w:r>
      <w:r>
        <w:rPr>
          <w:spacing w:val="2"/>
          <w:sz w:val="23"/>
        </w:rPr>
        <w:t>Organization. </w:t>
      </w:r>
      <w:r>
        <w:rPr>
          <w:sz w:val="23"/>
        </w:rPr>
        <w:t>WHO </w:t>
      </w:r>
      <w:r>
        <w:rPr>
          <w:spacing w:val="3"/>
          <w:sz w:val="23"/>
        </w:rPr>
        <w:t>Treatment </w:t>
      </w:r>
      <w:r>
        <w:rPr>
          <w:spacing w:val="2"/>
          <w:sz w:val="23"/>
        </w:rPr>
        <w:t>guidelines </w:t>
      </w:r>
      <w:r>
        <w:rPr>
          <w:sz w:val="23"/>
        </w:rPr>
        <w:t>for </w:t>
      </w:r>
      <w:r>
        <w:rPr>
          <w:spacing w:val="3"/>
          <w:sz w:val="23"/>
        </w:rPr>
        <w:t>drug-resistant tuberculosis </w:t>
      </w:r>
      <w:r>
        <w:rPr>
          <w:sz w:val="23"/>
        </w:rPr>
        <w:t>2016 update. World Health Organization Document 2016;WHO/ HTM/TB/2016.04.</w:t>
      </w:r>
    </w:p>
    <w:p>
      <w:pPr>
        <w:spacing w:line="230" w:lineRule="auto" w:before="0"/>
        <w:ind w:left="950" w:right="1395" w:hanging="1"/>
        <w:jc w:val="left"/>
        <w:rPr>
          <w:sz w:val="23"/>
        </w:rPr>
      </w:pPr>
      <w:hyperlink r:id="rId34">
        <w:r>
          <w:rPr>
            <w:sz w:val="23"/>
          </w:rPr>
          <w:t>http://www.who.int/tb/areas-of-work/drug-resistant-tb/MDRTBguidelines201</w:t>
        </w:r>
      </w:hyperlink>
      <w:r>
        <w:rPr>
          <w:sz w:val="23"/>
        </w:rPr>
        <w:t> </w:t>
      </w:r>
      <w:hyperlink r:id="rId34">
        <w:r>
          <w:rPr>
            <w:sz w:val="23"/>
          </w:rPr>
          <w:t>6.pdf, </w:t>
        </w:r>
      </w:hyperlink>
      <w:r>
        <w:rPr>
          <w:sz w:val="23"/>
        </w:rPr>
        <w:t>online version accessed on 2017-07-19.</w:t>
      </w:r>
    </w:p>
    <w:p>
      <w:pPr>
        <w:pStyle w:val="ListParagraph"/>
        <w:numPr>
          <w:ilvl w:val="3"/>
          <w:numId w:val="32"/>
        </w:numPr>
        <w:tabs>
          <w:tab w:pos="967" w:val="left" w:leader="none"/>
        </w:tabs>
        <w:spacing w:line="230" w:lineRule="auto" w:before="0" w:after="0"/>
        <w:ind w:left="966" w:right="1360" w:hanging="379"/>
        <w:jc w:val="both"/>
        <w:rPr>
          <w:sz w:val="23"/>
        </w:rPr>
      </w:pPr>
      <w:r>
        <w:rPr>
          <w:sz w:val="23"/>
        </w:rPr>
        <w:t>Chien </w:t>
      </w:r>
      <w:r>
        <w:rPr>
          <w:spacing w:val="-6"/>
          <w:sz w:val="23"/>
        </w:rPr>
        <w:t>JY, </w:t>
      </w:r>
      <w:r>
        <w:rPr>
          <w:sz w:val="23"/>
        </w:rPr>
        <w:t>Chen </w:t>
      </w:r>
      <w:r>
        <w:rPr>
          <w:spacing w:val="-3"/>
          <w:sz w:val="23"/>
        </w:rPr>
        <w:t>YT, </w:t>
      </w:r>
      <w:r>
        <w:rPr>
          <w:sz w:val="23"/>
        </w:rPr>
        <w:t>Wu SG, Lee </w:t>
      </w:r>
      <w:r>
        <w:rPr>
          <w:spacing w:val="-6"/>
          <w:sz w:val="23"/>
        </w:rPr>
        <w:t>JJ, </w:t>
      </w:r>
      <w:r>
        <w:rPr>
          <w:spacing w:val="-3"/>
          <w:sz w:val="23"/>
        </w:rPr>
        <w:t>Wang </w:t>
      </w:r>
      <w:r>
        <w:rPr>
          <w:spacing w:val="-6"/>
          <w:sz w:val="23"/>
        </w:rPr>
        <w:t>JY, </w:t>
      </w:r>
      <w:r>
        <w:rPr>
          <w:spacing w:val="-5"/>
          <w:sz w:val="23"/>
        </w:rPr>
        <w:t>Yu </w:t>
      </w:r>
      <w:r>
        <w:rPr>
          <w:spacing w:val="-3"/>
          <w:sz w:val="23"/>
        </w:rPr>
        <w:t>CJ. </w:t>
      </w:r>
      <w:r>
        <w:rPr>
          <w:spacing w:val="-4"/>
          <w:sz w:val="23"/>
        </w:rPr>
        <w:t>Treatment </w:t>
      </w:r>
      <w:r>
        <w:rPr>
          <w:sz w:val="23"/>
        </w:rPr>
        <w:t>outcome of patients with isoniazid mono-resistant tuberculosis. Clin Microbiol Infect 2015; 21:</w:t>
      </w:r>
      <w:r>
        <w:rPr>
          <w:spacing w:val="-26"/>
          <w:sz w:val="23"/>
        </w:rPr>
        <w:t> </w:t>
      </w:r>
      <w:r>
        <w:rPr>
          <w:sz w:val="23"/>
        </w:rPr>
        <w:t>59-68.</w:t>
      </w:r>
    </w:p>
    <w:p>
      <w:pPr>
        <w:spacing w:after="0" w:line="230" w:lineRule="auto"/>
        <w:jc w:val="both"/>
        <w:rPr>
          <w:sz w:val="23"/>
        </w:rPr>
        <w:sectPr>
          <w:pgSz w:w="12250" w:h="17190"/>
          <w:pgMar w:header="0" w:footer="748" w:top="1480" w:bottom="1020" w:left="1180" w:right="0"/>
        </w:sectPr>
      </w:pPr>
    </w:p>
    <w:p>
      <w:pPr>
        <w:pStyle w:val="Heading6"/>
        <w:spacing w:before="20"/>
        <w:ind w:left="2235"/>
      </w:pPr>
      <w:r>
        <w:rPr/>
        <w:pict>
          <v:group style="position:absolute;margin-left:571.5pt;margin-top:5.645803pt;width:40.9pt;height:296.5pt;mso-position-horizontal-relative:page;mso-position-vertical-relative:paragraph;z-index:251705344" coordorigin="11430,113" coordsize="818,5930">
            <v:shape style="position:absolute;left:11430;top:112;width:818;height:5930" coordorigin="11430,113" coordsize="818,5930" path="m12247,113l11595,113,11531,126,11478,161,11443,214,11430,278,11430,5878,11443,5942,11478,5994,11531,6030,11595,6043,12247,6043,12247,113xe" filled="true" fillcolor="#a6a6a6" stroked="false">
              <v:path arrowok="t"/>
              <v:fill type="solid"/>
            </v:shape>
            <v:shape style="position:absolute;left:11430;top:112;width:818;height:5930" type="#_x0000_t202" filled="false" stroked="false">
              <v:textbox inset="0,0,0,0">
                <w:txbxContent>
                  <w:p>
                    <w:pPr>
                      <w:spacing w:line="146" w:lineRule="auto" w:before="127"/>
                      <w:ind w:left="136" w:right="458" w:firstLine="0"/>
                      <w:jc w:val="both"/>
                      <w:rPr>
                        <w:sz w:val="22"/>
                      </w:rPr>
                    </w:pPr>
                    <w:r>
                      <w:rPr>
                        <w:sz w:val="22"/>
                      </w:rPr>
                      <w:t>第五章</w:t>
                    </w:r>
                  </w:p>
                  <w:p>
                    <w:pPr>
                      <w:spacing w:line="141" w:lineRule="auto" w:before="175"/>
                      <w:ind w:left="136" w:right="458" w:firstLine="0"/>
                      <w:jc w:val="both"/>
                      <w:rPr>
                        <w:sz w:val="22"/>
                      </w:rPr>
                    </w:pPr>
                    <w:r>
                      <w:rPr>
                        <w:sz w:val="22"/>
                      </w:rPr>
                      <w:t>治療期間之監測與不良反應之處理及處方調整</w:t>
                    </w:r>
                  </w:p>
                </w:txbxContent>
              </v:textbox>
              <w10:wrap type="none"/>
            </v:shape>
            <w10:wrap type="none"/>
          </v:group>
        </w:pict>
      </w:r>
      <w:bookmarkStart w:name="表5-1 藥物性肝炎小量漸進式給藥試驗流程建議" w:id="53"/>
      <w:bookmarkEnd w:id="53"/>
      <w:r>
        <w:rPr>
          <w:b w:val="0"/>
        </w:rPr>
      </w:r>
      <w:r>
        <w:rPr/>
        <w:t>表 5-1 藥物性肝炎小量漸進式給藥試驗流程建議</w:t>
      </w:r>
    </w:p>
    <w:p>
      <w:pPr>
        <w:pStyle w:val="BodyText"/>
        <w:spacing w:before="3"/>
        <w:rPr>
          <w:b/>
          <w:sz w:val="5"/>
        </w:rPr>
      </w:pPr>
    </w:p>
    <w:tbl>
      <w:tblPr>
        <w:tblW w:w="0" w:type="auto"/>
        <w:jc w:val="left"/>
        <w:tblInd w:w="1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8"/>
        <w:gridCol w:w="1498"/>
        <w:gridCol w:w="2027"/>
        <w:gridCol w:w="2232"/>
      </w:tblGrid>
      <w:tr>
        <w:trPr>
          <w:trHeight w:val="425" w:hRule="atLeast"/>
        </w:trPr>
        <w:tc>
          <w:tcPr>
            <w:tcW w:w="1618" w:type="dxa"/>
            <w:tcBorders>
              <w:top w:val="single" w:sz="12" w:space="0" w:color="000000"/>
              <w:bottom w:val="single" w:sz="12" w:space="0" w:color="000000"/>
            </w:tcBorders>
            <w:shd w:val="clear" w:color="auto" w:fill="F1F1F1"/>
          </w:tcPr>
          <w:p>
            <w:pPr>
              <w:pStyle w:val="TableParagraph"/>
              <w:spacing w:line="405" w:lineRule="exact" w:before="1"/>
              <w:ind w:left="335" w:right="368"/>
              <w:jc w:val="center"/>
              <w:rPr>
                <w:sz w:val="24"/>
              </w:rPr>
            </w:pPr>
            <w:r>
              <w:rPr>
                <w:sz w:val="24"/>
              </w:rPr>
              <w:t>日期(天)</w:t>
            </w:r>
          </w:p>
        </w:tc>
        <w:tc>
          <w:tcPr>
            <w:tcW w:w="1498" w:type="dxa"/>
            <w:tcBorders>
              <w:top w:val="single" w:sz="12" w:space="0" w:color="000000"/>
              <w:bottom w:val="single" w:sz="12" w:space="0" w:color="000000"/>
            </w:tcBorders>
            <w:shd w:val="clear" w:color="auto" w:fill="F1F1F1"/>
          </w:tcPr>
          <w:p>
            <w:pPr>
              <w:pStyle w:val="TableParagraph"/>
              <w:spacing w:line="405" w:lineRule="exact" w:before="1"/>
              <w:ind w:left="369" w:right="380"/>
              <w:jc w:val="center"/>
              <w:rPr>
                <w:sz w:val="24"/>
              </w:rPr>
            </w:pPr>
            <w:r>
              <w:rPr>
                <w:sz w:val="24"/>
              </w:rPr>
              <w:t>藥物</w:t>
            </w:r>
          </w:p>
        </w:tc>
        <w:tc>
          <w:tcPr>
            <w:tcW w:w="2027" w:type="dxa"/>
            <w:tcBorders>
              <w:top w:val="single" w:sz="12" w:space="0" w:color="000000"/>
              <w:bottom w:val="single" w:sz="12" w:space="0" w:color="000000"/>
            </w:tcBorders>
            <w:shd w:val="clear" w:color="auto" w:fill="F1F1F1"/>
          </w:tcPr>
          <w:p>
            <w:pPr>
              <w:pStyle w:val="TableParagraph"/>
              <w:spacing w:line="405" w:lineRule="exact" w:before="1"/>
              <w:ind w:left="142" w:right="5"/>
              <w:jc w:val="center"/>
              <w:rPr>
                <w:sz w:val="24"/>
              </w:rPr>
            </w:pPr>
            <w:r>
              <w:rPr>
                <w:sz w:val="24"/>
              </w:rPr>
              <w:t>劑量</w:t>
            </w:r>
          </w:p>
        </w:tc>
        <w:tc>
          <w:tcPr>
            <w:tcW w:w="2232" w:type="dxa"/>
            <w:tcBorders>
              <w:top w:val="single" w:sz="12" w:space="0" w:color="000000"/>
              <w:bottom w:val="single" w:sz="12" w:space="0" w:color="000000"/>
            </w:tcBorders>
            <w:shd w:val="clear" w:color="auto" w:fill="F1F1F1"/>
          </w:tcPr>
          <w:p>
            <w:pPr>
              <w:pStyle w:val="TableParagraph"/>
              <w:spacing w:line="406" w:lineRule="exact"/>
              <w:ind w:left="474" w:right="369"/>
              <w:jc w:val="center"/>
              <w:rPr>
                <w:sz w:val="16"/>
              </w:rPr>
            </w:pPr>
            <w:r>
              <w:rPr>
                <w:sz w:val="24"/>
              </w:rPr>
              <w:t>肝功能檢測 </w:t>
            </w:r>
            <w:r>
              <w:rPr>
                <w:position w:val="11"/>
                <w:sz w:val="16"/>
              </w:rPr>
              <w:t>a</w:t>
            </w:r>
          </w:p>
        </w:tc>
      </w:tr>
      <w:tr>
        <w:trPr>
          <w:trHeight w:val="457" w:hRule="atLeast"/>
        </w:trPr>
        <w:tc>
          <w:tcPr>
            <w:tcW w:w="1618" w:type="dxa"/>
            <w:tcBorders>
              <w:top w:val="single" w:sz="12" w:space="0" w:color="000000"/>
            </w:tcBorders>
          </w:tcPr>
          <w:p>
            <w:pPr>
              <w:pStyle w:val="TableParagraph"/>
              <w:spacing w:line="424" w:lineRule="exact" w:before="13"/>
              <w:ind w:right="33"/>
              <w:jc w:val="center"/>
              <w:rPr>
                <w:sz w:val="24"/>
              </w:rPr>
            </w:pPr>
            <w:r>
              <w:rPr>
                <w:sz w:val="24"/>
              </w:rPr>
              <w:t>0</w:t>
            </w:r>
          </w:p>
        </w:tc>
        <w:tc>
          <w:tcPr>
            <w:tcW w:w="1498" w:type="dxa"/>
            <w:tcBorders>
              <w:top w:val="single" w:sz="12" w:space="0" w:color="000000"/>
            </w:tcBorders>
          </w:tcPr>
          <w:p>
            <w:pPr>
              <w:pStyle w:val="TableParagraph"/>
              <w:spacing w:line="424" w:lineRule="exact" w:before="13"/>
              <w:ind w:right="9"/>
              <w:jc w:val="center"/>
              <w:rPr>
                <w:sz w:val="24"/>
              </w:rPr>
            </w:pPr>
            <w:r>
              <w:rPr>
                <w:sz w:val="24"/>
              </w:rPr>
              <w:t>-</w:t>
            </w:r>
          </w:p>
        </w:tc>
        <w:tc>
          <w:tcPr>
            <w:tcW w:w="2027" w:type="dxa"/>
            <w:tcBorders>
              <w:top w:val="single" w:sz="12" w:space="0" w:color="000000"/>
            </w:tcBorders>
          </w:tcPr>
          <w:p>
            <w:pPr>
              <w:pStyle w:val="TableParagraph"/>
              <w:spacing w:line="424" w:lineRule="exact" w:before="13"/>
              <w:ind w:left="137"/>
              <w:jc w:val="center"/>
              <w:rPr>
                <w:sz w:val="24"/>
              </w:rPr>
            </w:pPr>
            <w:r>
              <w:rPr>
                <w:sz w:val="24"/>
              </w:rPr>
              <w:t>-</w:t>
            </w:r>
          </w:p>
        </w:tc>
        <w:tc>
          <w:tcPr>
            <w:tcW w:w="2232" w:type="dxa"/>
            <w:tcBorders>
              <w:top w:val="single" w:sz="12" w:space="0" w:color="000000"/>
            </w:tcBorders>
          </w:tcPr>
          <w:p>
            <w:pPr>
              <w:pStyle w:val="TableParagraph"/>
              <w:spacing w:line="424" w:lineRule="exact" w:before="13"/>
              <w:ind w:left="106"/>
              <w:jc w:val="center"/>
              <w:rPr>
                <w:sz w:val="24"/>
              </w:rPr>
            </w:pPr>
            <w:r>
              <w:rPr>
                <w:sz w:val="24"/>
              </w:rPr>
              <w:t>+</w:t>
            </w:r>
          </w:p>
        </w:tc>
      </w:tr>
      <w:tr>
        <w:trPr>
          <w:trHeight w:val="447" w:hRule="atLeast"/>
        </w:trPr>
        <w:tc>
          <w:tcPr>
            <w:tcW w:w="1618" w:type="dxa"/>
          </w:tcPr>
          <w:p>
            <w:pPr>
              <w:pStyle w:val="TableParagraph"/>
              <w:spacing w:line="424" w:lineRule="exact" w:before="3"/>
              <w:ind w:right="33"/>
              <w:jc w:val="center"/>
              <w:rPr>
                <w:sz w:val="24"/>
              </w:rPr>
            </w:pPr>
            <w:r>
              <w:rPr>
                <w:sz w:val="24"/>
              </w:rPr>
              <w:t>1</w:t>
            </w:r>
          </w:p>
        </w:tc>
        <w:tc>
          <w:tcPr>
            <w:tcW w:w="1498" w:type="dxa"/>
          </w:tcPr>
          <w:p>
            <w:pPr>
              <w:pStyle w:val="TableParagraph"/>
              <w:spacing w:line="424" w:lineRule="exact" w:before="3"/>
              <w:ind w:left="371" w:right="380"/>
              <w:jc w:val="center"/>
              <w:rPr>
                <w:sz w:val="24"/>
              </w:rPr>
            </w:pPr>
            <w:r>
              <w:rPr>
                <w:sz w:val="24"/>
              </w:rPr>
              <w:t>INH</w:t>
            </w:r>
          </w:p>
        </w:tc>
        <w:tc>
          <w:tcPr>
            <w:tcW w:w="2027" w:type="dxa"/>
          </w:tcPr>
          <w:p>
            <w:pPr>
              <w:pStyle w:val="TableParagraph"/>
              <w:spacing w:line="424" w:lineRule="exact" w:before="3"/>
              <w:ind w:left="142" w:right="4"/>
              <w:jc w:val="center"/>
              <w:rPr>
                <w:sz w:val="24"/>
              </w:rPr>
            </w:pPr>
            <w:r>
              <w:rPr>
                <w:sz w:val="24"/>
              </w:rPr>
              <w:t>100 mg/day</w:t>
            </w:r>
          </w:p>
        </w:tc>
        <w:tc>
          <w:tcPr>
            <w:tcW w:w="2232" w:type="dxa"/>
          </w:tcPr>
          <w:p>
            <w:pPr>
              <w:pStyle w:val="TableParagraph"/>
              <w:rPr>
                <w:rFonts w:ascii="Times New Roman"/>
                <w:sz w:val="22"/>
              </w:rPr>
            </w:pPr>
          </w:p>
        </w:tc>
      </w:tr>
      <w:tr>
        <w:trPr>
          <w:trHeight w:val="448" w:hRule="atLeast"/>
        </w:trPr>
        <w:tc>
          <w:tcPr>
            <w:tcW w:w="1618" w:type="dxa"/>
          </w:tcPr>
          <w:p>
            <w:pPr>
              <w:pStyle w:val="TableParagraph"/>
              <w:spacing w:line="425" w:lineRule="exact" w:before="3"/>
              <w:ind w:right="33"/>
              <w:jc w:val="center"/>
              <w:rPr>
                <w:sz w:val="24"/>
              </w:rPr>
            </w:pPr>
            <w:r>
              <w:rPr>
                <w:sz w:val="24"/>
              </w:rPr>
              <w:t>2</w:t>
            </w:r>
          </w:p>
        </w:tc>
        <w:tc>
          <w:tcPr>
            <w:tcW w:w="1498" w:type="dxa"/>
          </w:tcPr>
          <w:p>
            <w:pPr>
              <w:pStyle w:val="TableParagraph"/>
              <w:spacing w:line="425" w:lineRule="exact" w:before="3"/>
              <w:ind w:left="371" w:right="380"/>
              <w:jc w:val="center"/>
              <w:rPr>
                <w:sz w:val="24"/>
              </w:rPr>
            </w:pPr>
            <w:r>
              <w:rPr>
                <w:sz w:val="24"/>
              </w:rPr>
              <w:t>INH</w:t>
            </w:r>
          </w:p>
        </w:tc>
        <w:tc>
          <w:tcPr>
            <w:tcW w:w="2027" w:type="dxa"/>
          </w:tcPr>
          <w:p>
            <w:pPr>
              <w:pStyle w:val="TableParagraph"/>
              <w:spacing w:line="425" w:lineRule="exact" w:before="3"/>
              <w:ind w:left="142" w:right="4"/>
              <w:jc w:val="center"/>
              <w:rPr>
                <w:sz w:val="24"/>
              </w:rPr>
            </w:pPr>
            <w:r>
              <w:rPr>
                <w:sz w:val="24"/>
              </w:rPr>
              <w:t>200 mg/day</w:t>
            </w:r>
          </w:p>
        </w:tc>
        <w:tc>
          <w:tcPr>
            <w:tcW w:w="2232" w:type="dxa"/>
          </w:tcPr>
          <w:p>
            <w:pPr>
              <w:pStyle w:val="TableParagraph"/>
              <w:rPr>
                <w:rFonts w:ascii="Times New Roman"/>
                <w:sz w:val="22"/>
              </w:rPr>
            </w:pPr>
          </w:p>
        </w:tc>
      </w:tr>
      <w:tr>
        <w:trPr>
          <w:trHeight w:val="448" w:hRule="atLeast"/>
        </w:trPr>
        <w:tc>
          <w:tcPr>
            <w:tcW w:w="1618" w:type="dxa"/>
          </w:tcPr>
          <w:p>
            <w:pPr>
              <w:pStyle w:val="TableParagraph"/>
              <w:spacing w:line="424" w:lineRule="exact" w:before="3"/>
              <w:ind w:left="335" w:right="367"/>
              <w:jc w:val="center"/>
              <w:rPr>
                <w:sz w:val="24"/>
              </w:rPr>
            </w:pPr>
            <w:r>
              <w:rPr>
                <w:sz w:val="24"/>
              </w:rPr>
              <w:t>3~5</w:t>
            </w:r>
          </w:p>
        </w:tc>
        <w:tc>
          <w:tcPr>
            <w:tcW w:w="1498" w:type="dxa"/>
          </w:tcPr>
          <w:p>
            <w:pPr>
              <w:pStyle w:val="TableParagraph"/>
              <w:spacing w:line="424" w:lineRule="exact" w:before="3"/>
              <w:ind w:left="371" w:right="380"/>
              <w:jc w:val="center"/>
              <w:rPr>
                <w:sz w:val="24"/>
              </w:rPr>
            </w:pPr>
            <w:r>
              <w:rPr>
                <w:sz w:val="24"/>
              </w:rPr>
              <w:t>INH</w:t>
            </w:r>
          </w:p>
        </w:tc>
        <w:tc>
          <w:tcPr>
            <w:tcW w:w="2027" w:type="dxa"/>
          </w:tcPr>
          <w:p>
            <w:pPr>
              <w:pStyle w:val="TableParagraph"/>
              <w:spacing w:line="424" w:lineRule="exact" w:before="3"/>
              <w:ind w:left="142" w:right="3"/>
              <w:jc w:val="center"/>
              <w:rPr>
                <w:sz w:val="24"/>
              </w:rPr>
            </w:pPr>
            <w:r>
              <w:rPr>
                <w:sz w:val="24"/>
              </w:rPr>
              <w:t>full dose</w:t>
            </w:r>
          </w:p>
        </w:tc>
        <w:tc>
          <w:tcPr>
            <w:tcW w:w="2232" w:type="dxa"/>
          </w:tcPr>
          <w:p>
            <w:pPr>
              <w:pStyle w:val="TableParagraph"/>
              <w:spacing w:line="424" w:lineRule="exact" w:before="3"/>
              <w:ind w:left="106"/>
              <w:jc w:val="center"/>
              <w:rPr>
                <w:sz w:val="24"/>
              </w:rPr>
            </w:pPr>
            <w:r>
              <w:rPr>
                <w:sz w:val="24"/>
              </w:rPr>
              <w:t>+</w:t>
            </w:r>
          </w:p>
        </w:tc>
      </w:tr>
      <w:tr>
        <w:trPr>
          <w:trHeight w:val="447" w:hRule="atLeast"/>
        </w:trPr>
        <w:tc>
          <w:tcPr>
            <w:tcW w:w="1618" w:type="dxa"/>
          </w:tcPr>
          <w:p>
            <w:pPr>
              <w:pStyle w:val="TableParagraph"/>
              <w:spacing w:line="424" w:lineRule="exact" w:before="3"/>
              <w:ind w:right="33"/>
              <w:jc w:val="center"/>
              <w:rPr>
                <w:sz w:val="24"/>
              </w:rPr>
            </w:pPr>
            <w:r>
              <w:rPr>
                <w:sz w:val="24"/>
              </w:rPr>
              <w:t>6</w:t>
            </w:r>
          </w:p>
        </w:tc>
        <w:tc>
          <w:tcPr>
            <w:tcW w:w="1498" w:type="dxa"/>
          </w:tcPr>
          <w:p>
            <w:pPr>
              <w:pStyle w:val="TableParagraph"/>
              <w:spacing w:line="424" w:lineRule="exact" w:before="3"/>
              <w:ind w:left="371" w:right="380"/>
              <w:jc w:val="center"/>
              <w:rPr>
                <w:sz w:val="24"/>
              </w:rPr>
            </w:pPr>
            <w:r>
              <w:rPr>
                <w:sz w:val="24"/>
              </w:rPr>
              <w:t>+RMP</w:t>
            </w:r>
          </w:p>
        </w:tc>
        <w:tc>
          <w:tcPr>
            <w:tcW w:w="2027" w:type="dxa"/>
          </w:tcPr>
          <w:p>
            <w:pPr>
              <w:pStyle w:val="TableParagraph"/>
              <w:spacing w:line="424" w:lineRule="exact" w:before="3"/>
              <w:ind w:left="142" w:right="4"/>
              <w:jc w:val="center"/>
              <w:rPr>
                <w:sz w:val="24"/>
              </w:rPr>
            </w:pPr>
            <w:r>
              <w:rPr>
                <w:sz w:val="24"/>
              </w:rPr>
              <w:t>150 mg/day</w:t>
            </w:r>
          </w:p>
        </w:tc>
        <w:tc>
          <w:tcPr>
            <w:tcW w:w="2232" w:type="dxa"/>
          </w:tcPr>
          <w:p>
            <w:pPr>
              <w:pStyle w:val="TableParagraph"/>
              <w:rPr>
                <w:rFonts w:ascii="Times New Roman"/>
                <w:sz w:val="22"/>
              </w:rPr>
            </w:pPr>
          </w:p>
        </w:tc>
      </w:tr>
      <w:tr>
        <w:trPr>
          <w:trHeight w:val="448" w:hRule="atLeast"/>
        </w:trPr>
        <w:tc>
          <w:tcPr>
            <w:tcW w:w="1618" w:type="dxa"/>
          </w:tcPr>
          <w:p>
            <w:pPr>
              <w:pStyle w:val="TableParagraph"/>
              <w:spacing w:line="425" w:lineRule="exact" w:before="3"/>
              <w:ind w:right="33"/>
              <w:jc w:val="center"/>
              <w:rPr>
                <w:sz w:val="24"/>
              </w:rPr>
            </w:pPr>
            <w:r>
              <w:rPr>
                <w:sz w:val="24"/>
              </w:rPr>
              <w:t>7</w:t>
            </w:r>
          </w:p>
        </w:tc>
        <w:tc>
          <w:tcPr>
            <w:tcW w:w="1498" w:type="dxa"/>
          </w:tcPr>
          <w:p>
            <w:pPr>
              <w:pStyle w:val="TableParagraph"/>
              <w:spacing w:line="425" w:lineRule="exact" w:before="3"/>
              <w:ind w:left="371" w:right="380"/>
              <w:jc w:val="center"/>
              <w:rPr>
                <w:sz w:val="24"/>
              </w:rPr>
            </w:pPr>
            <w:r>
              <w:rPr>
                <w:sz w:val="24"/>
              </w:rPr>
              <w:t>+RMP</w:t>
            </w:r>
          </w:p>
        </w:tc>
        <w:tc>
          <w:tcPr>
            <w:tcW w:w="2027" w:type="dxa"/>
          </w:tcPr>
          <w:p>
            <w:pPr>
              <w:pStyle w:val="TableParagraph"/>
              <w:spacing w:line="425" w:lineRule="exact" w:before="3"/>
              <w:ind w:left="142" w:right="4"/>
              <w:jc w:val="center"/>
              <w:rPr>
                <w:sz w:val="24"/>
              </w:rPr>
            </w:pPr>
            <w:r>
              <w:rPr>
                <w:sz w:val="24"/>
              </w:rPr>
              <w:t>300 mg/day</w:t>
            </w:r>
          </w:p>
        </w:tc>
        <w:tc>
          <w:tcPr>
            <w:tcW w:w="2232" w:type="dxa"/>
          </w:tcPr>
          <w:p>
            <w:pPr>
              <w:pStyle w:val="TableParagraph"/>
              <w:rPr>
                <w:rFonts w:ascii="Times New Roman"/>
                <w:sz w:val="22"/>
              </w:rPr>
            </w:pPr>
          </w:p>
        </w:tc>
      </w:tr>
      <w:tr>
        <w:trPr>
          <w:trHeight w:val="448" w:hRule="atLeast"/>
        </w:trPr>
        <w:tc>
          <w:tcPr>
            <w:tcW w:w="1618" w:type="dxa"/>
          </w:tcPr>
          <w:p>
            <w:pPr>
              <w:pStyle w:val="TableParagraph"/>
              <w:spacing w:line="424" w:lineRule="exact" w:before="3"/>
              <w:ind w:left="335" w:right="366"/>
              <w:jc w:val="center"/>
              <w:rPr>
                <w:sz w:val="24"/>
              </w:rPr>
            </w:pPr>
            <w:r>
              <w:rPr>
                <w:sz w:val="24"/>
              </w:rPr>
              <w:t>8~10</w:t>
            </w:r>
          </w:p>
        </w:tc>
        <w:tc>
          <w:tcPr>
            <w:tcW w:w="1498" w:type="dxa"/>
          </w:tcPr>
          <w:p>
            <w:pPr>
              <w:pStyle w:val="TableParagraph"/>
              <w:spacing w:line="424" w:lineRule="exact" w:before="3"/>
              <w:ind w:left="371" w:right="380"/>
              <w:jc w:val="center"/>
              <w:rPr>
                <w:sz w:val="24"/>
              </w:rPr>
            </w:pPr>
            <w:r>
              <w:rPr>
                <w:sz w:val="24"/>
              </w:rPr>
              <w:t>+RMP</w:t>
            </w:r>
          </w:p>
        </w:tc>
        <w:tc>
          <w:tcPr>
            <w:tcW w:w="2027" w:type="dxa"/>
          </w:tcPr>
          <w:p>
            <w:pPr>
              <w:pStyle w:val="TableParagraph"/>
              <w:spacing w:line="424" w:lineRule="exact" w:before="3"/>
              <w:ind w:left="142" w:right="3"/>
              <w:jc w:val="center"/>
              <w:rPr>
                <w:sz w:val="24"/>
              </w:rPr>
            </w:pPr>
            <w:r>
              <w:rPr>
                <w:sz w:val="24"/>
              </w:rPr>
              <w:t>full dose</w:t>
            </w:r>
          </w:p>
        </w:tc>
        <w:tc>
          <w:tcPr>
            <w:tcW w:w="2232" w:type="dxa"/>
          </w:tcPr>
          <w:p>
            <w:pPr>
              <w:pStyle w:val="TableParagraph"/>
              <w:spacing w:line="424" w:lineRule="exact" w:before="3"/>
              <w:ind w:left="106"/>
              <w:jc w:val="center"/>
              <w:rPr>
                <w:sz w:val="24"/>
              </w:rPr>
            </w:pPr>
            <w:r>
              <w:rPr>
                <w:sz w:val="24"/>
              </w:rPr>
              <w:t>+</w:t>
            </w:r>
          </w:p>
        </w:tc>
      </w:tr>
      <w:tr>
        <w:trPr>
          <w:trHeight w:val="447" w:hRule="atLeast"/>
        </w:trPr>
        <w:tc>
          <w:tcPr>
            <w:tcW w:w="1618" w:type="dxa"/>
          </w:tcPr>
          <w:p>
            <w:pPr>
              <w:pStyle w:val="TableParagraph"/>
              <w:spacing w:line="424" w:lineRule="exact" w:before="3"/>
              <w:ind w:left="335" w:right="368"/>
              <w:jc w:val="center"/>
              <w:rPr>
                <w:sz w:val="24"/>
              </w:rPr>
            </w:pPr>
            <w:r>
              <w:rPr>
                <w:sz w:val="24"/>
              </w:rPr>
              <w:t>11</w:t>
            </w:r>
          </w:p>
        </w:tc>
        <w:tc>
          <w:tcPr>
            <w:tcW w:w="1498" w:type="dxa"/>
          </w:tcPr>
          <w:p>
            <w:pPr>
              <w:pStyle w:val="TableParagraph"/>
              <w:spacing w:line="424" w:lineRule="exact" w:before="3"/>
              <w:ind w:left="371" w:right="380"/>
              <w:jc w:val="center"/>
              <w:rPr>
                <w:sz w:val="24"/>
              </w:rPr>
            </w:pPr>
            <w:r>
              <w:rPr>
                <w:sz w:val="24"/>
              </w:rPr>
              <w:t>+PZA</w:t>
            </w:r>
          </w:p>
        </w:tc>
        <w:tc>
          <w:tcPr>
            <w:tcW w:w="2027" w:type="dxa"/>
          </w:tcPr>
          <w:p>
            <w:pPr>
              <w:pStyle w:val="TableParagraph"/>
              <w:spacing w:line="424" w:lineRule="exact" w:before="3"/>
              <w:ind w:left="142" w:right="4"/>
              <w:jc w:val="center"/>
              <w:rPr>
                <w:sz w:val="24"/>
              </w:rPr>
            </w:pPr>
            <w:r>
              <w:rPr>
                <w:sz w:val="24"/>
              </w:rPr>
              <w:t>250 mg/day</w:t>
            </w:r>
          </w:p>
        </w:tc>
        <w:tc>
          <w:tcPr>
            <w:tcW w:w="2232" w:type="dxa"/>
          </w:tcPr>
          <w:p>
            <w:pPr>
              <w:pStyle w:val="TableParagraph"/>
              <w:rPr>
                <w:rFonts w:ascii="Times New Roman"/>
                <w:sz w:val="22"/>
              </w:rPr>
            </w:pPr>
          </w:p>
        </w:tc>
      </w:tr>
      <w:tr>
        <w:trPr>
          <w:trHeight w:val="448" w:hRule="atLeast"/>
        </w:trPr>
        <w:tc>
          <w:tcPr>
            <w:tcW w:w="1618" w:type="dxa"/>
          </w:tcPr>
          <w:p>
            <w:pPr>
              <w:pStyle w:val="TableParagraph"/>
              <w:spacing w:line="425" w:lineRule="exact" w:before="3"/>
              <w:ind w:left="335" w:right="368"/>
              <w:jc w:val="center"/>
              <w:rPr>
                <w:sz w:val="24"/>
              </w:rPr>
            </w:pPr>
            <w:r>
              <w:rPr>
                <w:sz w:val="24"/>
              </w:rPr>
              <w:t>12</w:t>
            </w:r>
          </w:p>
        </w:tc>
        <w:tc>
          <w:tcPr>
            <w:tcW w:w="1498" w:type="dxa"/>
          </w:tcPr>
          <w:p>
            <w:pPr>
              <w:pStyle w:val="TableParagraph"/>
              <w:spacing w:line="425" w:lineRule="exact" w:before="3"/>
              <w:ind w:left="371" w:right="380"/>
              <w:jc w:val="center"/>
              <w:rPr>
                <w:sz w:val="24"/>
              </w:rPr>
            </w:pPr>
            <w:r>
              <w:rPr>
                <w:sz w:val="24"/>
              </w:rPr>
              <w:t>+PZA</w:t>
            </w:r>
          </w:p>
        </w:tc>
        <w:tc>
          <w:tcPr>
            <w:tcW w:w="2027" w:type="dxa"/>
          </w:tcPr>
          <w:p>
            <w:pPr>
              <w:pStyle w:val="TableParagraph"/>
              <w:spacing w:line="425" w:lineRule="exact" w:before="3"/>
              <w:ind w:left="142" w:right="4"/>
              <w:jc w:val="center"/>
              <w:rPr>
                <w:sz w:val="24"/>
              </w:rPr>
            </w:pPr>
            <w:r>
              <w:rPr>
                <w:sz w:val="24"/>
              </w:rPr>
              <w:t>500 mg/day</w:t>
            </w:r>
          </w:p>
        </w:tc>
        <w:tc>
          <w:tcPr>
            <w:tcW w:w="2232" w:type="dxa"/>
          </w:tcPr>
          <w:p>
            <w:pPr>
              <w:pStyle w:val="TableParagraph"/>
              <w:rPr>
                <w:rFonts w:ascii="Times New Roman"/>
                <w:sz w:val="22"/>
              </w:rPr>
            </w:pPr>
          </w:p>
        </w:tc>
      </w:tr>
      <w:tr>
        <w:trPr>
          <w:trHeight w:val="438" w:hRule="atLeast"/>
        </w:trPr>
        <w:tc>
          <w:tcPr>
            <w:tcW w:w="1618" w:type="dxa"/>
            <w:tcBorders>
              <w:bottom w:val="single" w:sz="12" w:space="0" w:color="000000"/>
            </w:tcBorders>
          </w:tcPr>
          <w:p>
            <w:pPr>
              <w:pStyle w:val="TableParagraph"/>
              <w:spacing w:line="414" w:lineRule="exact" w:before="3"/>
              <w:ind w:left="335" w:right="368"/>
              <w:jc w:val="center"/>
              <w:rPr>
                <w:sz w:val="24"/>
              </w:rPr>
            </w:pPr>
            <w:r>
              <w:rPr>
                <w:sz w:val="24"/>
              </w:rPr>
              <w:t>13</w:t>
            </w:r>
          </w:p>
        </w:tc>
        <w:tc>
          <w:tcPr>
            <w:tcW w:w="1498" w:type="dxa"/>
            <w:tcBorders>
              <w:bottom w:val="single" w:sz="12" w:space="0" w:color="000000"/>
            </w:tcBorders>
          </w:tcPr>
          <w:p>
            <w:pPr>
              <w:pStyle w:val="TableParagraph"/>
              <w:spacing w:line="414" w:lineRule="exact" w:before="3"/>
              <w:ind w:left="371" w:right="380"/>
              <w:jc w:val="center"/>
              <w:rPr>
                <w:sz w:val="24"/>
              </w:rPr>
            </w:pPr>
            <w:r>
              <w:rPr>
                <w:sz w:val="24"/>
              </w:rPr>
              <w:t>+PZA</w:t>
            </w:r>
          </w:p>
        </w:tc>
        <w:tc>
          <w:tcPr>
            <w:tcW w:w="2027" w:type="dxa"/>
            <w:tcBorders>
              <w:bottom w:val="single" w:sz="12" w:space="0" w:color="000000"/>
            </w:tcBorders>
          </w:tcPr>
          <w:p>
            <w:pPr>
              <w:pStyle w:val="TableParagraph"/>
              <w:spacing w:line="414" w:lineRule="exact" w:before="3"/>
              <w:ind w:left="142" w:right="3"/>
              <w:jc w:val="center"/>
              <w:rPr>
                <w:sz w:val="24"/>
              </w:rPr>
            </w:pPr>
            <w:r>
              <w:rPr>
                <w:sz w:val="24"/>
              </w:rPr>
              <w:t>full dose</w:t>
            </w:r>
          </w:p>
        </w:tc>
        <w:tc>
          <w:tcPr>
            <w:tcW w:w="2232" w:type="dxa"/>
            <w:tcBorders>
              <w:bottom w:val="single" w:sz="12" w:space="0" w:color="000000"/>
            </w:tcBorders>
          </w:tcPr>
          <w:p>
            <w:pPr>
              <w:pStyle w:val="TableParagraph"/>
              <w:spacing w:line="414" w:lineRule="exact" w:before="3"/>
              <w:ind w:left="106"/>
              <w:jc w:val="center"/>
              <w:rPr>
                <w:sz w:val="24"/>
              </w:rPr>
            </w:pPr>
            <w:r>
              <w:rPr>
                <w:sz w:val="24"/>
              </w:rPr>
              <w:t>+</w:t>
            </w:r>
          </w:p>
        </w:tc>
      </w:tr>
    </w:tbl>
    <w:p>
      <w:pPr>
        <w:pStyle w:val="BodyText"/>
        <w:spacing w:line="443" w:lineRule="exact" w:before="63"/>
        <w:ind w:left="1314"/>
      </w:pPr>
      <w:r>
        <w:rPr>
          <w:rFonts w:ascii="Calibri" w:eastAsia="Calibri"/>
          <w:position w:val="11"/>
        </w:rPr>
        <w:t>a</w:t>
      </w:r>
      <w:r>
        <w:rPr/>
        <w:t>：建議包含 </w:t>
      </w:r>
      <w:r>
        <w:rPr>
          <w:rFonts w:ascii="Calibri" w:eastAsia="Calibri"/>
        </w:rPr>
        <w:t>ALT</w:t>
      </w:r>
      <w:r>
        <w:rPr/>
        <w:t>、</w:t>
      </w:r>
      <w:r>
        <w:rPr>
          <w:rFonts w:ascii="Calibri" w:eastAsia="Calibri"/>
        </w:rPr>
        <w:t>AST</w:t>
      </w:r>
      <w:r>
        <w:rPr/>
        <w:t>、以及  </w:t>
      </w:r>
      <w:r>
        <w:rPr>
          <w:rFonts w:ascii="Calibri" w:eastAsia="Calibri"/>
        </w:rPr>
        <w:t>total bilirubin</w:t>
      </w:r>
      <w:r>
        <w:rPr/>
        <w:t>。</w:t>
      </w:r>
    </w:p>
    <w:p>
      <w:pPr>
        <w:pStyle w:val="BodyText"/>
        <w:spacing w:line="386" w:lineRule="exact"/>
        <w:ind w:left="1683"/>
      </w:pPr>
      <w:r>
        <w:rPr/>
        <w:t>逐一加藥的過程中，可以同時使用足夠劑量的</w:t>
      </w:r>
      <w:r>
        <w:rPr>
          <w:rFonts w:ascii="Calibri" w:eastAsia="Calibri"/>
        </w:rPr>
        <w:t>EMB</w:t>
      </w:r>
      <w:r>
        <w:rPr/>
        <w:t>。</w:t>
      </w:r>
    </w:p>
    <w:p>
      <w:pPr>
        <w:pStyle w:val="BodyText"/>
        <w:spacing w:line="204" w:lineRule="auto" w:before="10"/>
        <w:ind w:left="1683" w:right="2537"/>
      </w:pPr>
      <w:r>
        <w:rPr/>
        <w:t>若病人之藥物性肝炎嚴重或合併有黃疸，在成功地重新使用上</w:t>
      </w:r>
      <w:r>
        <w:rPr>
          <w:rFonts w:ascii="Calibri" w:eastAsia="Calibri"/>
        </w:rPr>
        <w:t>INH </w:t>
      </w:r>
      <w:r>
        <w:rPr/>
        <w:t>及</w:t>
      </w:r>
      <w:r>
        <w:rPr>
          <w:rFonts w:ascii="Calibri" w:eastAsia="Calibri"/>
        </w:rPr>
        <w:t>RMP</w:t>
      </w:r>
      <w:r>
        <w:rPr/>
        <w:t>之後，不建議嘗試加入</w:t>
      </w:r>
      <w:r>
        <w:rPr>
          <w:rFonts w:ascii="Calibri" w:eastAsia="Calibri"/>
        </w:rPr>
        <w:t>PZA</w:t>
      </w:r>
      <w:r>
        <w:rPr/>
        <w:t>。</w:t>
      </w:r>
    </w:p>
    <w:p>
      <w:pPr>
        <w:spacing w:after="0" w:line="204" w:lineRule="auto"/>
        <w:sectPr>
          <w:pgSz w:w="12250" w:h="17190"/>
          <w:pgMar w:header="0" w:footer="748" w:top="1360" w:bottom="1020" w:left="1180" w:right="0"/>
        </w:sectPr>
      </w:pPr>
    </w:p>
    <w:p>
      <w:pPr>
        <w:pStyle w:val="Heading7"/>
        <w:spacing w:before="14"/>
        <w:ind w:left="1346" w:right="2525"/>
        <w:jc w:val="center"/>
      </w:pPr>
      <w:bookmarkStart w:name="表5-2 皮疹反應的處理方法建議" w:id="54"/>
      <w:bookmarkEnd w:id="54"/>
      <w:r>
        <w:rPr>
          <w:b w:val="0"/>
        </w:rPr>
      </w:r>
      <w:r>
        <w:rPr/>
        <w:t>表 5-2 皮疹反應的處理方法建議</w:t>
      </w:r>
    </w:p>
    <w:p>
      <w:pPr>
        <w:pStyle w:val="BodyText"/>
        <w:spacing w:before="13" w:after="1"/>
        <w:rPr>
          <w:b/>
          <w:sz w:val="5"/>
        </w:rPr>
      </w:pPr>
    </w:p>
    <w:tbl>
      <w:tblPr>
        <w:tblW w:w="0" w:type="auto"/>
        <w:jc w:val="left"/>
        <w:tblInd w:w="1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4"/>
        <w:gridCol w:w="1917"/>
        <w:gridCol w:w="3016"/>
      </w:tblGrid>
      <w:tr>
        <w:trPr>
          <w:trHeight w:val="423" w:hRule="atLeast"/>
        </w:trPr>
        <w:tc>
          <w:tcPr>
            <w:tcW w:w="2164" w:type="dxa"/>
            <w:tcBorders>
              <w:top w:val="single" w:sz="12" w:space="0" w:color="000000"/>
              <w:bottom w:val="single" w:sz="12" w:space="0" w:color="000000"/>
            </w:tcBorders>
            <w:shd w:val="clear" w:color="auto" w:fill="F1F1F1"/>
          </w:tcPr>
          <w:p>
            <w:pPr>
              <w:pStyle w:val="TableParagraph"/>
              <w:spacing w:line="404" w:lineRule="exact"/>
              <w:ind w:left="574" w:right="675"/>
              <w:jc w:val="center"/>
              <w:rPr>
                <w:sz w:val="24"/>
              </w:rPr>
            </w:pPr>
            <w:r>
              <w:rPr>
                <w:sz w:val="24"/>
              </w:rPr>
              <w:t>日期(天)</w:t>
            </w:r>
          </w:p>
        </w:tc>
        <w:tc>
          <w:tcPr>
            <w:tcW w:w="1917" w:type="dxa"/>
            <w:tcBorders>
              <w:top w:val="single" w:sz="12" w:space="0" w:color="000000"/>
              <w:bottom w:val="single" w:sz="12" w:space="0" w:color="000000"/>
            </w:tcBorders>
            <w:shd w:val="clear" w:color="auto" w:fill="F1F1F1"/>
          </w:tcPr>
          <w:p>
            <w:pPr>
              <w:pStyle w:val="TableParagraph"/>
              <w:spacing w:line="404" w:lineRule="exact"/>
              <w:ind w:left="675" w:right="494"/>
              <w:jc w:val="center"/>
              <w:rPr>
                <w:sz w:val="24"/>
              </w:rPr>
            </w:pPr>
            <w:r>
              <w:rPr>
                <w:sz w:val="24"/>
              </w:rPr>
              <w:t>藥物</w:t>
            </w:r>
          </w:p>
        </w:tc>
        <w:tc>
          <w:tcPr>
            <w:tcW w:w="3016" w:type="dxa"/>
            <w:tcBorders>
              <w:top w:val="single" w:sz="12" w:space="0" w:color="000000"/>
              <w:bottom w:val="single" w:sz="12" w:space="0" w:color="000000"/>
            </w:tcBorders>
            <w:shd w:val="clear" w:color="auto" w:fill="F1F1F1"/>
          </w:tcPr>
          <w:p>
            <w:pPr>
              <w:pStyle w:val="TableParagraph"/>
              <w:spacing w:line="404" w:lineRule="exact"/>
              <w:ind w:left="1395" w:right="1100"/>
              <w:jc w:val="center"/>
              <w:rPr>
                <w:sz w:val="24"/>
              </w:rPr>
            </w:pPr>
            <w:r>
              <w:rPr>
                <w:sz w:val="24"/>
              </w:rPr>
              <w:t>劑量</w:t>
            </w:r>
          </w:p>
        </w:tc>
      </w:tr>
      <w:tr>
        <w:trPr>
          <w:trHeight w:val="426" w:hRule="atLeast"/>
        </w:trPr>
        <w:tc>
          <w:tcPr>
            <w:tcW w:w="2164" w:type="dxa"/>
            <w:tcBorders>
              <w:top w:val="single" w:sz="12" w:space="0" w:color="000000"/>
            </w:tcBorders>
          </w:tcPr>
          <w:p>
            <w:pPr>
              <w:pStyle w:val="TableParagraph"/>
              <w:spacing w:line="406" w:lineRule="exact"/>
              <w:ind w:right="101"/>
              <w:jc w:val="center"/>
              <w:rPr>
                <w:sz w:val="24"/>
              </w:rPr>
            </w:pPr>
            <w:r>
              <w:rPr>
                <w:sz w:val="24"/>
              </w:rPr>
              <w:t>0</w:t>
            </w:r>
          </w:p>
        </w:tc>
        <w:tc>
          <w:tcPr>
            <w:tcW w:w="1917" w:type="dxa"/>
            <w:tcBorders>
              <w:top w:val="single" w:sz="12" w:space="0" w:color="000000"/>
            </w:tcBorders>
          </w:tcPr>
          <w:p>
            <w:pPr>
              <w:pStyle w:val="TableParagraph"/>
              <w:spacing w:line="406" w:lineRule="exact"/>
              <w:ind w:left="181"/>
              <w:jc w:val="center"/>
              <w:rPr>
                <w:sz w:val="24"/>
              </w:rPr>
            </w:pPr>
            <w:r>
              <w:rPr>
                <w:sz w:val="24"/>
              </w:rPr>
              <w:t>-</w:t>
            </w:r>
          </w:p>
        </w:tc>
        <w:tc>
          <w:tcPr>
            <w:tcW w:w="3016" w:type="dxa"/>
            <w:tcBorders>
              <w:top w:val="single" w:sz="12" w:space="0" w:color="000000"/>
            </w:tcBorders>
          </w:tcPr>
          <w:p>
            <w:pPr>
              <w:pStyle w:val="TableParagraph"/>
              <w:spacing w:line="406" w:lineRule="exact"/>
              <w:ind w:left="514"/>
              <w:rPr>
                <w:sz w:val="24"/>
              </w:rPr>
            </w:pPr>
            <w:r>
              <w:rPr>
                <w:sz w:val="24"/>
              </w:rPr>
              <w:t>-</w:t>
            </w:r>
          </w:p>
        </w:tc>
      </w:tr>
      <w:tr>
        <w:trPr>
          <w:trHeight w:val="438" w:hRule="atLeast"/>
        </w:trPr>
        <w:tc>
          <w:tcPr>
            <w:tcW w:w="2164" w:type="dxa"/>
          </w:tcPr>
          <w:p>
            <w:pPr>
              <w:pStyle w:val="TableParagraph"/>
              <w:spacing w:line="419" w:lineRule="exact"/>
              <w:ind w:right="101"/>
              <w:jc w:val="center"/>
              <w:rPr>
                <w:sz w:val="24"/>
              </w:rPr>
            </w:pPr>
            <w:r>
              <w:rPr>
                <w:sz w:val="24"/>
              </w:rPr>
              <w:t>1</w:t>
            </w:r>
          </w:p>
        </w:tc>
        <w:tc>
          <w:tcPr>
            <w:tcW w:w="1917" w:type="dxa"/>
          </w:tcPr>
          <w:p>
            <w:pPr>
              <w:pStyle w:val="TableParagraph"/>
              <w:spacing w:line="419" w:lineRule="exact"/>
              <w:ind w:left="675" w:right="494"/>
              <w:jc w:val="center"/>
              <w:rPr>
                <w:sz w:val="24"/>
              </w:rPr>
            </w:pPr>
            <w:r>
              <w:rPr>
                <w:sz w:val="24"/>
              </w:rPr>
              <w:t>INH</w:t>
            </w:r>
          </w:p>
        </w:tc>
        <w:tc>
          <w:tcPr>
            <w:tcW w:w="3016" w:type="dxa"/>
          </w:tcPr>
          <w:p>
            <w:pPr>
              <w:pStyle w:val="TableParagraph"/>
              <w:spacing w:line="419" w:lineRule="exact"/>
              <w:ind w:left="514"/>
              <w:rPr>
                <w:sz w:val="24"/>
              </w:rPr>
            </w:pPr>
            <w:r>
              <w:rPr>
                <w:sz w:val="24"/>
              </w:rPr>
              <w:t>50 mg/day</w:t>
            </w:r>
          </w:p>
        </w:tc>
      </w:tr>
      <w:tr>
        <w:trPr>
          <w:trHeight w:val="454" w:hRule="atLeast"/>
        </w:trPr>
        <w:tc>
          <w:tcPr>
            <w:tcW w:w="2164" w:type="dxa"/>
          </w:tcPr>
          <w:p>
            <w:pPr>
              <w:pStyle w:val="TableParagraph"/>
              <w:spacing w:line="428" w:lineRule="exact" w:before="6"/>
              <w:ind w:right="101"/>
              <w:jc w:val="center"/>
              <w:rPr>
                <w:sz w:val="24"/>
              </w:rPr>
            </w:pPr>
            <w:r>
              <w:rPr>
                <w:sz w:val="24"/>
              </w:rPr>
              <w:t>2</w:t>
            </w:r>
          </w:p>
        </w:tc>
        <w:tc>
          <w:tcPr>
            <w:tcW w:w="1917" w:type="dxa"/>
          </w:tcPr>
          <w:p>
            <w:pPr>
              <w:pStyle w:val="TableParagraph"/>
              <w:spacing w:line="428" w:lineRule="exact" w:before="6"/>
              <w:ind w:left="675" w:right="494"/>
              <w:jc w:val="center"/>
              <w:rPr>
                <w:sz w:val="24"/>
              </w:rPr>
            </w:pPr>
            <w:r>
              <w:rPr>
                <w:sz w:val="24"/>
              </w:rPr>
              <w:t>INH</w:t>
            </w:r>
          </w:p>
        </w:tc>
        <w:tc>
          <w:tcPr>
            <w:tcW w:w="3016" w:type="dxa"/>
          </w:tcPr>
          <w:p>
            <w:pPr>
              <w:pStyle w:val="TableParagraph"/>
              <w:spacing w:line="428" w:lineRule="exact" w:before="6"/>
              <w:ind w:left="514"/>
              <w:rPr>
                <w:sz w:val="24"/>
              </w:rPr>
            </w:pPr>
            <w:r>
              <w:rPr>
                <w:sz w:val="24"/>
              </w:rPr>
              <w:t>100 mg/day</w:t>
            </w:r>
          </w:p>
        </w:tc>
      </w:tr>
      <w:tr>
        <w:trPr>
          <w:trHeight w:val="454" w:hRule="atLeast"/>
        </w:trPr>
        <w:tc>
          <w:tcPr>
            <w:tcW w:w="2164" w:type="dxa"/>
          </w:tcPr>
          <w:p>
            <w:pPr>
              <w:pStyle w:val="TableParagraph"/>
              <w:spacing w:line="427" w:lineRule="exact" w:before="6"/>
              <w:ind w:right="101"/>
              <w:jc w:val="center"/>
              <w:rPr>
                <w:sz w:val="24"/>
              </w:rPr>
            </w:pPr>
            <w:r>
              <w:rPr>
                <w:sz w:val="24"/>
              </w:rPr>
              <w:t>3</w:t>
            </w:r>
          </w:p>
        </w:tc>
        <w:tc>
          <w:tcPr>
            <w:tcW w:w="1917" w:type="dxa"/>
          </w:tcPr>
          <w:p>
            <w:pPr>
              <w:pStyle w:val="TableParagraph"/>
              <w:spacing w:line="427" w:lineRule="exact" w:before="6"/>
              <w:ind w:left="675" w:right="494"/>
              <w:jc w:val="center"/>
              <w:rPr>
                <w:sz w:val="24"/>
              </w:rPr>
            </w:pPr>
            <w:r>
              <w:rPr>
                <w:sz w:val="24"/>
              </w:rPr>
              <w:t>INH</w:t>
            </w:r>
          </w:p>
        </w:tc>
        <w:tc>
          <w:tcPr>
            <w:tcW w:w="3016" w:type="dxa"/>
          </w:tcPr>
          <w:p>
            <w:pPr>
              <w:pStyle w:val="TableParagraph"/>
              <w:spacing w:line="427" w:lineRule="exact" w:before="6"/>
              <w:ind w:left="514"/>
              <w:rPr>
                <w:sz w:val="24"/>
              </w:rPr>
            </w:pPr>
            <w:r>
              <w:rPr>
                <w:sz w:val="24"/>
              </w:rPr>
              <w:t>300 mg/day</w:t>
            </w:r>
          </w:p>
        </w:tc>
      </w:tr>
      <w:tr>
        <w:trPr>
          <w:trHeight w:val="453" w:hRule="atLeast"/>
        </w:trPr>
        <w:tc>
          <w:tcPr>
            <w:tcW w:w="2164" w:type="dxa"/>
          </w:tcPr>
          <w:p>
            <w:pPr>
              <w:pStyle w:val="TableParagraph"/>
              <w:spacing w:line="427" w:lineRule="exact" w:before="6"/>
              <w:ind w:right="101"/>
              <w:jc w:val="center"/>
              <w:rPr>
                <w:sz w:val="24"/>
              </w:rPr>
            </w:pPr>
            <w:r>
              <w:rPr>
                <w:sz w:val="24"/>
              </w:rPr>
              <w:t>4</w:t>
            </w:r>
          </w:p>
        </w:tc>
        <w:tc>
          <w:tcPr>
            <w:tcW w:w="1917" w:type="dxa"/>
          </w:tcPr>
          <w:p>
            <w:pPr>
              <w:pStyle w:val="TableParagraph"/>
              <w:spacing w:line="427" w:lineRule="exact" w:before="6"/>
              <w:ind w:left="675" w:right="494"/>
              <w:jc w:val="center"/>
              <w:rPr>
                <w:sz w:val="24"/>
              </w:rPr>
            </w:pPr>
            <w:r>
              <w:rPr>
                <w:sz w:val="24"/>
              </w:rPr>
              <w:t>+RMP</w:t>
            </w:r>
          </w:p>
        </w:tc>
        <w:tc>
          <w:tcPr>
            <w:tcW w:w="3016" w:type="dxa"/>
          </w:tcPr>
          <w:p>
            <w:pPr>
              <w:pStyle w:val="TableParagraph"/>
              <w:spacing w:line="427" w:lineRule="exact" w:before="6"/>
              <w:ind w:left="514"/>
              <w:rPr>
                <w:sz w:val="24"/>
              </w:rPr>
            </w:pPr>
            <w:r>
              <w:rPr>
                <w:sz w:val="24"/>
              </w:rPr>
              <w:t>150 mg/day</w:t>
            </w:r>
          </w:p>
        </w:tc>
      </w:tr>
      <w:tr>
        <w:trPr>
          <w:trHeight w:val="454" w:hRule="atLeast"/>
        </w:trPr>
        <w:tc>
          <w:tcPr>
            <w:tcW w:w="2164" w:type="dxa"/>
          </w:tcPr>
          <w:p>
            <w:pPr>
              <w:pStyle w:val="TableParagraph"/>
              <w:spacing w:line="428" w:lineRule="exact" w:before="6"/>
              <w:ind w:right="101"/>
              <w:jc w:val="center"/>
              <w:rPr>
                <w:sz w:val="24"/>
              </w:rPr>
            </w:pPr>
            <w:r>
              <w:rPr>
                <w:sz w:val="24"/>
              </w:rPr>
              <w:t>5</w:t>
            </w:r>
          </w:p>
        </w:tc>
        <w:tc>
          <w:tcPr>
            <w:tcW w:w="1917" w:type="dxa"/>
          </w:tcPr>
          <w:p>
            <w:pPr>
              <w:pStyle w:val="TableParagraph"/>
              <w:spacing w:line="428" w:lineRule="exact" w:before="6"/>
              <w:ind w:left="675" w:right="494"/>
              <w:jc w:val="center"/>
              <w:rPr>
                <w:sz w:val="24"/>
              </w:rPr>
            </w:pPr>
            <w:r>
              <w:rPr>
                <w:sz w:val="24"/>
              </w:rPr>
              <w:t>+RMP</w:t>
            </w:r>
          </w:p>
        </w:tc>
        <w:tc>
          <w:tcPr>
            <w:tcW w:w="3016" w:type="dxa"/>
          </w:tcPr>
          <w:p>
            <w:pPr>
              <w:pStyle w:val="TableParagraph"/>
              <w:spacing w:line="428" w:lineRule="exact" w:before="6"/>
              <w:ind w:left="514"/>
              <w:rPr>
                <w:sz w:val="24"/>
              </w:rPr>
            </w:pPr>
            <w:r>
              <w:rPr>
                <w:sz w:val="24"/>
              </w:rPr>
              <w:t>300 mg/day</w:t>
            </w:r>
          </w:p>
        </w:tc>
      </w:tr>
      <w:tr>
        <w:trPr>
          <w:trHeight w:val="454" w:hRule="atLeast"/>
        </w:trPr>
        <w:tc>
          <w:tcPr>
            <w:tcW w:w="2164" w:type="dxa"/>
          </w:tcPr>
          <w:p>
            <w:pPr>
              <w:pStyle w:val="TableParagraph"/>
              <w:spacing w:line="427" w:lineRule="exact" w:before="6"/>
              <w:ind w:right="101"/>
              <w:jc w:val="center"/>
              <w:rPr>
                <w:sz w:val="24"/>
              </w:rPr>
            </w:pPr>
            <w:r>
              <w:rPr>
                <w:sz w:val="24"/>
              </w:rPr>
              <w:t>6</w:t>
            </w:r>
          </w:p>
        </w:tc>
        <w:tc>
          <w:tcPr>
            <w:tcW w:w="1917" w:type="dxa"/>
          </w:tcPr>
          <w:p>
            <w:pPr>
              <w:pStyle w:val="TableParagraph"/>
              <w:spacing w:line="427" w:lineRule="exact" w:before="6"/>
              <w:ind w:left="675" w:right="494"/>
              <w:jc w:val="center"/>
              <w:rPr>
                <w:sz w:val="24"/>
              </w:rPr>
            </w:pPr>
            <w:r>
              <w:rPr>
                <w:sz w:val="24"/>
              </w:rPr>
              <w:t>+RMP</w:t>
            </w:r>
          </w:p>
        </w:tc>
        <w:tc>
          <w:tcPr>
            <w:tcW w:w="3016" w:type="dxa"/>
          </w:tcPr>
          <w:p>
            <w:pPr>
              <w:pStyle w:val="TableParagraph"/>
              <w:spacing w:line="427" w:lineRule="exact" w:before="6"/>
              <w:ind w:left="514"/>
              <w:rPr>
                <w:sz w:val="24"/>
              </w:rPr>
            </w:pPr>
            <w:r>
              <w:rPr>
                <w:sz w:val="24"/>
              </w:rPr>
              <w:t>full dose</w:t>
            </w:r>
          </w:p>
        </w:tc>
      </w:tr>
      <w:tr>
        <w:trPr>
          <w:trHeight w:val="453" w:hRule="atLeast"/>
        </w:trPr>
        <w:tc>
          <w:tcPr>
            <w:tcW w:w="2164" w:type="dxa"/>
          </w:tcPr>
          <w:p>
            <w:pPr>
              <w:pStyle w:val="TableParagraph"/>
              <w:spacing w:line="427" w:lineRule="exact" w:before="6"/>
              <w:ind w:right="101"/>
              <w:jc w:val="center"/>
              <w:rPr>
                <w:sz w:val="24"/>
              </w:rPr>
            </w:pPr>
            <w:r>
              <w:rPr>
                <w:sz w:val="24"/>
              </w:rPr>
              <w:t>7</w:t>
            </w:r>
          </w:p>
        </w:tc>
        <w:tc>
          <w:tcPr>
            <w:tcW w:w="1917" w:type="dxa"/>
          </w:tcPr>
          <w:p>
            <w:pPr>
              <w:pStyle w:val="TableParagraph"/>
              <w:spacing w:line="427" w:lineRule="exact" w:before="6"/>
              <w:ind w:left="674" w:right="494"/>
              <w:jc w:val="center"/>
              <w:rPr>
                <w:sz w:val="24"/>
              </w:rPr>
            </w:pPr>
            <w:r>
              <w:rPr>
                <w:sz w:val="24"/>
              </w:rPr>
              <w:t>+EMB</w:t>
            </w:r>
          </w:p>
        </w:tc>
        <w:tc>
          <w:tcPr>
            <w:tcW w:w="3016" w:type="dxa"/>
          </w:tcPr>
          <w:p>
            <w:pPr>
              <w:pStyle w:val="TableParagraph"/>
              <w:spacing w:line="427" w:lineRule="exact" w:before="6"/>
              <w:ind w:left="514"/>
              <w:rPr>
                <w:sz w:val="24"/>
              </w:rPr>
            </w:pPr>
            <w:r>
              <w:rPr>
                <w:sz w:val="24"/>
              </w:rPr>
              <w:t>200 mg/day</w:t>
            </w:r>
          </w:p>
        </w:tc>
      </w:tr>
      <w:tr>
        <w:trPr>
          <w:trHeight w:val="454" w:hRule="atLeast"/>
        </w:trPr>
        <w:tc>
          <w:tcPr>
            <w:tcW w:w="2164" w:type="dxa"/>
          </w:tcPr>
          <w:p>
            <w:pPr>
              <w:pStyle w:val="TableParagraph"/>
              <w:spacing w:line="428" w:lineRule="exact" w:before="6"/>
              <w:ind w:right="101"/>
              <w:jc w:val="center"/>
              <w:rPr>
                <w:sz w:val="24"/>
              </w:rPr>
            </w:pPr>
            <w:r>
              <w:rPr>
                <w:sz w:val="24"/>
              </w:rPr>
              <w:t>8</w:t>
            </w:r>
          </w:p>
        </w:tc>
        <w:tc>
          <w:tcPr>
            <w:tcW w:w="1917" w:type="dxa"/>
          </w:tcPr>
          <w:p>
            <w:pPr>
              <w:pStyle w:val="TableParagraph"/>
              <w:spacing w:line="428" w:lineRule="exact" w:before="6"/>
              <w:ind w:left="674" w:right="494"/>
              <w:jc w:val="center"/>
              <w:rPr>
                <w:sz w:val="24"/>
              </w:rPr>
            </w:pPr>
            <w:r>
              <w:rPr>
                <w:sz w:val="24"/>
              </w:rPr>
              <w:t>+EMB</w:t>
            </w:r>
          </w:p>
        </w:tc>
        <w:tc>
          <w:tcPr>
            <w:tcW w:w="3016" w:type="dxa"/>
          </w:tcPr>
          <w:p>
            <w:pPr>
              <w:pStyle w:val="TableParagraph"/>
              <w:spacing w:line="428" w:lineRule="exact" w:before="6"/>
              <w:ind w:left="514"/>
              <w:rPr>
                <w:sz w:val="24"/>
              </w:rPr>
            </w:pPr>
            <w:r>
              <w:rPr>
                <w:sz w:val="24"/>
              </w:rPr>
              <w:t>400 mg/day</w:t>
            </w:r>
          </w:p>
        </w:tc>
      </w:tr>
      <w:tr>
        <w:trPr>
          <w:trHeight w:val="454" w:hRule="atLeast"/>
        </w:trPr>
        <w:tc>
          <w:tcPr>
            <w:tcW w:w="2164" w:type="dxa"/>
          </w:tcPr>
          <w:p>
            <w:pPr>
              <w:pStyle w:val="TableParagraph"/>
              <w:spacing w:line="427" w:lineRule="exact" w:before="6"/>
              <w:ind w:right="101"/>
              <w:jc w:val="center"/>
              <w:rPr>
                <w:sz w:val="24"/>
              </w:rPr>
            </w:pPr>
            <w:r>
              <w:rPr>
                <w:sz w:val="24"/>
              </w:rPr>
              <w:t>9</w:t>
            </w:r>
          </w:p>
        </w:tc>
        <w:tc>
          <w:tcPr>
            <w:tcW w:w="1917" w:type="dxa"/>
          </w:tcPr>
          <w:p>
            <w:pPr>
              <w:pStyle w:val="TableParagraph"/>
              <w:spacing w:line="427" w:lineRule="exact" w:before="6"/>
              <w:ind w:left="674" w:right="494"/>
              <w:jc w:val="center"/>
              <w:rPr>
                <w:sz w:val="24"/>
              </w:rPr>
            </w:pPr>
            <w:r>
              <w:rPr>
                <w:sz w:val="24"/>
              </w:rPr>
              <w:t>+EMB</w:t>
            </w:r>
          </w:p>
        </w:tc>
        <w:tc>
          <w:tcPr>
            <w:tcW w:w="3016" w:type="dxa"/>
          </w:tcPr>
          <w:p>
            <w:pPr>
              <w:pStyle w:val="TableParagraph"/>
              <w:spacing w:line="427" w:lineRule="exact" w:before="6"/>
              <w:ind w:left="514"/>
              <w:rPr>
                <w:sz w:val="24"/>
              </w:rPr>
            </w:pPr>
            <w:r>
              <w:rPr>
                <w:sz w:val="24"/>
              </w:rPr>
              <w:t>full dose</w:t>
            </w:r>
          </w:p>
        </w:tc>
      </w:tr>
      <w:tr>
        <w:trPr>
          <w:trHeight w:val="453" w:hRule="atLeast"/>
        </w:trPr>
        <w:tc>
          <w:tcPr>
            <w:tcW w:w="2164" w:type="dxa"/>
          </w:tcPr>
          <w:p>
            <w:pPr>
              <w:pStyle w:val="TableParagraph"/>
              <w:spacing w:line="427" w:lineRule="exact" w:before="6"/>
              <w:ind w:left="574" w:right="675"/>
              <w:jc w:val="center"/>
              <w:rPr>
                <w:sz w:val="24"/>
              </w:rPr>
            </w:pPr>
            <w:r>
              <w:rPr>
                <w:sz w:val="24"/>
              </w:rPr>
              <w:t>10</w:t>
            </w:r>
          </w:p>
        </w:tc>
        <w:tc>
          <w:tcPr>
            <w:tcW w:w="1917" w:type="dxa"/>
          </w:tcPr>
          <w:p>
            <w:pPr>
              <w:pStyle w:val="TableParagraph"/>
              <w:spacing w:line="427" w:lineRule="exact" w:before="6"/>
              <w:ind w:left="675" w:right="494"/>
              <w:jc w:val="center"/>
              <w:rPr>
                <w:sz w:val="24"/>
              </w:rPr>
            </w:pPr>
            <w:r>
              <w:rPr>
                <w:sz w:val="24"/>
              </w:rPr>
              <w:t>+PZA</w:t>
            </w:r>
          </w:p>
        </w:tc>
        <w:tc>
          <w:tcPr>
            <w:tcW w:w="3016" w:type="dxa"/>
          </w:tcPr>
          <w:p>
            <w:pPr>
              <w:pStyle w:val="TableParagraph"/>
              <w:spacing w:line="427" w:lineRule="exact" w:before="6"/>
              <w:ind w:left="514"/>
              <w:rPr>
                <w:sz w:val="24"/>
              </w:rPr>
            </w:pPr>
            <w:r>
              <w:rPr>
                <w:sz w:val="24"/>
              </w:rPr>
              <w:t>250 mg/day</w:t>
            </w:r>
          </w:p>
        </w:tc>
      </w:tr>
      <w:tr>
        <w:trPr>
          <w:trHeight w:val="454" w:hRule="atLeast"/>
        </w:trPr>
        <w:tc>
          <w:tcPr>
            <w:tcW w:w="2164" w:type="dxa"/>
          </w:tcPr>
          <w:p>
            <w:pPr>
              <w:pStyle w:val="TableParagraph"/>
              <w:spacing w:line="428" w:lineRule="exact" w:before="6"/>
              <w:ind w:left="574" w:right="675"/>
              <w:jc w:val="center"/>
              <w:rPr>
                <w:sz w:val="24"/>
              </w:rPr>
            </w:pPr>
            <w:r>
              <w:rPr>
                <w:sz w:val="24"/>
              </w:rPr>
              <w:t>11</w:t>
            </w:r>
          </w:p>
        </w:tc>
        <w:tc>
          <w:tcPr>
            <w:tcW w:w="1917" w:type="dxa"/>
          </w:tcPr>
          <w:p>
            <w:pPr>
              <w:pStyle w:val="TableParagraph"/>
              <w:spacing w:line="428" w:lineRule="exact" w:before="6"/>
              <w:ind w:left="675" w:right="494"/>
              <w:jc w:val="center"/>
              <w:rPr>
                <w:sz w:val="24"/>
              </w:rPr>
            </w:pPr>
            <w:r>
              <w:rPr>
                <w:sz w:val="24"/>
              </w:rPr>
              <w:t>+PZA</w:t>
            </w:r>
          </w:p>
        </w:tc>
        <w:tc>
          <w:tcPr>
            <w:tcW w:w="3016" w:type="dxa"/>
          </w:tcPr>
          <w:p>
            <w:pPr>
              <w:pStyle w:val="TableParagraph"/>
              <w:spacing w:line="428" w:lineRule="exact" w:before="6"/>
              <w:ind w:left="514"/>
              <w:rPr>
                <w:sz w:val="24"/>
              </w:rPr>
            </w:pPr>
            <w:r>
              <w:rPr>
                <w:sz w:val="24"/>
              </w:rPr>
              <w:t>500 mg/day</w:t>
            </w:r>
          </w:p>
        </w:tc>
      </w:tr>
      <w:tr>
        <w:trPr>
          <w:trHeight w:val="466" w:hRule="atLeast"/>
        </w:trPr>
        <w:tc>
          <w:tcPr>
            <w:tcW w:w="2164" w:type="dxa"/>
            <w:tcBorders>
              <w:bottom w:val="single" w:sz="12" w:space="0" w:color="000000"/>
            </w:tcBorders>
          </w:tcPr>
          <w:p>
            <w:pPr>
              <w:pStyle w:val="TableParagraph"/>
              <w:spacing w:line="440" w:lineRule="exact" w:before="6"/>
              <w:ind w:left="574" w:right="675"/>
              <w:jc w:val="center"/>
              <w:rPr>
                <w:sz w:val="24"/>
              </w:rPr>
            </w:pPr>
            <w:r>
              <w:rPr>
                <w:sz w:val="24"/>
              </w:rPr>
              <w:t>12</w:t>
            </w:r>
          </w:p>
        </w:tc>
        <w:tc>
          <w:tcPr>
            <w:tcW w:w="1917" w:type="dxa"/>
            <w:tcBorders>
              <w:bottom w:val="single" w:sz="12" w:space="0" w:color="000000"/>
            </w:tcBorders>
          </w:tcPr>
          <w:p>
            <w:pPr>
              <w:pStyle w:val="TableParagraph"/>
              <w:spacing w:line="440" w:lineRule="exact" w:before="6"/>
              <w:ind w:left="675" w:right="494"/>
              <w:jc w:val="center"/>
              <w:rPr>
                <w:sz w:val="24"/>
              </w:rPr>
            </w:pPr>
            <w:r>
              <w:rPr>
                <w:sz w:val="24"/>
              </w:rPr>
              <w:t>+PZA</w:t>
            </w:r>
          </w:p>
        </w:tc>
        <w:tc>
          <w:tcPr>
            <w:tcW w:w="3016" w:type="dxa"/>
            <w:tcBorders>
              <w:bottom w:val="single" w:sz="12" w:space="0" w:color="000000"/>
            </w:tcBorders>
          </w:tcPr>
          <w:p>
            <w:pPr>
              <w:pStyle w:val="TableParagraph"/>
              <w:spacing w:line="440" w:lineRule="exact" w:before="6"/>
              <w:ind w:left="514"/>
              <w:rPr>
                <w:sz w:val="24"/>
              </w:rPr>
            </w:pPr>
            <w:r>
              <w:rPr>
                <w:sz w:val="24"/>
              </w:rPr>
              <w:t>full dose</w:t>
            </w:r>
          </w:p>
        </w:tc>
      </w:tr>
    </w:tbl>
    <w:p>
      <w:pPr>
        <w:pStyle w:val="BodyText"/>
        <w:spacing w:line="409" w:lineRule="exact" w:before="118"/>
        <w:ind w:left="1346" w:right="2575"/>
        <w:jc w:val="center"/>
      </w:pPr>
      <w:r>
        <w:rPr/>
        <w:t>減敏治療過程應儘量縮短，若評估結核分枝桿菌的菌量仍然很大</w:t>
      </w:r>
    </w:p>
    <w:p>
      <w:pPr>
        <w:pStyle w:val="BodyText"/>
        <w:spacing w:line="204" w:lineRule="auto" w:before="16"/>
        <w:ind w:left="1346" w:right="2583"/>
        <w:jc w:val="center"/>
      </w:pPr>
      <w:r>
        <w:rPr/>
        <w:t>（例如胸部X光顯示有開洞病灶、或者痰塗片為強陽性），可考慮於過程中輔以針劑（針劑選擇請詳見5.3.1），以避免產生抗藥菌。</w:t>
      </w:r>
    </w:p>
    <w:p>
      <w:pPr>
        <w:spacing w:after="0" w:line="204" w:lineRule="auto"/>
        <w:jc w:val="center"/>
        <w:sectPr>
          <w:pgSz w:w="12250" w:h="17190"/>
          <w:pgMar w:header="0" w:footer="748" w:top="1380" w:bottom="1020" w:left="1180" w:right="0"/>
        </w:sectPr>
      </w:pPr>
    </w:p>
    <w:p>
      <w:pPr>
        <w:pStyle w:val="BodyText"/>
        <w:spacing w:before="9"/>
        <w:rPr>
          <w:sz w:val="5"/>
        </w:rPr>
      </w:pPr>
    </w:p>
    <w:p>
      <w:pPr>
        <w:pStyle w:val="BodyText"/>
        <w:ind w:left="1980"/>
        <w:rPr>
          <w:sz w:val="20"/>
        </w:rPr>
      </w:pPr>
      <w:r>
        <w:rPr>
          <w:position w:val="0"/>
          <w:sz w:val="20"/>
        </w:rPr>
        <w:pict>
          <v:shape style="width:79.25pt;height:26pt;mso-position-horizontal-relative:char;mso-position-vertical-relative:line" type="#_x0000_t202" filled="false" stroked="true" strokeweight=".75pt" strokecolor="#000000">
            <w10:anchorlock/>
            <v:textbox inset="0,0,0,0">
              <w:txbxContent>
                <w:p>
                  <w:pPr>
                    <w:pStyle w:val="BodyText"/>
                    <w:spacing w:before="22"/>
                    <w:ind w:left="191"/>
                  </w:pPr>
                  <w:r>
                    <w:rPr/>
                    <w:t>肝功能異常</w:t>
                  </w:r>
                </w:p>
              </w:txbxContent>
            </v:textbox>
            <v:stroke dashstyle="solid"/>
          </v:shape>
        </w:pict>
      </w:r>
      <w:r>
        <w:rPr>
          <w:position w:val="0"/>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9"/>
        </w:rPr>
      </w:pPr>
    </w:p>
    <w:p>
      <w:pPr>
        <w:pStyle w:val="BodyText"/>
        <w:spacing w:before="39"/>
        <w:ind w:left="2387"/>
      </w:pPr>
      <w:r>
        <w:rPr/>
        <w:pict>
          <v:group style="position:absolute;margin-left:145.125pt;margin-top:29.590813pt;width:325.5pt;height:201.85pt;mso-position-horizontal-relative:page;mso-position-vertical-relative:paragraph;z-index:-251601920;mso-wrap-distance-left:0;mso-wrap-distance-right:0" coordorigin="2903,592" coordsize="6510,4037">
            <v:shape style="position:absolute;left:3858;top:1066;width:121;height:2770" coordorigin="3858,1066" coordsize="121,2770" path="m3908,3715l3858,3715,3918,3835,3963,3745,3913,3745,3908,3741,3908,3715xm3926,1066l3914,1066,3910,1071,3908,3741,3913,3745,3924,3745,3928,3741,3930,1076,3930,1071,3926,1066xm3978,3715l3928,3715,3928,3741,3924,3745,3963,3745,3978,3715xe" filled="true" fillcolor="#000000" stroked="false">
              <v:path arrowok="t"/>
              <v:fill type="solid"/>
            </v:shape>
            <v:line style="position:absolute" from="8292,3562" to="8307,3562" stroked="true" strokeweight=".151pt" strokecolor="#000000">
              <v:stroke dashstyle="solid"/>
            </v:line>
            <v:shape style="position:absolute;left:8264;top:3540;width:121;height:289" type="#_x0000_t75" stroked="false">
              <v:imagedata r:id="rId35" o:title=""/>
            </v:shape>
            <v:line style="position:absolute" from="3939,3533" to="8321,3533" stroked="true" strokeweight="1.5pt" strokecolor="#000000">
              <v:stroke dashstyle="solid"/>
            </v:line>
            <v:shape style="position:absolute;left:7049;top:3828;width:2355;height:786" type="#_x0000_t202" filled="false" stroked="true" strokeweight=".75pt" strokecolor="#000000">
              <v:textbox inset="0,0,0,0">
                <w:txbxContent>
                  <w:p>
                    <w:pPr>
                      <w:spacing w:line="163" w:lineRule="auto" w:before="119"/>
                      <w:ind w:left="688" w:right="328" w:hanging="360"/>
                      <w:jc w:val="left"/>
                      <w:rPr>
                        <w:sz w:val="24"/>
                      </w:rPr>
                    </w:pPr>
                    <w:r>
                      <w:rPr>
                        <w:sz w:val="24"/>
                      </w:rPr>
                      <w:t>需要立即抗結核藥物治療</w:t>
                    </w:r>
                  </w:p>
                </w:txbxContent>
              </v:textbox>
              <v:stroke dashstyle="solid"/>
              <w10:wrap type="none"/>
            </v:shape>
            <v:shape style="position:absolute;left:2910;top:3835;width:2017;height:786" type="#_x0000_t202" filled="false" stroked="true" strokeweight=".75pt" strokecolor="#000000">
              <v:textbox inset="0,0,0,0">
                <w:txbxContent>
                  <w:p>
                    <w:pPr>
                      <w:spacing w:line="163" w:lineRule="auto" w:before="121"/>
                      <w:ind w:left="515" w:right="161" w:hanging="358"/>
                      <w:jc w:val="left"/>
                      <w:rPr>
                        <w:sz w:val="24"/>
                      </w:rPr>
                    </w:pPr>
                    <w:r>
                      <w:rPr>
                        <w:sz w:val="24"/>
                      </w:rPr>
                      <w:t>不需立即抗結核藥物治療</w:t>
                    </w:r>
                  </w:p>
                </w:txbxContent>
              </v:textbox>
              <v:stroke dashstyle="solid"/>
              <w10:wrap type="none"/>
            </v:shape>
            <v:shape style="position:absolute;left:4068;top:2107;width:2976;height:1135" type="#_x0000_t202" filled="false" stroked="true" strokeweight=".75pt" strokecolor="#000000">
              <v:textbox inset="0,0,0,0">
                <w:txbxContent>
                  <w:p>
                    <w:pPr>
                      <w:spacing w:line="180" w:lineRule="auto" w:before="120"/>
                      <w:ind w:left="229" w:right="133" w:firstLine="0"/>
                      <w:jc w:val="center"/>
                      <w:rPr>
                        <w:sz w:val="24"/>
                      </w:rPr>
                    </w:pPr>
                    <w:r>
                      <w:rPr>
                        <w:spacing w:val="-7"/>
                        <w:sz w:val="24"/>
                      </w:rPr>
                      <w:t>是否立即抗結核藥物治療</w:t>
                    </w:r>
                    <w:r>
                      <w:rPr>
                        <w:sz w:val="24"/>
                      </w:rPr>
                      <w:t>嚴重結核病？</w:t>
                    </w:r>
                  </w:p>
                  <w:p>
                    <w:pPr>
                      <w:spacing w:line="337" w:lineRule="exact" w:before="0"/>
                      <w:ind w:left="225" w:right="133" w:firstLine="0"/>
                      <w:jc w:val="center"/>
                      <w:rPr>
                        <w:sz w:val="24"/>
                      </w:rPr>
                    </w:pPr>
                    <w:r>
                      <w:rPr>
                        <w:sz w:val="24"/>
                      </w:rPr>
                      <w:t>無法控制傳染？</w:t>
                    </w:r>
                  </w:p>
                </w:txbxContent>
              </v:textbox>
              <v:stroke dashstyle="shortdash"/>
              <w10:wrap type="none"/>
            </v:shape>
            <v:shape style="position:absolute;left:7276;top:1362;width:2129;height:855" type="#_x0000_t202" filled="false" stroked="true" strokeweight=".75pt" strokecolor="#000000">
              <v:textbox inset="0,0,0,0">
                <w:txbxContent>
                  <w:p>
                    <w:pPr>
                      <w:spacing w:line="206" w:lineRule="auto" w:before="63"/>
                      <w:ind w:left="607" w:right="424" w:hanging="120"/>
                      <w:jc w:val="left"/>
                      <w:rPr>
                        <w:sz w:val="24"/>
                      </w:rPr>
                    </w:pPr>
                    <w:r>
                      <w:rPr>
                        <w:sz w:val="24"/>
                      </w:rPr>
                      <w:t>追蹤肝功能繼續治療</w:t>
                    </w:r>
                  </w:p>
                </w:txbxContent>
              </v:textbox>
              <v:stroke dashstyle="solid"/>
              <w10:wrap type="none"/>
            </v:shape>
            <v:shape style="position:absolute;left:4068;top:1353;width:2506;height:526" type="#_x0000_t202" filled="false" stroked="true" strokeweight=".75pt" strokecolor="#000000">
              <v:textbox inset="0,0,0,0">
                <w:txbxContent>
                  <w:p>
                    <w:pPr>
                      <w:spacing w:before="25"/>
                      <w:ind w:left="147" w:right="0" w:firstLine="0"/>
                      <w:jc w:val="left"/>
                      <w:rPr>
                        <w:sz w:val="24"/>
                      </w:rPr>
                    </w:pPr>
                    <w:r>
                      <w:rPr>
                        <w:sz w:val="24"/>
                      </w:rPr>
                      <w:t>停止原本抗結核藥物</w:t>
                    </w:r>
                  </w:p>
                </w:txbxContent>
              </v:textbox>
              <v:stroke dashstyle="shortdash"/>
              <w10:wrap type="none"/>
            </v:shape>
            <v:shape style="position:absolute;left:7284;top:599;width:2121;height:473" type="#_x0000_t202" filled="false" stroked="true" strokeweight=".75pt" strokecolor="#000000">
              <v:textbox inset="0,0,0,0">
                <w:txbxContent>
                  <w:p>
                    <w:pPr>
                      <w:spacing w:line="430" w:lineRule="exact" w:before="27"/>
                      <w:ind w:left="159" w:right="0" w:firstLine="0"/>
                      <w:jc w:val="left"/>
                      <w:rPr>
                        <w:sz w:val="24"/>
                      </w:rPr>
                    </w:pPr>
                    <w:r>
                      <w:rPr>
                        <w:sz w:val="24"/>
                      </w:rPr>
                      <w:t>輕微肝功能異常</w:t>
                    </w:r>
                  </w:p>
                </w:txbxContent>
              </v:textbox>
              <v:stroke dashstyle="solid"/>
              <w10:wrap type="none"/>
            </v:shape>
            <v:shape style="position:absolute;left:2913;top:603;width:2014;height:473" type="#_x0000_t202" filled="false" stroked="true" strokeweight=".75pt" strokecolor="#000000">
              <v:textbox inset="0,0,0,0">
                <w:txbxContent>
                  <w:p>
                    <w:pPr>
                      <w:spacing w:line="426" w:lineRule="exact" w:before="31"/>
                      <w:ind w:left="730" w:right="748" w:firstLine="0"/>
                      <w:jc w:val="center"/>
                      <w:rPr>
                        <w:sz w:val="24"/>
                      </w:rPr>
                    </w:pPr>
                    <w:r>
                      <w:rPr>
                        <w:sz w:val="24"/>
                      </w:rPr>
                      <w:t>肝炎</w:t>
                    </w:r>
                  </w:p>
                </w:txbxContent>
              </v:textbox>
              <v:stroke dashstyle="solid"/>
              <w10:wrap type="none"/>
            </v:shape>
            <w10:wrap type="topAndBottom"/>
          </v:group>
        </w:pict>
      </w:r>
      <w:r>
        <w:rPr/>
        <w:pict>
          <v:group style="position:absolute;margin-left:571.5pt;margin-top:-225.84938pt;width:40.9pt;height:296.5pt;mso-position-horizontal-relative:page;mso-position-vertical-relative:paragraph;z-index:251717632" coordorigin="11430,-4517" coordsize="818,5930">
            <v:shape style="position:absolute;left:11430;top:-4517;width:818;height:5930" coordorigin="11430,-4517" coordsize="818,5930" path="m12247,-4517l11595,-4517,11531,-4504,11478,-4469,11443,-4416,11430,-4352,11430,1248,11443,1312,11478,1365,11531,1400,11595,1413,12247,1413,12247,-4517xe" filled="true" fillcolor="#a6a6a6" stroked="false">
              <v:path arrowok="t"/>
              <v:fill type="solid"/>
            </v:shape>
            <v:shape style="position:absolute;left:11430;top:-4517;width:818;height:5930" type="#_x0000_t202" filled="false" stroked="false">
              <v:textbox inset="0,0,0,0">
                <w:txbxContent>
                  <w:p>
                    <w:pPr>
                      <w:spacing w:line="146" w:lineRule="auto" w:before="127"/>
                      <w:ind w:left="136" w:right="458" w:firstLine="0"/>
                      <w:jc w:val="both"/>
                      <w:rPr>
                        <w:sz w:val="22"/>
                      </w:rPr>
                    </w:pPr>
                    <w:r>
                      <w:rPr>
                        <w:sz w:val="22"/>
                      </w:rPr>
                      <w:t>第五章</w:t>
                    </w:r>
                  </w:p>
                  <w:p>
                    <w:pPr>
                      <w:spacing w:line="141" w:lineRule="auto" w:before="175"/>
                      <w:ind w:left="136" w:right="458" w:firstLine="0"/>
                      <w:jc w:val="both"/>
                      <w:rPr>
                        <w:sz w:val="22"/>
                      </w:rPr>
                    </w:pPr>
                    <w:r>
                      <w:rPr>
                        <w:sz w:val="22"/>
                      </w:rPr>
                      <w:t>治療期間之監測與不良反應之處理及處方調整</w:t>
                    </w:r>
                  </w:p>
                </w:txbxContent>
              </v:textbox>
              <w10:wrap type="none"/>
            </v:shape>
            <w10:wrap type="none"/>
          </v:group>
        </w:pict>
      </w:r>
      <w:r>
        <w:rPr/>
        <w:pict>
          <v:group style="position:absolute;margin-left:193.155807pt;margin-top:-193.809189pt;width:273.4pt;height:224.75pt;mso-position-horizontal-relative:page;mso-position-vertical-relative:paragraph;z-index:251721728" coordorigin="3863,-3876" coordsize="5468,4495">
            <v:shape style="position:absolute;left:3863;top:-3877;width:121;height:4487" coordorigin="3863,-3876" coordsize="121,4487" path="m3913,490l3863,490,3923,611,3968,521,3917,521,3913,517,3913,490xm3928,-3876l3916,-3876,3912,-3871,3913,517,3917,521,3929,521,3933,517,3932,-3866,3932,-3871,3928,-3876xm3983,490l3933,490,3933,517,3929,521,3968,521,3983,490xe" filled="true" fillcolor="#000000" stroked="false">
              <v:path arrowok="t"/>
              <v:fill type="solid"/>
            </v:shape>
            <v:line style="position:absolute" from="4032,-1078" to="9331,-1078" stroked="true" strokeweight=".3pt" strokecolor="#000000">
              <v:stroke dashstyle="solid"/>
            </v:line>
            <v:line style="position:absolute" from="4037,-3619" to="4037,-1081" stroked="true" strokeweight=".5pt" strokecolor="#000000">
              <v:stroke dashstyle="solid"/>
            </v:line>
            <v:line style="position:absolute" from="9328,-3613" to="9328,-1081" stroked="true" strokeweight=".334pt" strokecolor="#000000">
              <v:stroke dashstyle="solid"/>
            </v:line>
            <v:shape style="position:absolute;left:4041;top:-3616;width:5290;height:2524" coordorigin="4042,-3616" coordsize="5290,2524" path="m4042,-3616l9331,-3616m4045,-1092l9318,-1092e" filled="false" stroked="true" strokeweight=".3pt" strokecolor="#000000">
              <v:path arrowok="t"/>
              <v:stroke dashstyle="solid"/>
            </v:shape>
            <v:line style="position:absolute" from="4048,-3599" to="4048,-1095" stroked="true" strokeweight=".333pt" strokecolor="#000000">
              <v:stroke dashstyle="solid"/>
            </v:line>
            <v:line style="position:absolute" from="4045,-3602" to="9318,-3602" stroked="true" strokeweight=".3pt" strokecolor="#000000">
              <v:stroke dashstyle="solid"/>
            </v:line>
            <v:line style="position:absolute" from="9314,-3599" to="9314,-1095" stroked="true" strokeweight=".334pt" strokecolor="#000000">
              <v:stroke dashstyle="solid"/>
            </v:line>
            <v:line style="position:absolute" from="8288,-75" to="8303,-75" stroked="true" strokeweight=".15pt" strokecolor="#000000">
              <v:stroke dashstyle="solid"/>
            </v:line>
            <v:shape style="position:absolute;left:8235;top:-72;width:121;height:691" coordorigin="8236,-71" coordsize="121,691" path="m8286,498l8236,498,8296,619,8341,529,8290,529,8286,525,8286,498xm8301,-71l8289,-71,8285,-66,8286,525,8290,529,8301,529,8306,525,8305,-61,8305,-66,8301,-71xm8356,498l8306,498,8306,525,8301,529,8341,529,8356,498xe" filled="true" fillcolor="#000000" stroked="false">
              <v:path arrowok="t"/>
              <v:fill type="solid"/>
            </v:shape>
            <v:line style="position:absolute" from="3936,-75" to="8301,-75" stroked="true" strokeweight="1.5pt" strokecolor="#000000">
              <v:stroke dashstyle="solid"/>
            </v:line>
            <v:shape style="position:absolute;left:7917;top:124;width:260;height:320" type="#_x0000_t202" filled="false" stroked="false">
              <v:textbox inset="0,0,0,0">
                <w:txbxContent>
                  <w:p>
                    <w:pPr>
                      <w:spacing w:line="319" w:lineRule="exact" w:before="0"/>
                      <w:ind w:left="0" w:right="0" w:firstLine="0"/>
                      <w:jc w:val="left"/>
                      <w:rPr>
                        <w:sz w:val="24"/>
                      </w:rPr>
                    </w:pPr>
                    <w:r>
                      <w:rPr>
                        <w:sz w:val="24"/>
                      </w:rPr>
                      <w:t>否</w:t>
                    </w:r>
                  </w:p>
                </w:txbxContent>
              </v:textbox>
              <w10:wrap type="none"/>
            </v:shape>
            <v:shape style="position:absolute;left:4070;top:-795;width:1600;height:472" type="#_x0000_t202" filled="false" stroked="true" strokeweight=".75pt" strokecolor="#000000">
              <v:textbox inset="0,0,0,0">
                <w:txbxContent>
                  <w:p>
                    <w:pPr>
                      <w:spacing w:line="439" w:lineRule="exact" w:before="0"/>
                      <w:ind w:left="192" w:right="0" w:firstLine="0"/>
                      <w:jc w:val="left"/>
                      <w:rPr>
                        <w:sz w:val="24"/>
                      </w:rPr>
                    </w:pPr>
                    <w:r>
                      <w:rPr>
                        <w:sz w:val="24"/>
                      </w:rPr>
                      <w:t>是否有肝炎</w:t>
                    </w:r>
                  </w:p>
                </w:txbxContent>
              </v:textbox>
              <v:stroke dashstyle="shortdash"/>
              <w10:wrap type="none"/>
            </v:shape>
            <v:shape style="position:absolute;left:4046;top:-3606;width:5271;height:2518" type="#_x0000_t202" filled="false" stroked="false">
              <v:textbox inset="0,0,0,0">
                <w:txbxContent>
                  <w:p>
                    <w:pPr>
                      <w:spacing w:line="370" w:lineRule="exact" w:before="0"/>
                      <w:ind w:left="170" w:right="0" w:firstLine="0"/>
                      <w:jc w:val="left"/>
                      <w:rPr>
                        <w:sz w:val="24"/>
                      </w:rPr>
                    </w:pPr>
                    <w:r>
                      <w:rPr>
                        <w:sz w:val="24"/>
                      </w:rPr>
                      <w:t>肝炎的定義：</w:t>
                    </w:r>
                  </w:p>
                  <w:p>
                    <w:pPr>
                      <w:numPr>
                        <w:ilvl w:val="0"/>
                        <w:numId w:val="41"/>
                      </w:numPr>
                      <w:tabs>
                        <w:tab w:pos="484" w:val="left" w:leader="none"/>
                      </w:tabs>
                      <w:spacing w:line="340" w:lineRule="exact" w:before="0"/>
                      <w:ind w:left="483" w:right="0" w:hanging="316"/>
                      <w:jc w:val="left"/>
                      <w:rPr>
                        <w:sz w:val="24"/>
                      </w:rPr>
                    </w:pPr>
                    <w:r>
                      <w:rPr>
                        <w:sz w:val="24"/>
                      </w:rPr>
                      <w:t>若治療前肝功能在正常值的兩倍以下者：</w:t>
                    </w:r>
                  </w:p>
                  <w:p>
                    <w:pPr>
                      <w:numPr>
                        <w:ilvl w:val="1"/>
                        <w:numId w:val="41"/>
                      </w:numPr>
                      <w:tabs>
                        <w:tab w:pos="891" w:val="left" w:leader="none"/>
                      </w:tabs>
                      <w:spacing w:line="339" w:lineRule="exact" w:before="0"/>
                      <w:ind w:left="890" w:right="0" w:hanging="363"/>
                      <w:jc w:val="left"/>
                      <w:rPr>
                        <w:sz w:val="24"/>
                      </w:rPr>
                    </w:pPr>
                    <w:r>
                      <w:rPr>
                        <w:sz w:val="24"/>
                      </w:rPr>
                      <w:t>無症狀，肝功能＞正常值的五倍</w:t>
                    </w:r>
                  </w:p>
                  <w:p>
                    <w:pPr>
                      <w:numPr>
                        <w:ilvl w:val="1"/>
                        <w:numId w:val="41"/>
                      </w:numPr>
                      <w:tabs>
                        <w:tab w:pos="891" w:val="left" w:leader="none"/>
                      </w:tabs>
                      <w:spacing w:line="339" w:lineRule="exact" w:before="0"/>
                      <w:ind w:left="890" w:right="0" w:hanging="363"/>
                      <w:jc w:val="left"/>
                      <w:rPr>
                        <w:sz w:val="24"/>
                      </w:rPr>
                    </w:pPr>
                    <w:r>
                      <w:rPr>
                        <w:sz w:val="24"/>
                      </w:rPr>
                      <w:t>有症狀，肝功能＞正常值的三倍</w:t>
                    </w:r>
                  </w:p>
                  <w:p>
                    <w:pPr>
                      <w:numPr>
                        <w:ilvl w:val="1"/>
                        <w:numId w:val="41"/>
                      </w:numPr>
                      <w:tabs>
                        <w:tab w:pos="891" w:val="left" w:leader="none"/>
                      </w:tabs>
                      <w:spacing w:line="339" w:lineRule="exact" w:before="0"/>
                      <w:ind w:left="890" w:right="0" w:hanging="363"/>
                      <w:jc w:val="left"/>
                      <w:rPr>
                        <w:sz w:val="24"/>
                      </w:rPr>
                    </w:pPr>
                    <w:r>
                      <w:rPr>
                        <w:sz w:val="24"/>
                      </w:rPr>
                      <w:t>總膽紅素＞3</w:t>
                    </w:r>
                    <w:r>
                      <w:rPr>
                        <w:spacing w:val="-3"/>
                        <w:sz w:val="24"/>
                      </w:rPr>
                      <w:t> </w:t>
                    </w:r>
                    <w:r>
                      <w:rPr>
                        <w:sz w:val="24"/>
                      </w:rPr>
                      <w:t>mg/dL</w:t>
                    </w:r>
                  </w:p>
                  <w:p>
                    <w:pPr>
                      <w:numPr>
                        <w:ilvl w:val="0"/>
                        <w:numId w:val="41"/>
                      </w:numPr>
                      <w:tabs>
                        <w:tab w:pos="454" w:val="left" w:leader="none"/>
                      </w:tabs>
                      <w:spacing w:line="175" w:lineRule="auto" w:before="34"/>
                      <w:ind w:left="453" w:right="293" w:hanging="285"/>
                      <w:jc w:val="left"/>
                      <w:rPr>
                        <w:sz w:val="24"/>
                      </w:rPr>
                    </w:pPr>
                    <w:r>
                      <w:rPr>
                        <w:spacing w:val="-3"/>
                        <w:sz w:val="24"/>
                      </w:rPr>
                      <w:t>若治療前肝功能高於正常值的兩倍：肝功能</w:t>
                    </w:r>
                    <w:r>
                      <w:rPr>
                        <w:sz w:val="24"/>
                      </w:rPr>
                      <w:t>超過治療前兩倍</w:t>
                    </w:r>
                  </w:p>
                </w:txbxContent>
              </v:textbox>
              <w10:wrap type="none"/>
            </v:shape>
            <w10:wrap type="none"/>
          </v:group>
        </w:pict>
      </w:r>
      <w:r>
        <w:rPr/>
        <w:drawing>
          <wp:anchor distT="0" distB="0" distL="0" distR="0" allowOverlap="1" layoutInCell="1" locked="0" behindDoc="0" simplePos="0" relativeHeight="251722752">
            <wp:simplePos x="0" y="0"/>
            <wp:positionH relativeFrom="page">
              <wp:posOffset>5230495</wp:posOffset>
            </wp:positionH>
            <wp:positionV relativeFrom="paragraph">
              <wp:posOffset>686928</wp:posOffset>
            </wp:positionV>
            <wp:extent cx="75564" cy="180975"/>
            <wp:effectExtent l="0" t="0" r="0" b="0"/>
            <wp:wrapNone/>
            <wp:docPr id="5" name="image5.png"/>
            <wp:cNvGraphicFramePr>
              <a:graphicFrameLocks noChangeAspect="1"/>
            </wp:cNvGraphicFramePr>
            <a:graphic>
              <a:graphicData uri="http://schemas.openxmlformats.org/drawingml/2006/picture">
                <pic:pic>
                  <pic:nvPicPr>
                    <pic:cNvPr id="6" name="image5.png"/>
                    <pic:cNvPicPr/>
                  </pic:nvPicPr>
                  <pic:blipFill>
                    <a:blip r:embed="rId36" cstate="print"/>
                    <a:stretch>
                      <a:fillRect/>
                    </a:stretch>
                  </pic:blipFill>
                  <pic:spPr>
                    <a:xfrm>
                      <a:off x="0" y="0"/>
                      <a:ext cx="75564" cy="180975"/>
                    </a:xfrm>
                    <a:prstGeom prst="rect">
                      <a:avLst/>
                    </a:prstGeom>
                  </pic:spPr>
                </pic:pic>
              </a:graphicData>
            </a:graphic>
          </wp:anchor>
        </w:drawing>
      </w:r>
      <w:r>
        <w:rPr/>
        <w:t>是</w:t>
      </w:r>
    </w:p>
    <w:p>
      <w:pPr>
        <w:pStyle w:val="BodyText"/>
        <w:spacing w:line="285" w:lineRule="exact"/>
        <w:ind w:left="7065"/>
        <w:rPr>
          <w:sz w:val="20"/>
        </w:rPr>
      </w:pPr>
      <w:r>
        <w:rPr>
          <w:position w:val="-5"/>
          <w:sz w:val="20"/>
        </w:rPr>
        <w:drawing>
          <wp:inline distT="0" distB="0" distL="0" distR="0">
            <wp:extent cx="75564" cy="180975"/>
            <wp:effectExtent l="0" t="0" r="0" b="0"/>
            <wp:docPr id="7" name="image5.png"/>
            <wp:cNvGraphicFramePr>
              <a:graphicFrameLocks noChangeAspect="1"/>
            </wp:cNvGraphicFramePr>
            <a:graphic>
              <a:graphicData uri="http://schemas.openxmlformats.org/drawingml/2006/picture">
                <pic:pic>
                  <pic:nvPicPr>
                    <pic:cNvPr id="8" name="image5.png"/>
                    <pic:cNvPicPr/>
                  </pic:nvPicPr>
                  <pic:blipFill>
                    <a:blip r:embed="rId36" cstate="print"/>
                    <a:stretch>
                      <a:fillRect/>
                    </a:stretch>
                  </pic:blipFill>
                  <pic:spPr>
                    <a:xfrm>
                      <a:off x="0" y="0"/>
                      <a:ext cx="75564" cy="180975"/>
                    </a:xfrm>
                    <a:prstGeom prst="rect">
                      <a:avLst/>
                    </a:prstGeom>
                  </pic:spPr>
                </pic:pic>
              </a:graphicData>
            </a:graphic>
          </wp:inline>
        </w:drawing>
      </w:r>
      <w:r>
        <w:rPr>
          <w:position w:val="-5"/>
          <w:sz w:val="20"/>
        </w:rPr>
      </w:r>
    </w:p>
    <w:p>
      <w:pPr>
        <w:pStyle w:val="BodyText"/>
        <w:rPr>
          <w:sz w:val="20"/>
        </w:rPr>
      </w:pPr>
    </w:p>
    <w:p>
      <w:pPr>
        <w:pStyle w:val="BodyText"/>
        <w:rPr>
          <w:sz w:val="20"/>
        </w:rPr>
      </w:pPr>
    </w:p>
    <w:p>
      <w:pPr>
        <w:pStyle w:val="BodyText"/>
        <w:rPr>
          <w:sz w:val="20"/>
        </w:rPr>
      </w:pPr>
    </w:p>
    <w:p>
      <w:pPr>
        <w:pStyle w:val="BodyText"/>
        <w:spacing w:before="14"/>
        <w:rPr>
          <w:sz w:val="19"/>
        </w:rPr>
      </w:pPr>
      <w:r>
        <w:rPr/>
        <w:pict>
          <v:shape style="position:absolute;margin-left:126.900002pt;margin-top:20.532984pt;width:137.3pt;height:40.75pt;mso-position-horizontal-relative:page;mso-position-vertical-relative:paragraph;z-index:-251600896;mso-wrap-distance-left:0;mso-wrap-distance-right:0" type="#_x0000_t202" filled="false" stroked="true" strokeweight=".75pt" strokecolor="#000000">
            <v:textbox inset="0,0,0,0">
              <w:txbxContent>
                <w:p>
                  <w:pPr>
                    <w:pStyle w:val="BodyText"/>
                    <w:spacing w:line="377" w:lineRule="exact"/>
                    <w:ind w:left="285"/>
                  </w:pPr>
                  <w:r>
                    <w:rPr/>
                    <w:t>逐一加入抗結核藥物</w:t>
                  </w:r>
                </w:p>
                <w:p>
                  <w:pPr>
                    <w:pStyle w:val="BodyText"/>
                    <w:spacing w:line="404" w:lineRule="exact"/>
                    <w:ind w:left="394"/>
                  </w:pPr>
                  <w:r>
                    <w:rPr/>
                    <w:t>（</w:t>
                  </w:r>
                  <w:r>
                    <w:rPr>
                      <w:spacing w:val="11"/>
                    </w:rPr>
                    <w:t>可參照表 </w:t>
                  </w:r>
                  <w:r>
                    <w:rPr/>
                    <w:t>5-1）</w:t>
                  </w:r>
                </w:p>
              </w:txbxContent>
            </v:textbox>
            <v:stroke dashstyle="solid"/>
            <w10:wrap type="topAndBottom"/>
          </v:shape>
        </w:pict>
      </w:r>
    </w:p>
    <w:p>
      <w:pPr>
        <w:pStyle w:val="BodyText"/>
        <w:spacing w:before="4"/>
        <w:rPr>
          <w:sz w:val="17"/>
        </w:rPr>
      </w:pPr>
    </w:p>
    <w:p>
      <w:pPr>
        <w:pStyle w:val="Heading6"/>
        <w:spacing w:before="37"/>
        <w:ind w:left="3082"/>
      </w:pPr>
      <w:r>
        <w:rPr/>
        <w:pict>
          <v:shape style="position:absolute;margin-left:193.699905pt;margin-top:-150.579117pt;width:6pt;height:91.1pt;mso-position-horizontal-relative:page;mso-position-vertical-relative:paragraph;z-index:251723776" coordorigin="3874,-3012" coordsize="120,1822" path="m3924,-1310l3874,-1310,3934,-1190,3979,-1280,3928,-1280,3924,-1285,3924,-1310xm3939,-3012l3927,-3012,3923,-3008,3924,-1285,3928,-1280,3939,-1280,3944,-1285,3943,-3002,3943,-3008,3939,-3012xm3994,-1310l3944,-1310,3944,-1285,3939,-1280,3979,-1280,3994,-1310xe" filled="true" fillcolor="#000000" stroked="false">
            <v:path arrowok="t"/>
            <v:fill type="solid"/>
            <w10:wrap type="none"/>
          </v:shape>
        </w:pict>
      </w:r>
      <w:r>
        <w:rPr/>
        <w:pict>
          <v:shape style="position:absolute;margin-left:352.200012pt;margin-top:-134.829025pt;width:118pt;height:63.35pt;mso-position-horizontal-relative:page;mso-position-vertical-relative:paragraph;z-index:251724800" type="#_x0000_t202" filled="false" stroked="true" strokeweight=".75pt" strokecolor="#000000">
            <v:textbox inset="0,0,0,0">
              <w:txbxContent>
                <w:p>
                  <w:pPr>
                    <w:pStyle w:val="BodyText"/>
                    <w:spacing w:line="390" w:lineRule="exact" w:before="44"/>
                    <w:ind w:left="177" w:right="168"/>
                    <w:jc w:val="center"/>
                  </w:pPr>
                  <w:r>
                    <w:rPr>
                      <w:spacing w:val="-1"/>
                    </w:rPr>
                    <w:t>針 劑 + </w:t>
                  </w:r>
                  <w:r>
                    <w:rPr/>
                    <w:t>FQ + EMB</w:t>
                  </w:r>
                </w:p>
                <w:p>
                  <w:pPr>
                    <w:pStyle w:val="BodyText"/>
                    <w:spacing w:line="340" w:lineRule="exact"/>
                    <w:ind w:left="177" w:right="166"/>
                    <w:jc w:val="center"/>
                  </w:pPr>
                  <w:r>
                    <w:rPr/>
                    <w:t>（針劑選擇請詳見</w:t>
                  </w:r>
                </w:p>
                <w:p>
                  <w:pPr>
                    <w:pStyle w:val="BodyText"/>
                    <w:spacing w:line="391" w:lineRule="exact"/>
                    <w:ind w:left="177" w:right="166"/>
                    <w:jc w:val="center"/>
                  </w:pPr>
                  <w:r>
                    <w:rPr/>
                    <w:t>5.3.1）</w:t>
                  </w:r>
                </w:p>
              </w:txbxContent>
            </v:textbox>
            <v:stroke dashstyle="solid"/>
            <w10:wrap type="none"/>
          </v:shape>
        </w:pict>
      </w:r>
      <w:r>
        <w:rPr/>
        <w:pict>
          <v:shape style="position:absolute;margin-left:203.899994pt;margin-top:-134.829025pt;width:137.050pt;height:62.35pt;mso-position-horizontal-relative:page;mso-position-vertical-relative:paragraph;z-index:251725824" type="#_x0000_t202" filled="false" stroked="true" strokeweight=".75pt" strokecolor="#000000">
            <v:textbox inset="0,0,0,0">
              <w:txbxContent>
                <w:p>
                  <w:pPr>
                    <w:pStyle w:val="BodyText"/>
                    <w:spacing w:line="184" w:lineRule="auto" w:before="121"/>
                    <w:ind w:left="204" w:right="97"/>
                    <w:jc w:val="center"/>
                  </w:pPr>
                  <w:r>
                    <w:rPr/>
                    <w:t>每週追蹤肝功能 1-2 次至＜正常值的三倍或接近治療前的肝功能</w:t>
                  </w:r>
                </w:p>
              </w:txbxContent>
            </v:textbox>
            <v:stroke dashstyle="shortdash"/>
            <w10:wrap type="none"/>
          </v:shape>
        </w:pict>
      </w:r>
      <w:bookmarkStart w:name="圖5-1 抗結核藥物肝毒性處置流程" w:id="55"/>
      <w:bookmarkEnd w:id="55"/>
      <w:r>
        <w:rPr>
          <w:b w:val="0"/>
        </w:rPr>
      </w:r>
      <w:r>
        <w:rPr/>
        <w:t>圖 5-1 抗結核藥物肝毒性處置流程</w:t>
      </w:r>
    </w:p>
    <w:p>
      <w:pPr>
        <w:spacing w:after="0"/>
        <w:sectPr>
          <w:pgSz w:w="12250" w:h="17190"/>
          <w:pgMar w:header="0" w:footer="748" w:top="1480" w:bottom="1020" w:left="1180" w:right="0"/>
        </w:sectPr>
      </w:pPr>
    </w:p>
    <w:p>
      <w:pPr>
        <w:spacing w:before="17"/>
        <w:ind w:left="2644" w:right="0" w:firstLine="0"/>
        <w:jc w:val="left"/>
        <w:rPr>
          <w:b/>
          <w:sz w:val="25"/>
        </w:rPr>
      </w:pPr>
      <w:bookmarkStart w:name="表 5-3 產生不良反應之後處理調整的建議" w:id="56"/>
      <w:bookmarkEnd w:id="56"/>
      <w:r>
        <w:rPr/>
      </w:r>
      <w:r>
        <w:rPr>
          <w:b/>
          <w:sz w:val="25"/>
        </w:rPr>
        <w:t>表 5-3 產生不良反應之後處理調整的建議</w:t>
      </w:r>
    </w:p>
    <w:p>
      <w:pPr>
        <w:pStyle w:val="BodyText"/>
        <w:spacing w:before="7"/>
        <w:rPr>
          <w:b/>
          <w:sz w:val="4"/>
        </w:rPr>
      </w:pPr>
    </w:p>
    <w:tbl>
      <w:tblPr>
        <w:tblW w:w="0" w:type="auto"/>
        <w:jc w:val="left"/>
        <w:tblInd w:w="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7"/>
        <w:gridCol w:w="1900"/>
        <w:gridCol w:w="2867"/>
        <w:gridCol w:w="2457"/>
      </w:tblGrid>
      <w:tr>
        <w:trPr>
          <w:trHeight w:val="423" w:hRule="atLeast"/>
        </w:trPr>
        <w:tc>
          <w:tcPr>
            <w:tcW w:w="2027" w:type="dxa"/>
            <w:tcBorders>
              <w:top w:val="single" w:sz="12" w:space="0" w:color="000000"/>
              <w:bottom w:val="single" w:sz="4" w:space="0" w:color="000000"/>
            </w:tcBorders>
            <w:shd w:val="clear" w:color="auto" w:fill="F1F1F1"/>
          </w:tcPr>
          <w:p>
            <w:pPr>
              <w:pStyle w:val="TableParagraph"/>
              <w:spacing w:line="403" w:lineRule="exact"/>
              <w:ind w:left="142" w:right="164"/>
              <w:jc w:val="center"/>
              <w:rPr>
                <w:sz w:val="24"/>
              </w:rPr>
            </w:pPr>
            <w:r>
              <w:rPr>
                <w:sz w:val="24"/>
              </w:rPr>
              <w:t>無法使用的藥物</w:t>
            </w:r>
          </w:p>
        </w:tc>
        <w:tc>
          <w:tcPr>
            <w:tcW w:w="1900" w:type="dxa"/>
            <w:tcBorders>
              <w:top w:val="single" w:sz="12" w:space="0" w:color="000000"/>
              <w:bottom w:val="single" w:sz="4" w:space="0" w:color="000000"/>
            </w:tcBorders>
            <w:shd w:val="clear" w:color="auto" w:fill="F1F1F1"/>
          </w:tcPr>
          <w:p>
            <w:pPr>
              <w:pStyle w:val="TableParagraph"/>
              <w:spacing w:line="403" w:lineRule="exact"/>
              <w:ind w:left="167" w:right="252"/>
              <w:jc w:val="center"/>
              <w:rPr>
                <w:sz w:val="24"/>
              </w:rPr>
            </w:pPr>
            <w:r>
              <w:rPr>
                <w:sz w:val="24"/>
              </w:rPr>
              <w:t>同類替代藥物</w:t>
            </w:r>
          </w:p>
        </w:tc>
        <w:tc>
          <w:tcPr>
            <w:tcW w:w="2867" w:type="dxa"/>
            <w:tcBorders>
              <w:top w:val="single" w:sz="12" w:space="0" w:color="000000"/>
              <w:bottom w:val="single" w:sz="4" w:space="0" w:color="000000"/>
            </w:tcBorders>
            <w:shd w:val="clear" w:color="auto" w:fill="F1F1F1"/>
          </w:tcPr>
          <w:p>
            <w:pPr>
              <w:pStyle w:val="TableParagraph"/>
              <w:spacing w:line="403" w:lineRule="exact"/>
              <w:ind w:left="746"/>
              <w:rPr>
                <w:sz w:val="24"/>
              </w:rPr>
            </w:pPr>
            <w:r>
              <w:rPr>
                <w:sz w:val="24"/>
              </w:rPr>
              <w:t>無藥敏結果</w:t>
            </w:r>
          </w:p>
        </w:tc>
        <w:tc>
          <w:tcPr>
            <w:tcW w:w="2457" w:type="dxa"/>
            <w:tcBorders>
              <w:top w:val="single" w:sz="12" w:space="0" w:color="000000"/>
              <w:bottom w:val="single" w:sz="4" w:space="0" w:color="000000"/>
            </w:tcBorders>
            <w:shd w:val="clear" w:color="auto" w:fill="F1F1F1"/>
          </w:tcPr>
          <w:p>
            <w:pPr>
              <w:pStyle w:val="TableParagraph"/>
              <w:spacing w:line="403" w:lineRule="exact"/>
              <w:ind w:left="431" w:right="546"/>
              <w:jc w:val="center"/>
              <w:rPr>
                <w:sz w:val="24"/>
              </w:rPr>
            </w:pPr>
            <w:r>
              <w:rPr>
                <w:sz w:val="24"/>
              </w:rPr>
              <w:t>藥敏結果已知</w:t>
            </w:r>
          </w:p>
        </w:tc>
      </w:tr>
      <w:tr>
        <w:trPr>
          <w:trHeight w:val="456" w:hRule="atLeast"/>
        </w:trPr>
        <w:tc>
          <w:tcPr>
            <w:tcW w:w="2027" w:type="dxa"/>
            <w:tcBorders>
              <w:top w:val="single" w:sz="4" w:space="0" w:color="000000"/>
            </w:tcBorders>
          </w:tcPr>
          <w:p>
            <w:pPr>
              <w:pStyle w:val="TableParagraph"/>
              <w:spacing w:line="425" w:lineRule="exact" w:before="11"/>
              <w:ind w:right="21"/>
              <w:jc w:val="center"/>
              <w:rPr>
                <w:sz w:val="24"/>
              </w:rPr>
            </w:pPr>
            <w:r>
              <w:rPr>
                <w:sz w:val="24"/>
              </w:rPr>
              <w:t>H</w:t>
            </w:r>
          </w:p>
        </w:tc>
        <w:tc>
          <w:tcPr>
            <w:tcW w:w="1900" w:type="dxa"/>
            <w:tcBorders>
              <w:top w:val="single" w:sz="4" w:space="0" w:color="000000"/>
            </w:tcBorders>
          </w:tcPr>
          <w:p>
            <w:pPr>
              <w:pStyle w:val="TableParagraph"/>
              <w:spacing w:line="425" w:lineRule="exact" w:before="11"/>
              <w:ind w:left="165" w:right="252"/>
              <w:jc w:val="center"/>
              <w:rPr>
                <w:sz w:val="24"/>
              </w:rPr>
            </w:pPr>
            <w:r>
              <w:rPr>
                <w:sz w:val="24"/>
              </w:rPr>
              <w:t>---</w:t>
            </w:r>
          </w:p>
        </w:tc>
        <w:tc>
          <w:tcPr>
            <w:tcW w:w="2867" w:type="dxa"/>
            <w:tcBorders>
              <w:top w:val="single" w:sz="4" w:space="0" w:color="000000"/>
            </w:tcBorders>
          </w:tcPr>
          <w:p>
            <w:pPr>
              <w:pStyle w:val="TableParagraph"/>
              <w:spacing w:line="425" w:lineRule="exact" w:before="11"/>
              <w:ind w:left="973" w:right="1144"/>
              <w:jc w:val="center"/>
              <w:rPr>
                <w:sz w:val="24"/>
              </w:rPr>
            </w:pPr>
            <w:r>
              <w:rPr>
                <w:sz w:val="24"/>
              </w:rPr>
              <w:t>9REZS</w:t>
            </w:r>
          </w:p>
        </w:tc>
        <w:tc>
          <w:tcPr>
            <w:tcW w:w="2457" w:type="dxa"/>
            <w:tcBorders>
              <w:top w:val="single" w:sz="4" w:space="0" w:color="000000"/>
            </w:tcBorders>
          </w:tcPr>
          <w:p>
            <w:pPr>
              <w:pStyle w:val="TableParagraph"/>
              <w:spacing w:line="425" w:lineRule="exact" w:before="11"/>
              <w:ind w:left="431" w:right="546"/>
              <w:jc w:val="center"/>
              <w:rPr>
                <w:sz w:val="24"/>
              </w:rPr>
            </w:pPr>
            <w:r>
              <w:rPr>
                <w:sz w:val="24"/>
              </w:rPr>
              <w:t>9REZ</w:t>
            </w:r>
          </w:p>
        </w:tc>
      </w:tr>
      <w:tr>
        <w:trPr>
          <w:trHeight w:val="451" w:hRule="atLeast"/>
        </w:trPr>
        <w:tc>
          <w:tcPr>
            <w:tcW w:w="2027" w:type="dxa"/>
          </w:tcPr>
          <w:p>
            <w:pPr>
              <w:pStyle w:val="TableParagraph"/>
              <w:spacing w:line="427" w:lineRule="exact" w:before="3"/>
              <w:ind w:right="21"/>
              <w:jc w:val="center"/>
              <w:rPr>
                <w:sz w:val="24"/>
              </w:rPr>
            </w:pPr>
            <w:r>
              <w:rPr>
                <w:sz w:val="24"/>
              </w:rPr>
              <w:t>R</w:t>
            </w:r>
          </w:p>
        </w:tc>
        <w:tc>
          <w:tcPr>
            <w:tcW w:w="1900" w:type="dxa"/>
          </w:tcPr>
          <w:p>
            <w:pPr>
              <w:pStyle w:val="TableParagraph"/>
              <w:spacing w:line="427" w:lineRule="exact" w:before="3"/>
              <w:ind w:right="86"/>
              <w:jc w:val="center"/>
              <w:rPr>
                <w:sz w:val="24"/>
              </w:rPr>
            </w:pPr>
            <w:r>
              <w:rPr>
                <w:sz w:val="24"/>
              </w:rPr>
              <w:t>B</w:t>
            </w:r>
          </w:p>
        </w:tc>
        <w:tc>
          <w:tcPr>
            <w:tcW w:w="2867" w:type="dxa"/>
          </w:tcPr>
          <w:p>
            <w:pPr>
              <w:pStyle w:val="TableParagraph"/>
              <w:spacing w:line="427" w:lineRule="exact" w:before="3"/>
              <w:ind w:left="628"/>
              <w:rPr>
                <w:sz w:val="24"/>
              </w:rPr>
            </w:pPr>
            <w:r>
              <w:rPr>
                <w:sz w:val="24"/>
              </w:rPr>
              <w:t>2HBEZ / 4HB</w:t>
            </w:r>
          </w:p>
        </w:tc>
        <w:tc>
          <w:tcPr>
            <w:tcW w:w="2457" w:type="dxa"/>
          </w:tcPr>
          <w:p>
            <w:pPr>
              <w:pStyle w:val="TableParagraph"/>
              <w:spacing w:line="427" w:lineRule="exact" w:before="3"/>
              <w:ind w:left="431" w:right="545"/>
              <w:jc w:val="center"/>
              <w:rPr>
                <w:sz w:val="24"/>
              </w:rPr>
            </w:pPr>
            <w:r>
              <w:rPr>
                <w:sz w:val="24"/>
              </w:rPr>
              <w:t>2HBEZ / 4HB</w:t>
            </w:r>
          </w:p>
        </w:tc>
      </w:tr>
      <w:tr>
        <w:trPr>
          <w:trHeight w:val="453" w:hRule="atLeast"/>
        </w:trPr>
        <w:tc>
          <w:tcPr>
            <w:tcW w:w="2027" w:type="dxa"/>
          </w:tcPr>
          <w:p>
            <w:pPr>
              <w:pStyle w:val="TableParagraph"/>
              <w:rPr>
                <w:rFonts w:ascii="Times New Roman"/>
                <w:sz w:val="22"/>
              </w:rPr>
            </w:pPr>
          </w:p>
        </w:tc>
        <w:tc>
          <w:tcPr>
            <w:tcW w:w="1900" w:type="dxa"/>
          </w:tcPr>
          <w:p>
            <w:pPr>
              <w:pStyle w:val="TableParagraph"/>
              <w:spacing w:line="427" w:lineRule="exact" w:before="6"/>
              <w:ind w:left="166" w:right="252"/>
              <w:jc w:val="center"/>
              <w:rPr>
                <w:sz w:val="24"/>
              </w:rPr>
            </w:pPr>
            <w:r>
              <w:rPr>
                <w:sz w:val="24"/>
              </w:rPr>
              <w:t>無法使用 B</w:t>
            </w:r>
          </w:p>
        </w:tc>
        <w:tc>
          <w:tcPr>
            <w:tcW w:w="2867" w:type="dxa"/>
          </w:tcPr>
          <w:p>
            <w:pPr>
              <w:pStyle w:val="TableParagraph"/>
              <w:spacing w:line="427" w:lineRule="exact" w:before="6"/>
              <w:ind w:left="445"/>
              <w:rPr>
                <w:sz w:val="24"/>
              </w:rPr>
            </w:pPr>
            <w:r>
              <w:rPr>
                <w:sz w:val="24"/>
              </w:rPr>
              <w:t>2HEZS / 16HEZ*</w:t>
            </w:r>
          </w:p>
        </w:tc>
        <w:tc>
          <w:tcPr>
            <w:tcW w:w="2457" w:type="dxa"/>
          </w:tcPr>
          <w:p>
            <w:pPr>
              <w:pStyle w:val="TableParagraph"/>
              <w:spacing w:line="427" w:lineRule="exact" w:before="6"/>
              <w:ind w:left="431" w:right="545"/>
              <w:jc w:val="center"/>
              <w:rPr>
                <w:sz w:val="24"/>
              </w:rPr>
            </w:pPr>
            <w:r>
              <w:rPr>
                <w:sz w:val="24"/>
              </w:rPr>
              <w:t>18HEZ*</w:t>
            </w:r>
          </w:p>
        </w:tc>
      </w:tr>
      <w:tr>
        <w:trPr>
          <w:trHeight w:val="454" w:hRule="atLeast"/>
        </w:trPr>
        <w:tc>
          <w:tcPr>
            <w:tcW w:w="2027" w:type="dxa"/>
          </w:tcPr>
          <w:p>
            <w:pPr>
              <w:pStyle w:val="TableParagraph"/>
              <w:spacing w:line="428" w:lineRule="exact" w:before="6"/>
              <w:ind w:right="21"/>
              <w:jc w:val="center"/>
              <w:rPr>
                <w:sz w:val="24"/>
              </w:rPr>
            </w:pPr>
            <w:r>
              <w:rPr>
                <w:sz w:val="24"/>
              </w:rPr>
              <w:t>E</w:t>
            </w:r>
          </w:p>
        </w:tc>
        <w:tc>
          <w:tcPr>
            <w:tcW w:w="1900" w:type="dxa"/>
          </w:tcPr>
          <w:p>
            <w:pPr>
              <w:pStyle w:val="TableParagraph"/>
              <w:spacing w:line="428" w:lineRule="exact" w:before="6"/>
              <w:ind w:left="165" w:right="252"/>
              <w:jc w:val="center"/>
              <w:rPr>
                <w:sz w:val="24"/>
              </w:rPr>
            </w:pPr>
            <w:r>
              <w:rPr>
                <w:sz w:val="24"/>
              </w:rPr>
              <w:t>---</w:t>
            </w:r>
          </w:p>
        </w:tc>
        <w:tc>
          <w:tcPr>
            <w:tcW w:w="2867" w:type="dxa"/>
          </w:tcPr>
          <w:p>
            <w:pPr>
              <w:pStyle w:val="TableParagraph"/>
              <w:spacing w:line="428" w:lineRule="exact" w:before="6"/>
              <w:ind w:left="687"/>
              <w:rPr>
                <w:sz w:val="24"/>
              </w:rPr>
            </w:pPr>
            <w:r>
              <w:rPr>
                <w:sz w:val="24"/>
              </w:rPr>
              <w:t>2HRZ / 4HR</w:t>
            </w:r>
          </w:p>
        </w:tc>
        <w:tc>
          <w:tcPr>
            <w:tcW w:w="2457" w:type="dxa"/>
          </w:tcPr>
          <w:p>
            <w:pPr>
              <w:pStyle w:val="TableParagraph"/>
              <w:spacing w:line="428" w:lineRule="exact" w:before="6"/>
              <w:ind w:left="430" w:right="546"/>
              <w:jc w:val="center"/>
              <w:rPr>
                <w:sz w:val="24"/>
              </w:rPr>
            </w:pPr>
            <w:r>
              <w:rPr>
                <w:sz w:val="24"/>
              </w:rPr>
              <w:t>2HRZ / 4HR</w:t>
            </w:r>
          </w:p>
        </w:tc>
      </w:tr>
      <w:tr>
        <w:trPr>
          <w:trHeight w:val="454" w:hRule="atLeast"/>
        </w:trPr>
        <w:tc>
          <w:tcPr>
            <w:tcW w:w="2027" w:type="dxa"/>
          </w:tcPr>
          <w:p>
            <w:pPr>
              <w:pStyle w:val="TableParagraph"/>
              <w:spacing w:line="427" w:lineRule="exact" w:before="6"/>
              <w:ind w:right="21"/>
              <w:jc w:val="center"/>
              <w:rPr>
                <w:sz w:val="24"/>
              </w:rPr>
            </w:pPr>
            <w:r>
              <w:rPr>
                <w:sz w:val="24"/>
              </w:rPr>
              <w:t>Z</w:t>
            </w:r>
          </w:p>
        </w:tc>
        <w:tc>
          <w:tcPr>
            <w:tcW w:w="1900" w:type="dxa"/>
          </w:tcPr>
          <w:p>
            <w:pPr>
              <w:pStyle w:val="TableParagraph"/>
              <w:spacing w:line="427" w:lineRule="exact" w:before="6"/>
              <w:ind w:left="165" w:right="252"/>
              <w:jc w:val="center"/>
              <w:rPr>
                <w:sz w:val="24"/>
              </w:rPr>
            </w:pPr>
            <w:r>
              <w:rPr>
                <w:sz w:val="24"/>
              </w:rPr>
              <w:t>---</w:t>
            </w:r>
          </w:p>
        </w:tc>
        <w:tc>
          <w:tcPr>
            <w:tcW w:w="2867" w:type="dxa"/>
          </w:tcPr>
          <w:p>
            <w:pPr>
              <w:pStyle w:val="TableParagraph"/>
              <w:spacing w:line="427" w:lineRule="exact" w:before="6"/>
              <w:ind w:left="972" w:right="1144"/>
              <w:jc w:val="center"/>
              <w:rPr>
                <w:sz w:val="24"/>
              </w:rPr>
            </w:pPr>
            <w:r>
              <w:rPr>
                <w:sz w:val="24"/>
              </w:rPr>
              <w:t>9HRE</w:t>
            </w:r>
          </w:p>
        </w:tc>
        <w:tc>
          <w:tcPr>
            <w:tcW w:w="2457" w:type="dxa"/>
          </w:tcPr>
          <w:p>
            <w:pPr>
              <w:pStyle w:val="TableParagraph"/>
              <w:spacing w:line="427" w:lineRule="exact" w:before="6"/>
              <w:ind w:left="431" w:right="546"/>
              <w:jc w:val="center"/>
              <w:rPr>
                <w:sz w:val="24"/>
              </w:rPr>
            </w:pPr>
            <w:r>
              <w:rPr>
                <w:sz w:val="24"/>
              </w:rPr>
              <w:t>9HR(E)</w:t>
            </w:r>
          </w:p>
        </w:tc>
      </w:tr>
      <w:tr>
        <w:trPr>
          <w:trHeight w:val="453" w:hRule="atLeast"/>
        </w:trPr>
        <w:tc>
          <w:tcPr>
            <w:tcW w:w="2027" w:type="dxa"/>
          </w:tcPr>
          <w:p>
            <w:pPr>
              <w:pStyle w:val="TableParagraph"/>
              <w:spacing w:line="427" w:lineRule="exact" w:before="6"/>
              <w:ind w:left="142" w:right="161"/>
              <w:jc w:val="center"/>
              <w:rPr>
                <w:sz w:val="24"/>
              </w:rPr>
            </w:pPr>
            <w:r>
              <w:rPr>
                <w:sz w:val="24"/>
              </w:rPr>
              <w:t>HR</w:t>
            </w:r>
          </w:p>
        </w:tc>
        <w:tc>
          <w:tcPr>
            <w:tcW w:w="1900" w:type="dxa"/>
          </w:tcPr>
          <w:p>
            <w:pPr>
              <w:pStyle w:val="TableParagraph"/>
              <w:spacing w:line="427" w:lineRule="exact" w:before="6"/>
              <w:ind w:right="86"/>
              <w:jc w:val="center"/>
              <w:rPr>
                <w:sz w:val="24"/>
              </w:rPr>
            </w:pPr>
            <w:r>
              <w:rPr>
                <w:sz w:val="24"/>
              </w:rPr>
              <w:t>B</w:t>
            </w:r>
          </w:p>
        </w:tc>
        <w:tc>
          <w:tcPr>
            <w:tcW w:w="2867" w:type="dxa"/>
          </w:tcPr>
          <w:p>
            <w:pPr>
              <w:pStyle w:val="TableParagraph"/>
              <w:spacing w:line="427" w:lineRule="exact" w:before="6"/>
              <w:ind w:left="973" w:right="1143"/>
              <w:jc w:val="center"/>
              <w:rPr>
                <w:sz w:val="24"/>
              </w:rPr>
            </w:pPr>
            <w:r>
              <w:rPr>
                <w:sz w:val="24"/>
              </w:rPr>
              <w:t>9BEZS</w:t>
            </w:r>
          </w:p>
        </w:tc>
        <w:tc>
          <w:tcPr>
            <w:tcW w:w="2457" w:type="dxa"/>
          </w:tcPr>
          <w:p>
            <w:pPr>
              <w:pStyle w:val="TableParagraph"/>
              <w:spacing w:line="427" w:lineRule="exact" w:before="6"/>
              <w:ind w:left="431" w:right="545"/>
              <w:jc w:val="center"/>
              <w:rPr>
                <w:sz w:val="24"/>
              </w:rPr>
            </w:pPr>
            <w:r>
              <w:rPr>
                <w:sz w:val="24"/>
              </w:rPr>
              <w:t>9BEZ</w:t>
            </w:r>
          </w:p>
        </w:tc>
      </w:tr>
      <w:tr>
        <w:trPr>
          <w:trHeight w:val="454" w:hRule="atLeast"/>
        </w:trPr>
        <w:tc>
          <w:tcPr>
            <w:tcW w:w="2027" w:type="dxa"/>
          </w:tcPr>
          <w:p>
            <w:pPr>
              <w:pStyle w:val="TableParagraph"/>
              <w:rPr>
                <w:rFonts w:ascii="Times New Roman"/>
                <w:sz w:val="22"/>
              </w:rPr>
            </w:pPr>
          </w:p>
        </w:tc>
        <w:tc>
          <w:tcPr>
            <w:tcW w:w="1900" w:type="dxa"/>
          </w:tcPr>
          <w:p>
            <w:pPr>
              <w:pStyle w:val="TableParagraph"/>
              <w:spacing w:line="428" w:lineRule="exact" w:before="6"/>
              <w:ind w:left="166" w:right="252"/>
              <w:jc w:val="center"/>
              <w:rPr>
                <w:sz w:val="24"/>
              </w:rPr>
            </w:pPr>
            <w:r>
              <w:rPr>
                <w:sz w:val="24"/>
              </w:rPr>
              <w:t>無法使用 B</w:t>
            </w:r>
          </w:p>
        </w:tc>
        <w:tc>
          <w:tcPr>
            <w:tcW w:w="2867" w:type="dxa"/>
          </w:tcPr>
          <w:p>
            <w:pPr>
              <w:pStyle w:val="TableParagraph"/>
              <w:spacing w:line="428" w:lineRule="exact" w:before="6"/>
              <w:ind w:left="291"/>
              <w:rPr>
                <w:sz w:val="24"/>
              </w:rPr>
            </w:pPr>
            <w:r>
              <w:rPr>
                <w:sz w:val="24"/>
              </w:rPr>
              <w:t>6EZKQT / 12EZQT*</w:t>
            </w:r>
          </w:p>
        </w:tc>
        <w:tc>
          <w:tcPr>
            <w:tcW w:w="2457" w:type="dxa"/>
          </w:tcPr>
          <w:p>
            <w:pPr>
              <w:pStyle w:val="TableParagraph"/>
              <w:spacing w:line="428" w:lineRule="exact" w:before="6"/>
              <w:ind w:left="431" w:right="546"/>
              <w:jc w:val="center"/>
              <w:rPr>
                <w:sz w:val="24"/>
              </w:rPr>
            </w:pPr>
            <w:r>
              <w:rPr>
                <w:sz w:val="24"/>
              </w:rPr>
              <w:t>18EZQT(S)*</w:t>
            </w:r>
          </w:p>
        </w:tc>
      </w:tr>
      <w:tr>
        <w:trPr>
          <w:trHeight w:val="454" w:hRule="atLeast"/>
        </w:trPr>
        <w:tc>
          <w:tcPr>
            <w:tcW w:w="2027" w:type="dxa"/>
          </w:tcPr>
          <w:p>
            <w:pPr>
              <w:pStyle w:val="TableParagraph"/>
              <w:spacing w:line="427" w:lineRule="exact" w:before="6"/>
              <w:ind w:left="142" w:right="161"/>
              <w:jc w:val="center"/>
              <w:rPr>
                <w:sz w:val="24"/>
              </w:rPr>
            </w:pPr>
            <w:r>
              <w:rPr>
                <w:sz w:val="24"/>
              </w:rPr>
              <w:t>HE</w:t>
            </w:r>
          </w:p>
        </w:tc>
        <w:tc>
          <w:tcPr>
            <w:tcW w:w="1900" w:type="dxa"/>
          </w:tcPr>
          <w:p>
            <w:pPr>
              <w:pStyle w:val="TableParagraph"/>
              <w:spacing w:line="427" w:lineRule="exact" w:before="6"/>
              <w:ind w:left="165" w:right="252"/>
              <w:jc w:val="center"/>
              <w:rPr>
                <w:sz w:val="24"/>
              </w:rPr>
            </w:pPr>
            <w:r>
              <w:rPr>
                <w:sz w:val="24"/>
              </w:rPr>
              <w:t>---</w:t>
            </w:r>
          </w:p>
        </w:tc>
        <w:tc>
          <w:tcPr>
            <w:tcW w:w="2867" w:type="dxa"/>
          </w:tcPr>
          <w:p>
            <w:pPr>
              <w:pStyle w:val="TableParagraph"/>
              <w:spacing w:line="427" w:lineRule="exact" w:before="6"/>
              <w:ind w:left="458"/>
              <w:rPr>
                <w:sz w:val="24"/>
              </w:rPr>
            </w:pPr>
            <w:r>
              <w:rPr>
                <w:sz w:val="24"/>
              </w:rPr>
              <w:t>2RZKQT / 7RZQ</w:t>
            </w:r>
          </w:p>
        </w:tc>
        <w:tc>
          <w:tcPr>
            <w:tcW w:w="2457" w:type="dxa"/>
          </w:tcPr>
          <w:p>
            <w:pPr>
              <w:pStyle w:val="TableParagraph"/>
              <w:spacing w:line="427" w:lineRule="exact" w:before="6"/>
              <w:ind w:left="431" w:right="546"/>
              <w:jc w:val="center"/>
              <w:rPr>
                <w:sz w:val="24"/>
              </w:rPr>
            </w:pPr>
            <w:r>
              <w:rPr>
                <w:sz w:val="24"/>
              </w:rPr>
              <w:t>9RZQ</w:t>
            </w:r>
          </w:p>
        </w:tc>
      </w:tr>
      <w:tr>
        <w:trPr>
          <w:trHeight w:val="441" w:hRule="atLeast"/>
        </w:trPr>
        <w:tc>
          <w:tcPr>
            <w:tcW w:w="2027" w:type="dxa"/>
          </w:tcPr>
          <w:p>
            <w:pPr>
              <w:pStyle w:val="TableParagraph"/>
              <w:spacing w:line="416" w:lineRule="exact" w:before="6"/>
              <w:ind w:left="142" w:right="163"/>
              <w:jc w:val="center"/>
              <w:rPr>
                <w:sz w:val="24"/>
              </w:rPr>
            </w:pPr>
            <w:r>
              <w:rPr>
                <w:sz w:val="24"/>
              </w:rPr>
              <w:t>RE</w:t>
            </w:r>
          </w:p>
        </w:tc>
        <w:tc>
          <w:tcPr>
            <w:tcW w:w="1900" w:type="dxa"/>
          </w:tcPr>
          <w:p>
            <w:pPr>
              <w:pStyle w:val="TableParagraph"/>
              <w:spacing w:line="416" w:lineRule="exact" w:before="6"/>
              <w:ind w:right="86"/>
              <w:jc w:val="center"/>
              <w:rPr>
                <w:sz w:val="24"/>
              </w:rPr>
            </w:pPr>
            <w:r>
              <w:rPr>
                <w:sz w:val="24"/>
              </w:rPr>
              <w:t>B</w:t>
            </w:r>
          </w:p>
        </w:tc>
        <w:tc>
          <w:tcPr>
            <w:tcW w:w="2867" w:type="dxa"/>
          </w:tcPr>
          <w:p>
            <w:pPr>
              <w:pStyle w:val="TableParagraph"/>
              <w:spacing w:line="416" w:lineRule="exact" w:before="6"/>
              <w:ind w:left="693"/>
              <w:rPr>
                <w:sz w:val="24"/>
              </w:rPr>
            </w:pPr>
            <w:r>
              <w:rPr>
                <w:sz w:val="24"/>
              </w:rPr>
              <w:t>2HBZ / 4HB</w:t>
            </w:r>
          </w:p>
        </w:tc>
        <w:tc>
          <w:tcPr>
            <w:tcW w:w="2457" w:type="dxa"/>
          </w:tcPr>
          <w:p>
            <w:pPr>
              <w:pStyle w:val="TableParagraph"/>
              <w:spacing w:line="416" w:lineRule="exact" w:before="6"/>
              <w:ind w:left="430" w:right="546"/>
              <w:jc w:val="center"/>
              <w:rPr>
                <w:sz w:val="24"/>
              </w:rPr>
            </w:pPr>
            <w:r>
              <w:rPr>
                <w:sz w:val="24"/>
              </w:rPr>
              <w:t>2HBZ / 4HB</w:t>
            </w:r>
          </w:p>
        </w:tc>
      </w:tr>
      <w:tr>
        <w:trPr>
          <w:trHeight w:val="466" w:hRule="atLeast"/>
        </w:trPr>
        <w:tc>
          <w:tcPr>
            <w:tcW w:w="2027" w:type="dxa"/>
          </w:tcPr>
          <w:p>
            <w:pPr>
              <w:pStyle w:val="TableParagraph"/>
              <w:rPr>
                <w:rFonts w:ascii="Times New Roman"/>
                <w:sz w:val="22"/>
              </w:rPr>
            </w:pPr>
          </w:p>
        </w:tc>
        <w:tc>
          <w:tcPr>
            <w:tcW w:w="1900" w:type="dxa"/>
          </w:tcPr>
          <w:p>
            <w:pPr>
              <w:pStyle w:val="TableParagraph"/>
              <w:spacing w:line="428" w:lineRule="exact" w:before="18"/>
              <w:ind w:left="166" w:right="252"/>
              <w:jc w:val="center"/>
              <w:rPr>
                <w:sz w:val="24"/>
              </w:rPr>
            </w:pPr>
            <w:r>
              <w:rPr>
                <w:sz w:val="24"/>
              </w:rPr>
              <w:t>無法使用 B</w:t>
            </w:r>
          </w:p>
        </w:tc>
        <w:tc>
          <w:tcPr>
            <w:tcW w:w="2867" w:type="dxa"/>
          </w:tcPr>
          <w:p>
            <w:pPr>
              <w:pStyle w:val="TableParagraph"/>
              <w:spacing w:line="428" w:lineRule="exact" w:before="18"/>
              <w:ind w:left="376"/>
              <w:rPr>
                <w:sz w:val="24"/>
              </w:rPr>
            </w:pPr>
            <w:r>
              <w:rPr>
                <w:sz w:val="24"/>
              </w:rPr>
              <w:t>4HZQKT / 8HZQ*</w:t>
            </w:r>
          </w:p>
        </w:tc>
        <w:tc>
          <w:tcPr>
            <w:tcW w:w="2457" w:type="dxa"/>
          </w:tcPr>
          <w:p>
            <w:pPr>
              <w:pStyle w:val="TableParagraph"/>
              <w:spacing w:line="432" w:lineRule="exact" w:before="14"/>
              <w:ind w:left="430" w:right="546"/>
              <w:jc w:val="center"/>
              <w:rPr>
                <w:sz w:val="16"/>
              </w:rPr>
            </w:pPr>
            <w:r>
              <w:rPr>
                <w:sz w:val="24"/>
              </w:rPr>
              <w:t>12HZQ(S)*</w:t>
            </w:r>
            <w:r>
              <w:rPr>
                <w:position w:val="11"/>
                <w:sz w:val="16"/>
              </w:rPr>
              <w:t>#</w:t>
            </w:r>
          </w:p>
        </w:tc>
      </w:tr>
      <w:tr>
        <w:trPr>
          <w:trHeight w:val="454" w:hRule="atLeast"/>
        </w:trPr>
        <w:tc>
          <w:tcPr>
            <w:tcW w:w="2027" w:type="dxa"/>
          </w:tcPr>
          <w:p>
            <w:pPr>
              <w:pStyle w:val="TableParagraph"/>
              <w:spacing w:line="427" w:lineRule="exact" w:before="6"/>
              <w:ind w:left="142" w:right="164"/>
              <w:jc w:val="center"/>
              <w:rPr>
                <w:sz w:val="24"/>
              </w:rPr>
            </w:pPr>
            <w:r>
              <w:rPr>
                <w:sz w:val="24"/>
              </w:rPr>
              <w:t>EZ</w:t>
            </w:r>
          </w:p>
        </w:tc>
        <w:tc>
          <w:tcPr>
            <w:tcW w:w="1900" w:type="dxa"/>
          </w:tcPr>
          <w:p>
            <w:pPr>
              <w:pStyle w:val="TableParagraph"/>
              <w:spacing w:line="427" w:lineRule="exact" w:before="6"/>
              <w:ind w:left="165" w:right="252"/>
              <w:jc w:val="center"/>
              <w:rPr>
                <w:sz w:val="24"/>
              </w:rPr>
            </w:pPr>
            <w:r>
              <w:rPr>
                <w:sz w:val="24"/>
              </w:rPr>
              <w:t>---</w:t>
            </w:r>
          </w:p>
        </w:tc>
        <w:tc>
          <w:tcPr>
            <w:tcW w:w="2867" w:type="dxa"/>
          </w:tcPr>
          <w:p>
            <w:pPr>
              <w:pStyle w:val="TableParagraph"/>
              <w:spacing w:line="427" w:lineRule="exact" w:before="6"/>
              <w:ind w:left="422"/>
              <w:rPr>
                <w:sz w:val="24"/>
              </w:rPr>
            </w:pPr>
            <w:r>
              <w:rPr>
                <w:sz w:val="24"/>
              </w:rPr>
              <w:t>2HRQKT / 7HRQ</w:t>
            </w:r>
          </w:p>
        </w:tc>
        <w:tc>
          <w:tcPr>
            <w:tcW w:w="2457" w:type="dxa"/>
          </w:tcPr>
          <w:p>
            <w:pPr>
              <w:pStyle w:val="TableParagraph"/>
              <w:spacing w:line="427" w:lineRule="exact" w:before="6"/>
              <w:ind w:left="430" w:right="546"/>
              <w:jc w:val="center"/>
              <w:rPr>
                <w:sz w:val="24"/>
              </w:rPr>
            </w:pPr>
            <w:r>
              <w:rPr>
                <w:sz w:val="24"/>
              </w:rPr>
              <w:t>9HR(S)</w:t>
            </w:r>
          </w:p>
        </w:tc>
      </w:tr>
      <w:tr>
        <w:trPr>
          <w:trHeight w:val="453" w:hRule="atLeast"/>
        </w:trPr>
        <w:tc>
          <w:tcPr>
            <w:tcW w:w="2027" w:type="dxa"/>
          </w:tcPr>
          <w:p>
            <w:pPr>
              <w:pStyle w:val="TableParagraph"/>
              <w:spacing w:line="427" w:lineRule="exact" w:before="6"/>
              <w:ind w:left="142" w:right="161"/>
              <w:jc w:val="center"/>
              <w:rPr>
                <w:sz w:val="24"/>
              </w:rPr>
            </w:pPr>
            <w:r>
              <w:rPr>
                <w:sz w:val="24"/>
              </w:rPr>
              <w:t>HZ</w:t>
            </w:r>
          </w:p>
        </w:tc>
        <w:tc>
          <w:tcPr>
            <w:tcW w:w="1900" w:type="dxa"/>
          </w:tcPr>
          <w:p>
            <w:pPr>
              <w:pStyle w:val="TableParagraph"/>
              <w:spacing w:line="427" w:lineRule="exact" w:before="6"/>
              <w:ind w:left="165" w:right="252"/>
              <w:jc w:val="center"/>
              <w:rPr>
                <w:sz w:val="24"/>
              </w:rPr>
            </w:pPr>
            <w:r>
              <w:rPr>
                <w:sz w:val="24"/>
              </w:rPr>
              <w:t>---</w:t>
            </w:r>
          </w:p>
        </w:tc>
        <w:tc>
          <w:tcPr>
            <w:tcW w:w="2867" w:type="dxa"/>
          </w:tcPr>
          <w:p>
            <w:pPr>
              <w:pStyle w:val="TableParagraph"/>
              <w:spacing w:line="427" w:lineRule="exact" w:before="6"/>
              <w:ind w:left="475"/>
              <w:rPr>
                <w:sz w:val="24"/>
              </w:rPr>
            </w:pPr>
            <w:r>
              <w:rPr>
                <w:sz w:val="24"/>
              </w:rPr>
              <w:t>2REQKT / 7REQ</w:t>
            </w:r>
          </w:p>
        </w:tc>
        <w:tc>
          <w:tcPr>
            <w:tcW w:w="2457" w:type="dxa"/>
          </w:tcPr>
          <w:p>
            <w:pPr>
              <w:pStyle w:val="TableParagraph"/>
              <w:spacing w:line="427" w:lineRule="exact" w:before="6"/>
              <w:ind w:left="429" w:right="546"/>
              <w:jc w:val="center"/>
              <w:rPr>
                <w:sz w:val="24"/>
              </w:rPr>
            </w:pPr>
            <w:r>
              <w:rPr>
                <w:sz w:val="24"/>
              </w:rPr>
              <w:t>9REQ(S)</w:t>
            </w:r>
          </w:p>
        </w:tc>
      </w:tr>
      <w:tr>
        <w:trPr>
          <w:trHeight w:val="454" w:hRule="atLeast"/>
        </w:trPr>
        <w:tc>
          <w:tcPr>
            <w:tcW w:w="2027" w:type="dxa"/>
          </w:tcPr>
          <w:p>
            <w:pPr>
              <w:pStyle w:val="TableParagraph"/>
              <w:spacing w:line="428" w:lineRule="exact" w:before="6"/>
              <w:ind w:left="142" w:right="163"/>
              <w:jc w:val="center"/>
              <w:rPr>
                <w:sz w:val="24"/>
              </w:rPr>
            </w:pPr>
            <w:r>
              <w:rPr>
                <w:sz w:val="24"/>
              </w:rPr>
              <w:t>RZ</w:t>
            </w:r>
          </w:p>
        </w:tc>
        <w:tc>
          <w:tcPr>
            <w:tcW w:w="1900" w:type="dxa"/>
          </w:tcPr>
          <w:p>
            <w:pPr>
              <w:pStyle w:val="TableParagraph"/>
              <w:spacing w:line="428" w:lineRule="exact" w:before="6"/>
              <w:ind w:right="86"/>
              <w:jc w:val="center"/>
              <w:rPr>
                <w:sz w:val="24"/>
              </w:rPr>
            </w:pPr>
            <w:r>
              <w:rPr>
                <w:sz w:val="24"/>
              </w:rPr>
              <w:t>B</w:t>
            </w:r>
          </w:p>
        </w:tc>
        <w:tc>
          <w:tcPr>
            <w:tcW w:w="2867" w:type="dxa"/>
          </w:tcPr>
          <w:p>
            <w:pPr>
              <w:pStyle w:val="TableParagraph"/>
              <w:spacing w:line="428" w:lineRule="exact" w:before="6"/>
              <w:ind w:left="973" w:right="1144"/>
              <w:jc w:val="center"/>
              <w:rPr>
                <w:sz w:val="24"/>
              </w:rPr>
            </w:pPr>
            <w:r>
              <w:rPr>
                <w:sz w:val="24"/>
              </w:rPr>
              <w:t>9HBE</w:t>
            </w:r>
          </w:p>
        </w:tc>
        <w:tc>
          <w:tcPr>
            <w:tcW w:w="2457" w:type="dxa"/>
          </w:tcPr>
          <w:p>
            <w:pPr>
              <w:pStyle w:val="TableParagraph"/>
              <w:spacing w:line="428" w:lineRule="exact" w:before="6"/>
              <w:ind w:left="431" w:right="545"/>
              <w:jc w:val="center"/>
              <w:rPr>
                <w:sz w:val="24"/>
              </w:rPr>
            </w:pPr>
            <w:r>
              <w:rPr>
                <w:sz w:val="24"/>
              </w:rPr>
              <w:t>9HBE</w:t>
            </w:r>
          </w:p>
        </w:tc>
      </w:tr>
      <w:tr>
        <w:trPr>
          <w:trHeight w:val="454" w:hRule="atLeast"/>
        </w:trPr>
        <w:tc>
          <w:tcPr>
            <w:tcW w:w="2027" w:type="dxa"/>
          </w:tcPr>
          <w:p>
            <w:pPr>
              <w:pStyle w:val="TableParagraph"/>
              <w:rPr>
                <w:rFonts w:ascii="Times New Roman"/>
                <w:sz w:val="22"/>
              </w:rPr>
            </w:pPr>
          </w:p>
        </w:tc>
        <w:tc>
          <w:tcPr>
            <w:tcW w:w="1900" w:type="dxa"/>
          </w:tcPr>
          <w:p>
            <w:pPr>
              <w:pStyle w:val="TableParagraph"/>
              <w:spacing w:line="427" w:lineRule="exact" w:before="6"/>
              <w:ind w:left="166" w:right="252"/>
              <w:jc w:val="center"/>
              <w:rPr>
                <w:sz w:val="24"/>
              </w:rPr>
            </w:pPr>
            <w:r>
              <w:rPr>
                <w:sz w:val="24"/>
              </w:rPr>
              <w:t>無法使用 B</w:t>
            </w:r>
          </w:p>
        </w:tc>
        <w:tc>
          <w:tcPr>
            <w:tcW w:w="2867" w:type="dxa"/>
          </w:tcPr>
          <w:p>
            <w:pPr>
              <w:pStyle w:val="TableParagraph"/>
              <w:spacing w:line="427" w:lineRule="exact" w:before="6"/>
              <w:ind w:left="274"/>
              <w:rPr>
                <w:sz w:val="24"/>
              </w:rPr>
            </w:pPr>
            <w:r>
              <w:rPr>
                <w:sz w:val="24"/>
              </w:rPr>
              <w:t>6HEQKT / 12HEQ*†</w:t>
            </w:r>
          </w:p>
        </w:tc>
        <w:tc>
          <w:tcPr>
            <w:tcW w:w="2457" w:type="dxa"/>
          </w:tcPr>
          <w:p>
            <w:pPr>
              <w:pStyle w:val="TableParagraph"/>
              <w:spacing w:line="427" w:lineRule="exact" w:before="6"/>
              <w:ind w:left="431" w:right="546"/>
              <w:jc w:val="center"/>
              <w:rPr>
                <w:sz w:val="24"/>
              </w:rPr>
            </w:pPr>
            <w:r>
              <w:rPr>
                <w:sz w:val="24"/>
              </w:rPr>
              <w:t>18HEQ(S)*†</w:t>
            </w:r>
          </w:p>
        </w:tc>
      </w:tr>
      <w:tr>
        <w:trPr>
          <w:trHeight w:val="444" w:hRule="atLeast"/>
        </w:trPr>
        <w:tc>
          <w:tcPr>
            <w:tcW w:w="2027" w:type="dxa"/>
            <w:tcBorders>
              <w:bottom w:val="single" w:sz="12" w:space="0" w:color="000000"/>
            </w:tcBorders>
          </w:tcPr>
          <w:p>
            <w:pPr>
              <w:pStyle w:val="TableParagraph"/>
              <w:spacing w:line="418" w:lineRule="exact" w:before="6"/>
              <w:ind w:left="142" w:right="163"/>
              <w:jc w:val="center"/>
              <w:rPr>
                <w:sz w:val="24"/>
              </w:rPr>
            </w:pPr>
            <w:r>
              <w:rPr>
                <w:sz w:val="24"/>
              </w:rPr>
              <w:t>HEZ</w:t>
            </w:r>
          </w:p>
        </w:tc>
        <w:tc>
          <w:tcPr>
            <w:tcW w:w="1900" w:type="dxa"/>
            <w:tcBorders>
              <w:bottom w:val="single" w:sz="12" w:space="0" w:color="000000"/>
            </w:tcBorders>
          </w:tcPr>
          <w:p>
            <w:pPr>
              <w:pStyle w:val="TableParagraph"/>
              <w:spacing w:line="418" w:lineRule="exact" w:before="6"/>
              <w:ind w:left="165" w:right="252"/>
              <w:jc w:val="center"/>
              <w:rPr>
                <w:sz w:val="24"/>
              </w:rPr>
            </w:pPr>
            <w:r>
              <w:rPr>
                <w:sz w:val="24"/>
              </w:rPr>
              <w:t>---</w:t>
            </w:r>
          </w:p>
        </w:tc>
        <w:tc>
          <w:tcPr>
            <w:tcW w:w="2867" w:type="dxa"/>
            <w:tcBorders>
              <w:bottom w:val="single" w:sz="12" w:space="0" w:color="000000"/>
            </w:tcBorders>
          </w:tcPr>
          <w:p>
            <w:pPr>
              <w:pStyle w:val="TableParagraph"/>
              <w:spacing w:line="418" w:lineRule="exact" w:before="6"/>
              <w:ind w:left="538"/>
              <w:rPr>
                <w:sz w:val="24"/>
              </w:rPr>
            </w:pPr>
            <w:r>
              <w:rPr>
                <w:sz w:val="24"/>
              </w:rPr>
              <w:t>2RQKT / 7RQT</w:t>
            </w:r>
          </w:p>
        </w:tc>
        <w:tc>
          <w:tcPr>
            <w:tcW w:w="2457" w:type="dxa"/>
            <w:tcBorders>
              <w:bottom w:val="single" w:sz="12" w:space="0" w:color="000000"/>
            </w:tcBorders>
          </w:tcPr>
          <w:p>
            <w:pPr>
              <w:pStyle w:val="TableParagraph"/>
              <w:spacing w:line="418" w:lineRule="exact" w:before="6"/>
              <w:ind w:left="430" w:right="546"/>
              <w:jc w:val="center"/>
              <w:rPr>
                <w:sz w:val="24"/>
              </w:rPr>
            </w:pPr>
            <w:r>
              <w:rPr>
                <w:sz w:val="24"/>
              </w:rPr>
              <w:t>9RQT(S)</w:t>
            </w:r>
          </w:p>
        </w:tc>
      </w:tr>
    </w:tbl>
    <w:p>
      <w:pPr>
        <w:spacing w:line="208" w:lineRule="auto" w:before="31"/>
        <w:ind w:left="290" w:right="3193" w:firstLine="0"/>
        <w:jc w:val="both"/>
        <w:rPr>
          <w:sz w:val="23"/>
        </w:rPr>
      </w:pPr>
      <w:r>
        <w:rPr>
          <w:sz w:val="23"/>
        </w:rPr>
        <w:t>E:</w:t>
      </w:r>
      <w:r>
        <w:rPr>
          <w:spacing w:val="-9"/>
          <w:sz w:val="23"/>
        </w:rPr>
        <w:t> </w:t>
      </w:r>
      <w:r>
        <w:rPr>
          <w:sz w:val="23"/>
        </w:rPr>
        <w:t>ethambutol;</w:t>
      </w:r>
      <w:r>
        <w:rPr>
          <w:spacing w:val="-6"/>
          <w:sz w:val="23"/>
        </w:rPr>
        <w:t> </w:t>
      </w:r>
      <w:r>
        <w:rPr>
          <w:sz w:val="23"/>
        </w:rPr>
        <w:t>H:</w:t>
      </w:r>
      <w:r>
        <w:rPr>
          <w:spacing w:val="-6"/>
          <w:sz w:val="23"/>
        </w:rPr>
        <w:t> </w:t>
      </w:r>
      <w:r>
        <w:rPr>
          <w:sz w:val="23"/>
        </w:rPr>
        <w:t>isoniazid;</w:t>
      </w:r>
      <w:r>
        <w:rPr>
          <w:spacing w:val="-6"/>
          <w:sz w:val="23"/>
        </w:rPr>
        <w:t> </w:t>
      </w:r>
      <w:r>
        <w:rPr>
          <w:sz w:val="23"/>
        </w:rPr>
        <w:t>Q:</w:t>
      </w:r>
      <w:r>
        <w:rPr>
          <w:spacing w:val="-7"/>
          <w:sz w:val="23"/>
        </w:rPr>
        <w:t> </w:t>
      </w:r>
      <w:r>
        <w:rPr>
          <w:sz w:val="23"/>
        </w:rPr>
        <w:t>fluoroquinolone;</w:t>
      </w:r>
      <w:r>
        <w:rPr>
          <w:spacing w:val="-7"/>
          <w:sz w:val="23"/>
        </w:rPr>
        <w:t> </w:t>
      </w:r>
      <w:r>
        <w:rPr>
          <w:sz w:val="23"/>
        </w:rPr>
        <w:t>R:</w:t>
      </w:r>
      <w:r>
        <w:rPr>
          <w:spacing w:val="-8"/>
          <w:sz w:val="23"/>
        </w:rPr>
        <w:t> </w:t>
      </w:r>
      <w:r>
        <w:rPr>
          <w:sz w:val="23"/>
        </w:rPr>
        <w:t>rifampin;</w:t>
      </w:r>
      <w:r>
        <w:rPr>
          <w:spacing w:val="-7"/>
          <w:sz w:val="23"/>
        </w:rPr>
        <w:t> </w:t>
      </w:r>
      <w:r>
        <w:rPr>
          <w:sz w:val="23"/>
        </w:rPr>
        <w:t>B:</w:t>
      </w:r>
      <w:r>
        <w:rPr>
          <w:spacing w:val="-7"/>
          <w:sz w:val="23"/>
        </w:rPr>
        <w:t> </w:t>
      </w:r>
      <w:r>
        <w:rPr>
          <w:sz w:val="23"/>
        </w:rPr>
        <w:t>rifabutin; S: streptomycin; T: prothionamide; Z:</w:t>
      </w:r>
      <w:r>
        <w:rPr>
          <w:spacing w:val="-15"/>
          <w:sz w:val="23"/>
        </w:rPr>
        <w:t> </w:t>
      </w:r>
      <w:r>
        <w:rPr>
          <w:sz w:val="23"/>
        </w:rPr>
        <w:t>pyrazinamide;</w:t>
      </w:r>
    </w:p>
    <w:p>
      <w:pPr>
        <w:pStyle w:val="ListParagraph"/>
        <w:numPr>
          <w:ilvl w:val="0"/>
          <w:numId w:val="42"/>
        </w:numPr>
        <w:tabs>
          <w:tab w:pos="772" w:val="left" w:leader="none"/>
        </w:tabs>
        <w:spacing w:line="172" w:lineRule="auto" w:before="35" w:after="0"/>
        <w:ind w:left="770" w:right="1579" w:hanging="480"/>
        <w:jc w:val="both"/>
        <w:rPr>
          <w:rFonts w:ascii="Wingdings" w:hAnsi="Wingdings" w:eastAsia="Wingdings"/>
          <w:color w:val="FF0000"/>
          <w:sz w:val="24"/>
        </w:rPr>
      </w:pPr>
      <w:r>
        <w:rPr>
          <w:spacing w:val="-5"/>
          <w:sz w:val="23"/>
        </w:rPr>
        <w:t>表中「無藥敏結果」建議處方設計的理念，係考慮尚無初痰藥敏結果，且改變處方時病</w:t>
      </w:r>
      <w:r>
        <w:rPr>
          <w:spacing w:val="-10"/>
          <w:sz w:val="23"/>
        </w:rPr>
        <w:t>灶廣泛或嚴重</w:t>
      </w:r>
      <w:r>
        <w:rPr>
          <w:sz w:val="23"/>
        </w:rPr>
        <w:t>（</w:t>
      </w:r>
      <w:r>
        <w:rPr>
          <w:spacing w:val="8"/>
          <w:sz w:val="23"/>
        </w:rPr>
        <w:t>特別是胸部 </w:t>
      </w:r>
      <w:r>
        <w:rPr>
          <w:sz w:val="23"/>
        </w:rPr>
        <w:t>X</w:t>
      </w:r>
      <w:r>
        <w:rPr>
          <w:spacing w:val="4"/>
          <w:sz w:val="23"/>
        </w:rPr>
        <w:t> 光顯示有開洞病灶</w:t>
      </w:r>
      <w:r>
        <w:rPr>
          <w:spacing w:val="-35"/>
          <w:sz w:val="23"/>
        </w:rPr>
        <w:t>）</w:t>
      </w:r>
      <w:r>
        <w:rPr>
          <w:spacing w:val="-13"/>
          <w:sz w:val="23"/>
        </w:rPr>
        <w:t>，或菌量較大</w:t>
      </w:r>
      <w:r>
        <w:rPr>
          <w:sz w:val="23"/>
        </w:rPr>
        <w:t>（痰塗片未陰轉</w:t>
      </w:r>
      <w:r>
        <w:rPr>
          <w:spacing w:val="-34"/>
          <w:sz w:val="23"/>
        </w:rPr>
        <w:t>）</w:t>
      </w:r>
      <w:r>
        <w:rPr>
          <w:sz w:val="23"/>
        </w:rPr>
        <w:t>等易</w:t>
      </w:r>
      <w:r>
        <w:rPr>
          <w:spacing w:val="-5"/>
          <w:sz w:val="23"/>
        </w:rPr>
        <w:t>產生續發性抗藥的臨床狀況而設計。若無上述狀況，可經由病審或與專家討論後視情況簡化處方。</w:t>
      </w:r>
      <w:r>
        <w:rPr>
          <w:color w:val="FF0000"/>
          <w:spacing w:val="-5"/>
          <w:sz w:val="23"/>
        </w:rPr>
        <w:t>無論如何，應盡可能以抗藥性快速分子檢測輔助臨床用藥選擇。</w:t>
      </w:r>
    </w:p>
    <w:p>
      <w:pPr>
        <w:pStyle w:val="ListParagraph"/>
        <w:numPr>
          <w:ilvl w:val="0"/>
          <w:numId w:val="42"/>
        </w:numPr>
        <w:tabs>
          <w:tab w:pos="772" w:val="left" w:leader="none"/>
        </w:tabs>
        <w:spacing w:line="172" w:lineRule="auto" w:before="4" w:after="0"/>
        <w:ind w:left="771" w:right="1573" w:hanging="480"/>
        <w:jc w:val="both"/>
        <w:rPr>
          <w:rFonts w:ascii="Wingdings" w:hAnsi="Wingdings" w:eastAsia="Wingdings"/>
          <w:sz w:val="24"/>
        </w:rPr>
      </w:pPr>
      <w:r>
        <w:rPr>
          <w:spacing w:val="-17"/>
          <w:sz w:val="23"/>
        </w:rPr>
        <w:t>表中「藥敏結果已知」者，該藥敏結果代表的是收集痰檢體時結核分枝桿菌的藥敏，務必</w:t>
      </w:r>
      <w:r>
        <w:rPr>
          <w:spacing w:val="-2"/>
          <w:sz w:val="23"/>
        </w:rPr>
        <w:t>評估在最近這段治療時間，是否可能已經產生續發性抗藥，導致藥敏改變。尤其是痰尚</w:t>
      </w:r>
      <w:r>
        <w:rPr>
          <w:sz w:val="23"/>
        </w:rPr>
        <w:t>未陰轉，或治療反應不理想的病人。</w:t>
      </w:r>
    </w:p>
    <w:p>
      <w:pPr>
        <w:pStyle w:val="ListParagraph"/>
        <w:numPr>
          <w:ilvl w:val="0"/>
          <w:numId w:val="42"/>
        </w:numPr>
        <w:tabs>
          <w:tab w:pos="773" w:val="left" w:leader="none"/>
        </w:tabs>
        <w:spacing w:line="311" w:lineRule="exact" w:before="0" w:after="0"/>
        <w:ind w:left="772" w:right="0" w:hanging="482"/>
        <w:jc w:val="both"/>
        <w:rPr>
          <w:rFonts w:ascii="Wingdings" w:hAnsi="Wingdings" w:eastAsia="Wingdings"/>
          <w:sz w:val="24"/>
        </w:rPr>
      </w:pPr>
      <w:r>
        <w:rPr>
          <w:spacing w:val="-4"/>
          <w:sz w:val="23"/>
        </w:rPr>
        <w:t>處方前的數字表示使用月數。( )內的藥物在痰塗片陰轉後即可停止。</w:t>
      </w:r>
    </w:p>
    <w:p>
      <w:pPr>
        <w:pStyle w:val="ListParagraph"/>
        <w:numPr>
          <w:ilvl w:val="0"/>
          <w:numId w:val="42"/>
        </w:numPr>
        <w:tabs>
          <w:tab w:pos="772" w:val="left" w:leader="none"/>
        </w:tabs>
        <w:spacing w:line="172" w:lineRule="auto" w:before="30" w:after="0"/>
        <w:ind w:left="771" w:right="1533" w:hanging="480"/>
        <w:jc w:val="both"/>
        <w:rPr>
          <w:rFonts w:ascii="Wingdings" w:hAnsi="Wingdings" w:eastAsia="Wingdings"/>
          <w:sz w:val="24"/>
        </w:rPr>
      </w:pPr>
      <w:r>
        <w:rPr>
          <w:spacing w:val="-6"/>
          <w:sz w:val="23"/>
        </w:rPr>
        <w:t>使用針劑時，當處方中其他藥物為一線藥物時，選擇使用 </w:t>
      </w:r>
      <w:r>
        <w:rPr>
          <w:spacing w:val="-3"/>
          <w:sz w:val="23"/>
        </w:rPr>
        <w:t>streptomycin；</w:t>
      </w:r>
      <w:r>
        <w:rPr>
          <w:sz w:val="23"/>
        </w:rPr>
        <w:t>若處方中包含</w:t>
      </w:r>
      <w:r>
        <w:rPr>
          <w:spacing w:val="13"/>
          <w:sz w:val="23"/>
        </w:rPr>
        <w:t>其他二線藥物， 特別是 </w:t>
      </w:r>
      <w:r>
        <w:rPr>
          <w:sz w:val="23"/>
        </w:rPr>
        <w:t>fluoroquinolone</w:t>
      </w:r>
      <w:r>
        <w:rPr>
          <w:spacing w:val="20"/>
          <w:sz w:val="23"/>
        </w:rPr>
        <w:t> 類藥物時，建議使用 </w:t>
      </w:r>
      <w:r>
        <w:rPr>
          <w:sz w:val="23"/>
        </w:rPr>
        <w:t>kanamycin</w:t>
      </w:r>
      <w:r>
        <w:rPr>
          <w:spacing w:val="4"/>
          <w:sz w:val="23"/>
        </w:rPr>
        <w:t>，來保</w:t>
      </w:r>
      <w:r>
        <w:rPr>
          <w:spacing w:val="44"/>
          <w:sz w:val="23"/>
        </w:rPr>
        <w:t>護</w:t>
      </w:r>
      <w:r>
        <w:rPr>
          <w:sz w:val="23"/>
        </w:rPr>
        <w:t>fluoroquinolone</w:t>
      </w:r>
      <w:r>
        <w:rPr>
          <w:spacing w:val="30"/>
          <w:sz w:val="23"/>
        </w:rPr>
        <w:t> ； 唯此時若藥物感受性試驗確定</w:t>
      </w:r>
      <w:r>
        <w:rPr>
          <w:sz w:val="23"/>
        </w:rPr>
        <w:t>streptomycin</w:t>
      </w:r>
      <w:r>
        <w:rPr>
          <w:spacing w:val="26"/>
          <w:sz w:val="23"/>
        </w:rPr>
        <w:t> 敏感，可用</w:t>
      </w:r>
      <w:r>
        <w:rPr>
          <w:spacing w:val="25"/>
          <w:sz w:val="23"/>
        </w:rPr>
        <w:t>streptomycin</w:t>
      </w:r>
      <w:r>
        <w:rPr>
          <w:spacing w:val="51"/>
          <w:sz w:val="23"/>
        </w:rPr>
        <w:t>取代</w:t>
      </w:r>
      <w:r>
        <w:rPr>
          <w:spacing w:val="25"/>
          <w:sz w:val="23"/>
        </w:rPr>
        <w:t>kanamycin</w:t>
      </w:r>
      <w:r>
        <w:rPr>
          <w:sz w:val="23"/>
        </w:rPr>
        <w:t>。</w:t>
      </w:r>
    </w:p>
    <w:p>
      <w:pPr>
        <w:pStyle w:val="ListParagraph"/>
        <w:numPr>
          <w:ilvl w:val="0"/>
          <w:numId w:val="42"/>
        </w:numPr>
        <w:tabs>
          <w:tab w:pos="772" w:val="left" w:leader="none"/>
        </w:tabs>
        <w:spacing w:line="172" w:lineRule="auto" w:before="2" w:after="0"/>
        <w:ind w:left="771" w:right="1578" w:hanging="480"/>
        <w:jc w:val="both"/>
        <w:rPr>
          <w:rFonts w:ascii="Wingdings" w:hAnsi="Wingdings" w:eastAsia="Wingdings"/>
          <w:sz w:val="24"/>
        </w:rPr>
      </w:pPr>
      <w:r>
        <w:rPr>
          <w:sz w:val="23"/>
        </w:rPr>
        <w:t>若評估結核分枝桿菌的菌量很大</w:t>
      </w:r>
      <w:r>
        <w:rPr>
          <w:spacing w:val="7"/>
          <w:sz w:val="23"/>
        </w:rPr>
        <w:t>（</w:t>
      </w:r>
      <w:r>
        <w:rPr>
          <w:spacing w:val="8"/>
          <w:sz w:val="23"/>
        </w:rPr>
        <w:t>例如胸部 </w:t>
      </w:r>
      <w:r>
        <w:rPr>
          <w:sz w:val="23"/>
        </w:rPr>
        <w:t>X</w:t>
      </w:r>
      <w:r>
        <w:rPr>
          <w:spacing w:val="-1"/>
          <w:sz w:val="23"/>
        </w:rPr>
        <w:t> 光顯示有開洞病灶、或者痰塗片為強陽</w:t>
      </w:r>
      <w:r>
        <w:rPr>
          <w:sz w:val="23"/>
        </w:rPr>
        <w:t>性），可考慮輔以針劑藥物，直至影像改善或痰塗片陰轉，以避免產生續發性抗藥。</w:t>
      </w:r>
    </w:p>
    <w:p>
      <w:pPr>
        <w:spacing w:line="170" w:lineRule="auto" w:before="0"/>
        <w:ind w:left="520" w:right="1579" w:hanging="230"/>
        <w:jc w:val="both"/>
        <w:rPr>
          <w:sz w:val="23"/>
        </w:rPr>
      </w:pPr>
      <w:r>
        <w:rPr>
          <w:sz w:val="23"/>
        </w:rPr>
        <w:t>* 若臨床醫師希望使用二線藥物以縮短療程到 12 個月時，請主動提交給免費藥物審查委員審核。</w:t>
      </w:r>
    </w:p>
    <w:p>
      <w:pPr>
        <w:spacing w:line="117" w:lineRule="auto" w:before="0"/>
        <w:ind w:left="291" w:right="0" w:firstLine="0"/>
        <w:jc w:val="left"/>
        <w:rPr>
          <w:sz w:val="23"/>
        </w:rPr>
      </w:pPr>
      <w:r>
        <w:rPr>
          <w:position w:val="11"/>
          <w:sz w:val="23"/>
        </w:rPr>
        <w:t># </w:t>
      </w:r>
      <w:r>
        <w:rPr>
          <w:sz w:val="23"/>
        </w:rPr>
        <w:t>如果治療四個月後痰未陰轉或X 光改善不佳，建議針劑延長至 6 個月、總共治療 18 個月。</w:t>
      </w:r>
    </w:p>
    <w:p>
      <w:pPr>
        <w:spacing w:line="170" w:lineRule="auto" w:before="1"/>
        <w:ind w:left="532" w:right="1578" w:hanging="241"/>
        <w:jc w:val="both"/>
        <w:rPr>
          <w:sz w:val="23"/>
        </w:rPr>
      </w:pPr>
      <w:r>
        <w:rPr>
          <w:sz w:val="23"/>
        </w:rPr>
        <w:t>† 當 rifamycin 類藥物和 pyrazinamide 等兩種  sterilizing activity  較強的藥物都不能使用時，可以考慮加入 clofazimine 以縮短療程為  12 個月。</w:t>
      </w:r>
    </w:p>
    <w:p>
      <w:pPr>
        <w:spacing w:after="0" w:line="170" w:lineRule="auto"/>
        <w:jc w:val="both"/>
        <w:rPr>
          <w:sz w:val="23"/>
        </w:rPr>
        <w:sectPr>
          <w:pgSz w:w="12250" w:h="17190"/>
          <w:pgMar w:header="0" w:footer="748" w:top="1380" w:bottom="1020" w:left="1180" w:right="0"/>
        </w:sectPr>
      </w:pPr>
    </w:p>
    <w:p>
      <w:pPr>
        <w:pStyle w:val="Heading1"/>
        <w:tabs>
          <w:tab w:pos="1852" w:val="left" w:leader="none"/>
        </w:tabs>
        <w:ind w:left="372"/>
      </w:pPr>
      <w:r>
        <w:rPr/>
        <w:pict>
          <v:group style="position:absolute;margin-left:571.5pt;margin-top:5.7299pt;width:40.9pt;height:316.05pt;mso-position-horizontal-relative:page;mso-position-vertical-relative:paragraph;z-index:251727872" coordorigin="11430,115" coordsize="818,6321">
            <v:shape style="position:absolute;left:11430;top:114;width:818;height:6321" coordorigin="11430,115" coordsize="818,6321" path="m12247,115l11595,115,11531,128,11478,163,11443,216,11430,280,11430,6270,11443,6335,11478,6387,11531,6423,11595,6436,12247,6436,12247,115xe" filled="true" fillcolor="#a6a6a6" stroked="false">
              <v:path arrowok="t"/>
              <v:fill type="solid"/>
            </v:shape>
            <v:shape style="position:absolute;left:11430;top:114;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t>第六章</w:t>
        <w:tab/>
        <w:t>結核病的藥物及藥物交互作用(含公費藥物申請)</w:t>
      </w:r>
    </w:p>
    <w:p>
      <w:pPr>
        <w:pStyle w:val="BodyText"/>
        <w:spacing w:line="225" w:lineRule="auto" w:before="175"/>
        <w:ind w:left="180" w:right="1301" w:firstLine="488"/>
        <w:jc w:val="right"/>
      </w:pPr>
      <w:r>
        <w:rPr>
          <w:spacing w:val="2"/>
        </w:rPr>
        <w:t>抗結核病藥能抑制或殺死結核分枝桿菌，以 </w:t>
      </w:r>
      <w:r>
        <w:rPr/>
        <w:t>isoniazid</w:t>
      </w:r>
      <w:r>
        <w:rPr>
          <w:spacing w:val="13"/>
        </w:rPr>
        <w:t> 和 </w:t>
      </w:r>
      <w:r>
        <w:rPr/>
        <w:t>rifampicin</w:t>
      </w:r>
      <w:r>
        <w:rPr>
          <w:spacing w:val="3"/>
        </w:rPr>
        <w:t> 為主的藥物組合</w:t>
      </w:r>
      <w:r>
        <w:rPr>
          <w:spacing w:val="-9"/>
        </w:rPr>
        <w:t>處方，幾乎能治癒所有的新發肺結核病人，臨床上根據病人的治療史特徵，常用藥品如下： </w:t>
      </w:r>
      <w:r>
        <w:rPr>
          <w:spacing w:val="2"/>
        </w:rPr>
        <w:t>(1)</w:t>
      </w:r>
      <w:r>
        <w:rPr>
          <w:spacing w:val="-3"/>
        </w:rPr>
        <w:t>一線藥：</w:t>
      </w:r>
      <w:r>
        <w:rPr/>
        <w:t>isoniazid</w:t>
      </w:r>
      <w:r>
        <w:rPr>
          <w:spacing w:val="-8"/>
        </w:rPr>
        <w:t> </w:t>
      </w:r>
      <w:r>
        <w:rPr/>
        <w:t>(INH</w:t>
      </w:r>
      <w:r>
        <w:rPr>
          <w:spacing w:val="-6"/>
        </w:rPr>
        <w:t>)、</w:t>
      </w:r>
      <w:r>
        <w:rPr/>
        <w:t>rifampicin</w:t>
      </w:r>
      <w:r>
        <w:rPr>
          <w:spacing w:val="-4"/>
        </w:rPr>
        <w:t> (</w:t>
      </w:r>
      <w:r>
        <w:rPr/>
        <w:t>RMP</w:t>
      </w:r>
      <w:r>
        <w:rPr>
          <w:spacing w:val="-7"/>
        </w:rPr>
        <w:t>)、</w:t>
      </w:r>
      <w:r>
        <w:rPr/>
        <w:t>ethambutol</w:t>
      </w:r>
      <w:r>
        <w:rPr>
          <w:spacing w:val="-6"/>
        </w:rPr>
        <w:t> </w:t>
      </w:r>
      <w:r>
        <w:rPr/>
        <w:t>(EMB</w:t>
      </w:r>
      <w:r>
        <w:rPr>
          <w:spacing w:val="-6"/>
        </w:rPr>
        <w:t>)、</w:t>
      </w:r>
      <w:r>
        <w:rPr/>
        <w:t>pyrazinamide</w:t>
      </w:r>
      <w:r>
        <w:rPr>
          <w:spacing w:val="2"/>
        </w:rPr>
        <w:t> </w:t>
      </w:r>
      <w:r>
        <w:rPr/>
        <w:t>(PZA)；(2</w:t>
      </w:r>
      <w:r>
        <w:rPr>
          <w:spacing w:val="1"/>
        </w:rPr>
        <w:t>)第二線藥：</w:t>
      </w:r>
      <w:r>
        <w:rPr>
          <w:color w:val="FF0000"/>
        </w:rPr>
        <w:t>Streptomycin</w:t>
      </w:r>
      <w:r>
        <w:rPr>
          <w:color w:val="FF0000"/>
          <w:spacing w:val="25"/>
        </w:rPr>
        <w:t> (</w:t>
      </w:r>
      <w:r>
        <w:rPr>
          <w:color w:val="FF0000"/>
        </w:rPr>
        <w:t>SM)</w:t>
      </w:r>
      <w:r>
        <w:rPr>
          <w:spacing w:val="3"/>
        </w:rPr>
        <w:t>、</w:t>
      </w:r>
      <w:r>
        <w:rPr/>
        <w:t>cycloserine</w:t>
      </w:r>
      <w:r>
        <w:rPr>
          <w:spacing w:val="26"/>
        </w:rPr>
        <w:t> (</w:t>
      </w:r>
      <w:r>
        <w:rPr/>
        <w:t>CS)</w:t>
      </w:r>
      <w:r>
        <w:rPr>
          <w:spacing w:val="4"/>
        </w:rPr>
        <w:t>、</w:t>
      </w:r>
      <w:r>
        <w:rPr/>
        <w:t>prothionamide</w:t>
      </w:r>
      <w:r>
        <w:rPr>
          <w:spacing w:val="25"/>
        </w:rPr>
        <w:t> (</w:t>
      </w:r>
      <w:r>
        <w:rPr/>
        <w:t>TBN)、 para-aminosalicylate</w:t>
      </w:r>
      <w:r>
        <w:rPr>
          <w:spacing w:val="19"/>
        </w:rPr>
        <w:t> (</w:t>
      </w:r>
      <w:r>
        <w:rPr/>
        <w:t>PAS</w:t>
      </w:r>
      <w:r>
        <w:rPr>
          <w:spacing w:val="1"/>
        </w:rPr>
        <w:t>)、</w:t>
      </w:r>
      <w:r>
        <w:rPr/>
        <w:t>ethionamide</w:t>
      </w:r>
      <w:r>
        <w:rPr>
          <w:spacing w:val="38"/>
        </w:rPr>
        <w:t> </w:t>
      </w:r>
      <w:r>
        <w:rPr/>
        <w:t>(ETH</w:t>
      </w:r>
      <w:r>
        <w:rPr>
          <w:spacing w:val="1"/>
        </w:rPr>
        <w:t>)、針劑：</w:t>
      </w:r>
      <w:r>
        <w:rPr/>
        <w:t>kanamycin</w:t>
      </w:r>
      <w:r>
        <w:rPr>
          <w:spacing w:val="20"/>
        </w:rPr>
        <w:t> (</w:t>
      </w:r>
      <w:r>
        <w:rPr/>
        <w:t>KM)</w:t>
      </w:r>
      <w:r>
        <w:rPr>
          <w:spacing w:val="4"/>
        </w:rPr>
        <w:t>、</w:t>
      </w:r>
      <w:r>
        <w:rPr/>
        <w:t>amikacin</w:t>
      </w:r>
    </w:p>
    <w:p>
      <w:pPr>
        <w:pStyle w:val="BodyText"/>
        <w:spacing w:line="424" w:lineRule="exact"/>
        <w:ind w:left="180"/>
      </w:pPr>
      <w:r>
        <w:rPr/>
        <w:t>(AMK)、capreomycin (CM)。</w:t>
      </w:r>
    </w:p>
    <w:p>
      <w:pPr>
        <w:pStyle w:val="BodyText"/>
        <w:spacing w:before="4"/>
        <w:rPr>
          <w:sz w:val="18"/>
        </w:rPr>
      </w:pPr>
    </w:p>
    <w:p>
      <w:pPr>
        <w:pStyle w:val="Heading6"/>
        <w:numPr>
          <w:ilvl w:val="1"/>
          <w:numId w:val="43"/>
        </w:numPr>
        <w:tabs>
          <w:tab w:pos="664" w:val="left" w:leader="none"/>
        </w:tabs>
        <w:spacing w:line="240" w:lineRule="auto" w:before="0" w:after="0"/>
        <w:ind w:left="663" w:right="0" w:hanging="484"/>
        <w:jc w:val="both"/>
      </w:pPr>
      <w:r>
        <w:rPr>
          <w:spacing w:val="2"/>
        </w:rPr>
        <w:t>第一線抗結核藥物 (表 </w:t>
      </w:r>
      <w:r>
        <w:rPr/>
        <w:t>6-1)</w:t>
      </w:r>
    </w:p>
    <w:p>
      <w:pPr>
        <w:pStyle w:val="Heading7"/>
        <w:numPr>
          <w:ilvl w:val="2"/>
          <w:numId w:val="43"/>
        </w:numPr>
        <w:tabs>
          <w:tab w:pos="973" w:val="left" w:leader="none"/>
        </w:tabs>
        <w:spacing w:line="240" w:lineRule="auto" w:before="40" w:after="0"/>
        <w:ind w:left="972" w:right="0" w:hanging="672"/>
        <w:jc w:val="both"/>
      </w:pPr>
      <w:r>
        <w:rPr/>
        <w:pict>
          <v:shape style="position:absolute;margin-left:574.289001pt;margin-top:8.338518pt;width:16.650pt;height:5.55pt;mso-position-horizontal-relative:page;mso-position-vertical-relative:paragraph;z-index:251729920"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t>Isoniazid</w:t>
      </w:r>
      <w:r>
        <w:rPr>
          <w:spacing w:val="3"/>
        </w:rPr>
        <w:t> </w:t>
      </w:r>
      <w:r>
        <w:rPr/>
        <w:t>(INH)</w:t>
      </w:r>
    </w:p>
    <w:p>
      <w:pPr>
        <w:pStyle w:val="ListParagraph"/>
        <w:numPr>
          <w:ilvl w:val="3"/>
          <w:numId w:val="43"/>
        </w:numPr>
        <w:tabs>
          <w:tab w:pos="964" w:val="left" w:leader="none"/>
        </w:tabs>
        <w:spacing w:line="223" w:lineRule="auto" w:before="25" w:after="0"/>
        <w:ind w:left="963" w:right="1355" w:hanging="244"/>
        <w:jc w:val="both"/>
        <w:rPr>
          <w:sz w:val="24"/>
        </w:rPr>
      </w:pPr>
      <w:r>
        <w:rPr/>
        <w:pict>
          <v:shape style="position:absolute;margin-left:574.289001pt;margin-top:80.271301pt;width:16.650pt;height:5.55pt;mso-position-horizontal-relative:page;mso-position-vertical-relative:paragraph;z-index:251728896"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7"/>
          <w:sz w:val="24"/>
        </w:rPr>
        <w:t>藥理作用： </w:t>
      </w:r>
      <w:r>
        <w:rPr>
          <w:sz w:val="24"/>
        </w:rPr>
        <w:t>INH</w:t>
      </w:r>
      <w:r>
        <w:rPr>
          <w:spacing w:val="21"/>
          <w:sz w:val="24"/>
        </w:rPr>
        <w:t> 屬前體藥物</w:t>
      </w:r>
      <w:r>
        <w:rPr>
          <w:spacing w:val="3"/>
          <w:sz w:val="24"/>
        </w:rPr>
        <w:t>(prodrug</w:t>
      </w:r>
      <w:r>
        <w:rPr>
          <w:spacing w:val="10"/>
          <w:sz w:val="24"/>
        </w:rPr>
        <w:t>)， 經結核分枝桿菌過氧化氫酶(</w:t>
      </w:r>
      <w:r>
        <w:rPr>
          <w:sz w:val="24"/>
        </w:rPr>
        <w:t>catalase peroxidase</w:t>
      </w:r>
      <w:r>
        <w:rPr>
          <w:spacing w:val="3"/>
          <w:sz w:val="24"/>
        </w:rPr>
        <w:t>)活化後，其代謝物會干擾結核分枝桿菌</w:t>
      </w:r>
      <w:r>
        <w:rPr>
          <w:sz w:val="24"/>
        </w:rPr>
        <w:t>mycolic</w:t>
      </w:r>
      <w:r>
        <w:rPr>
          <w:spacing w:val="-6"/>
          <w:sz w:val="24"/>
        </w:rPr>
        <w:t> </w:t>
      </w:r>
      <w:r>
        <w:rPr>
          <w:sz w:val="24"/>
        </w:rPr>
        <w:t>acid</w:t>
      </w:r>
      <w:r>
        <w:rPr>
          <w:spacing w:val="3"/>
          <w:sz w:val="24"/>
        </w:rPr>
        <w:t> 合成，抑制細胞</w:t>
      </w:r>
      <w:r>
        <w:rPr>
          <w:spacing w:val="6"/>
          <w:sz w:val="24"/>
        </w:rPr>
        <w:t>壁的合成，口服後吸收快速完全，可以達到血中最高濃度(</w:t>
      </w:r>
      <w:r>
        <w:rPr>
          <w:sz w:val="24"/>
        </w:rPr>
        <w:t>Cmax</w:t>
      </w:r>
      <w:r>
        <w:rPr>
          <w:spacing w:val="6"/>
          <w:sz w:val="24"/>
        </w:rPr>
        <w:t>)約 </w:t>
      </w:r>
      <w:r>
        <w:rPr>
          <w:spacing w:val="2"/>
          <w:sz w:val="24"/>
        </w:rPr>
        <w:t>4μg/mL</w:t>
      </w:r>
      <w:r>
        <w:rPr>
          <w:spacing w:val="4"/>
          <w:sz w:val="24"/>
        </w:rPr>
        <w:t>，血</w:t>
      </w:r>
      <w:r>
        <w:rPr>
          <w:spacing w:val="11"/>
          <w:sz w:val="24"/>
        </w:rPr>
        <w:t>中最低抑菌濃度(</w:t>
      </w:r>
      <w:r>
        <w:rPr>
          <w:spacing w:val="3"/>
          <w:sz w:val="24"/>
        </w:rPr>
        <w:t>MIC</w:t>
      </w:r>
      <w:r>
        <w:rPr>
          <w:spacing w:val="11"/>
          <w:sz w:val="24"/>
        </w:rPr>
        <w:t>)約 </w:t>
      </w:r>
      <w:r>
        <w:rPr>
          <w:sz w:val="24"/>
        </w:rPr>
        <w:t>0.02-0.05µg/mL(broth</w:t>
      </w:r>
      <w:r>
        <w:rPr>
          <w:spacing w:val="59"/>
          <w:sz w:val="24"/>
        </w:rPr>
        <w:t> </w:t>
      </w:r>
      <w:r>
        <w:rPr>
          <w:spacing w:val="2"/>
          <w:sz w:val="24"/>
        </w:rPr>
        <w:t>media)，0.1-0.2</w:t>
      </w:r>
      <w:r>
        <w:rPr>
          <w:spacing w:val="55"/>
          <w:sz w:val="24"/>
        </w:rPr>
        <w:t> </w:t>
      </w:r>
      <w:r>
        <w:rPr>
          <w:sz w:val="24"/>
        </w:rPr>
        <w:t>µg/mL(solid media</w:t>
      </w:r>
      <w:r>
        <w:rPr>
          <w:spacing w:val="1"/>
          <w:sz w:val="24"/>
        </w:rPr>
        <w:t>)，並可在血中維持 </w:t>
      </w:r>
      <w:r>
        <w:rPr>
          <w:sz w:val="24"/>
        </w:rPr>
        <w:t>3-5</w:t>
      </w:r>
      <w:r>
        <w:rPr>
          <w:spacing w:val="2"/>
          <w:sz w:val="24"/>
        </w:rPr>
        <w:t> 小時之久。對快速增殖的結核分枝桿菌特別有效， </w:t>
      </w:r>
      <w:r>
        <w:rPr>
          <w:spacing w:val="-3"/>
          <w:sz w:val="24"/>
        </w:rPr>
        <w:t>早期殺菌力強</w:t>
      </w:r>
      <w:r>
        <w:rPr>
          <w:sz w:val="24"/>
        </w:rPr>
        <w:t>（early</w:t>
      </w:r>
      <w:r>
        <w:rPr>
          <w:spacing w:val="-4"/>
          <w:sz w:val="24"/>
        </w:rPr>
        <w:t> </w:t>
      </w:r>
      <w:r>
        <w:rPr>
          <w:sz w:val="24"/>
        </w:rPr>
        <w:t>bactericidal</w:t>
      </w:r>
      <w:r>
        <w:rPr>
          <w:spacing w:val="-4"/>
          <w:sz w:val="24"/>
        </w:rPr>
        <w:t> </w:t>
      </w:r>
      <w:r>
        <w:rPr>
          <w:sz w:val="24"/>
        </w:rPr>
        <w:t>activity），但滅菌能力(sterilizing</w:t>
      </w:r>
      <w:r>
        <w:rPr>
          <w:spacing w:val="-3"/>
          <w:sz w:val="24"/>
        </w:rPr>
        <w:t> </w:t>
      </w:r>
      <w:r>
        <w:rPr>
          <w:sz w:val="24"/>
        </w:rPr>
        <w:t>activity</w:t>
      </w:r>
      <w:r>
        <w:rPr>
          <w:spacing w:val="1"/>
          <w:sz w:val="24"/>
        </w:rPr>
        <w:t>)次於</w:t>
      </w:r>
      <w:r>
        <w:rPr>
          <w:sz w:val="24"/>
        </w:rPr>
        <w:t>RMP</w:t>
      </w:r>
      <w:r>
        <w:rPr>
          <w:spacing w:val="23"/>
          <w:sz w:val="24"/>
        </w:rPr>
        <w:t> 和 </w:t>
      </w:r>
      <w:r>
        <w:rPr>
          <w:sz w:val="24"/>
        </w:rPr>
        <w:t>PZA</w:t>
      </w:r>
      <w:r>
        <w:rPr>
          <w:spacing w:val="1"/>
          <w:sz w:val="24"/>
        </w:rPr>
        <w:t>，對血腦屏障的穿透力良好，具有安全、便宜、易於投藥等優點，是</w:t>
      </w:r>
      <w:r>
        <w:rPr>
          <w:spacing w:val="3"/>
          <w:sz w:val="24"/>
        </w:rPr>
        <w:t>目前使用最廣泛的抗結核藥物。</w:t>
      </w:r>
    </w:p>
    <w:p>
      <w:pPr>
        <w:pStyle w:val="ListParagraph"/>
        <w:numPr>
          <w:ilvl w:val="3"/>
          <w:numId w:val="43"/>
        </w:numPr>
        <w:tabs>
          <w:tab w:pos="964" w:val="left" w:leader="none"/>
        </w:tabs>
        <w:spacing w:line="218" w:lineRule="auto" w:before="0" w:after="0"/>
        <w:ind w:left="963" w:right="1361" w:hanging="244"/>
        <w:jc w:val="both"/>
        <w:rPr>
          <w:sz w:val="24"/>
        </w:rPr>
      </w:pPr>
      <w:r>
        <w:rPr>
          <w:sz w:val="24"/>
        </w:rPr>
        <w:t>INH</w:t>
      </w:r>
      <w:r>
        <w:rPr>
          <w:spacing w:val="-2"/>
          <w:sz w:val="24"/>
        </w:rPr>
        <w:t> 抗藥性主要與結核分枝桿菌的 </w:t>
      </w:r>
      <w:r>
        <w:rPr>
          <w:i/>
          <w:sz w:val="25"/>
        </w:rPr>
        <w:t>katG</w:t>
      </w:r>
      <w:r>
        <w:rPr>
          <w:spacing w:val="-8"/>
          <w:sz w:val="24"/>
        </w:rPr>
        <w:t>, </w:t>
      </w:r>
      <w:r>
        <w:rPr>
          <w:i/>
          <w:sz w:val="25"/>
        </w:rPr>
        <w:t>inhA</w:t>
      </w:r>
      <w:r>
        <w:rPr>
          <w:i/>
          <w:spacing w:val="-13"/>
          <w:sz w:val="25"/>
        </w:rPr>
        <w:t> </w:t>
      </w:r>
      <w:r>
        <w:rPr>
          <w:spacing w:val="-9"/>
          <w:sz w:val="24"/>
        </w:rPr>
        <w:t>基因突變有關，出現突變種(</w:t>
      </w:r>
      <w:r>
        <w:rPr>
          <w:sz w:val="24"/>
        </w:rPr>
        <w:t>mutant) </w:t>
      </w:r>
      <w:r>
        <w:rPr>
          <w:spacing w:val="2"/>
          <w:sz w:val="24"/>
        </w:rPr>
        <w:t>機率約 </w:t>
      </w:r>
      <w:r>
        <w:rPr>
          <w:sz w:val="24"/>
        </w:rPr>
        <w:t>3.5x10</w:t>
      </w:r>
      <w:r>
        <w:rPr>
          <w:position w:val="11"/>
          <w:sz w:val="16"/>
        </w:rPr>
        <w:t>-6</w:t>
      </w:r>
      <w:r>
        <w:rPr>
          <w:sz w:val="24"/>
        </w:rPr>
        <w:t>。</w:t>
      </w:r>
    </w:p>
    <w:p>
      <w:pPr>
        <w:pStyle w:val="ListParagraph"/>
        <w:numPr>
          <w:ilvl w:val="3"/>
          <w:numId w:val="43"/>
        </w:numPr>
        <w:tabs>
          <w:tab w:pos="964" w:val="left" w:leader="none"/>
        </w:tabs>
        <w:spacing w:line="438" w:lineRule="exact" w:before="0" w:after="0"/>
        <w:ind w:left="963" w:right="0" w:hanging="245"/>
        <w:jc w:val="both"/>
        <w:rPr>
          <w:sz w:val="24"/>
        </w:rPr>
      </w:pPr>
      <w:r>
        <w:rPr>
          <w:spacing w:val="2"/>
          <w:sz w:val="24"/>
        </w:rPr>
        <w:t>治療劑量：</w:t>
      </w:r>
    </w:p>
    <w:p>
      <w:pPr>
        <w:pStyle w:val="ListParagraph"/>
        <w:numPr>
          <w:ilvl w:val="4"/>
          <w:numId w:val="43"/>
        </w:numPr>
        <w:tabs>
          <w:tab w:pos="1439" w:val="left" w:leader="none"/>
        </w:tabs>
        <w:spacing w:line="432" w:lineRule="exact" w:before="0" w:after="0"/>
        <w:ind w:left="1438" w:right="0" w:hanging="488"/>
        <w:jc w:val="both"/>
        <w:rPr>
          <w:sz w:val="24"/>
        </w:rPr>
      </w:pPr>
      <w:r>
        <w:rPr>
          <w:spacing w:val="2"/>
          <w:sz w:val="24"/>
        </w:rPr>
        <w:t>標準劑量：成人每日劑量為 </w:t>
      </w:r>
      <w:r>
        <w:rPr>
          <w:sz w:val="24"/>
        </w:rPr>
        <w:t>5（4-6）mg/kg</w:t>
      </w:r>
      <w:r>
        <w:rPr>
          <w:spacing w:val="1"/>
          <w:sz w:val="24"/>
        </w:rPr>
        <w:t>，最多 </w:t>
      </w:r>
      <w:r>
        <w:rPr>
          <w:sz w:val="24"/>
        </w:rPr>
        <w:t>300</w:t>
      </w:r>
      <w:r>
        <w:rPr>
          <w:spacing w:val="4"/>
          <w:sz w:val="24"/>
        </w:rPr>
        <w:t> </w:t>
      </w:r>
      <w:r>
        <w:rPr>
          <w:spacing w:val="2"/>
          <w:sz w:val="24"/>
        </w:rPr>
        <w:t>mg，一次口服。</w:t>
      </w:r>
    </w:p>
    <w:p>
      <w:pPr>
        <w:pStyle w:val="ListParagraph"/>
        <w:numPr>
          <w:ilvl w:val="4"/>
          <w:numId w:val="43"/>
        </w:numPr>
        <w:tabs>
          <w:tab w:pos="1439" w:val="left" w:leader="none"/>
        </w:tabs>
        <w:spacing w:line="429" w:lineRule="exact" w:before="0" w:after="0"/>
        <w:ind w:left="1438" w:right="0" w:hanging="488"/>
        <w:jc w:val="both"/>
        <w:rPr>
          <w:sz w:val="24"/>
        </w:rPr>
      </w:pPr>
      <w:r>
        <w:rPr>
          <w:spacing w:val="3"/>
          <w:sz w:val="24"/>
        </w:rPr>
        <w:t>兒童劑量請參閱本指引第八章。</w:t>
      </w:r>
    </w:p>
    <w:p>
      <w:pPr>
        <w:pStyle w:val="ListParagraph"/>
        <w:numPr>
          <w:ilvl w:val="4"/>
          <w:numId w:val="43"/>
        </w:numPr>
        <w:tabs>
          <w:tab w:pos="1439" w:val="left" w:leader="none"/>
        </w:tabs>
        <w:spacing w:line="223" w:lineRule="auto" w:before="9" w:after="0"/>
        <w:ind w:left="1438" w:right="1363" w:hanging="488"/>
        <w:jc w:val="left"/>
        <w:rPr>
          <w:sz w:val="24"/>
        </w:rPr>
      </w:pPr>
      <w:r>
        <w:rPr>
          <w:spacing w:val="5"/>
          <w:sz w:val="24"/>
        </w:rPr>
        <w:t>潛伏結核感染治療劑量：包含短程處方(</w:t>
      </w:r>
      <w:r>
        <w:rPr>
          <w:sz w:val="24"/>
        </w:rPr>
        <w:t>3HP</w:t>
      </w:r>
      <w:r>
        <w:rPr>
          <w:spacing w:val="4"/>
          <w:sz w:val="24"/>
        </w:rPr>
        <w:t>)與傳統處方</w:t>
      </w:r>
      <w:r>
        <w:rPr>
          <w:spacing w:val="2"/>
          <w:sz w:val="24"/>
        </w:rPr>
        <w:t>(9H)，建議劑量請參考第十章。短程處方採用 </w:t>
      </w:r>
      <w:r>
        <w:rPr>
          <w:sz w:val="24"/>
        </w:rPr>
        <w:t>INH</w:t>
      </w:r>
      <w:r>
        <w:rPr>
          <w:spacing w:val="3"/>
          <w:sz w:val="24"/>
        </w:rPr>
        <w:t> 劑型為 </w:t>
      </w:r>
      <w:r>
        <w:rPr>
          <w:sz w:val="24"/>
        </w:rPr>
        <w:t>300</w:t>
      </w:r>
      <w:r>
        <w:rPr>
          <w:spacing w:val="5"/>
          <w:sz w:val="24"/>
        </w:rPr>
        <w:t> </w:t>
      </w:r>
      <w:r>
        <w:rPr>
          <w:sz w:val="24"/>
        </w:rPr>
        <w:t>mg/</w:t>
      </w:r>
      <w:r>
        <w:rPr>
          <w:spacing w:val="2"/>
          <w:sz w:val="24"/>
        </w:rPr>
        <w:t>顆，僅限潛伏結核感染使用。</w:t>
      </w:r>
    </w:p>
    <w:p>
      <w:pPr>
        <w:pStyle w:val="ListParagraph"/>
        <w:numPr>
          <w:ilvl w:val="4"/>
          <w:numId w:val="43"/>
        </w:numPr>
        <w:tabs>
          <w:tab w:pos="1439" w:val="left" w:leader="none"/>
        </w:tabs>
        <w:spacing w:line="432" w:lineRule="exact" w:before="0" w:after="0"/>
        <w:ind w:left="1438" w:right="0" w:hanging="488"/>
        <w:jc w:val="left"/>
        <w:rPr>
          <w:sz w:val="24"/>
        </w:rPr>
      </w:pPr>
      <w:r>
        <w:rPr>
          <w:spacing w:val="2"/>
          <w:sz w:val="24"/>
        </w:rPr>
        <w:t>孕婦可以使用。</w:t>
      </w:r>
    </w:p>
    <w:p>
      <w:pPr>
        <w:pStyle w:val="ListParagraph"/>
        <w:numPr>
          <w:ilvl w:val="4"/>
          <w:numId w:val="43"/>
        </w:numPr>
        <w:tabs>
          <w:tab w:pos="1439" w:val="left" w:leader="none"/>
        </w:tabs>
        <w:spacing w:line="431" w:lineRule="exact" w:before="0" w:after="0"/>
        <w:ind w:left="1438" w:right="0" w:hanging="488"/>
        <w:jc w:val="left"/>
        <w:rPr>
          <w:sz w:val="24"/>
        </w:rPr>
      </w:pPr>
      <w:r>
        <w:rPr>
          <w:spacing w:val="3"/>
          <w:sz w:val="24"/>
        </w:rPr>
        <w:t>腎功能不全者，不需調整劑量。</w:t>
      </w:r>
    </w:p>
    <w:p>
      <w:pPr>
        <w:pStyle w:val="ListParagraph"/>
        <w:numPr>
          <w:ilvl w:val="3"/>
          <w:numId w:val="43"/>
        </w:numPr>
        <w:tabs>
          <w:tab w:pos="964" w:val="left" w:leader="none"/>
        </w:tabs>
        <w:spacing w:line="434" w:lineRule="exact" w:before="0" w:after="0"/>
        <w:ind w:left="963" w:right="0" w:hanging="245"/>
        <w:jc w:val="left"/>
        <w:rPr>
          <w:sz w:val="24"/>
        </w:rPr>
      </w:pPr>
      <w:r>
        <w:rPr>
          <w:spacing w:val="3"/>
          <w:sz w:val="24"/>
        </w:rPr>
        <w:t>不良反應：（處理方式請參考本書第五章）</w:t>
      </w:r>
    </w:p>
    <w:p>
      <w:pPr>
        <w:pStyle w:val="ListParagraph"/>
        <w:numPr>
          <w:ilvl w:val="1"/>
          <w:numId w:val="44"/>
        </w:numPr>
        <w:tabs>
          <w:tab w:pos="1439" w:val="left" w:leader="none"/>
        </w:tabs>
        <w:spacing w:line="223" w:lineRule="auto" w:before="19" w:after="0"/>
        <w:ind w:left="1438" w:right="1301" w:hanging="488"/>
        <w:jc w:val="both"/>
        <w:rPr>
          <w:sz w:val="24"/>
        </w:rPr>
      </w:pPr>
      <w:r>
        <w:rPr>
          <w:spacing w:val="11"/>
          <w:sz w:val="24"/>
        </w:rPr>
        <w:t>肝炎：約 </w:t>
      </w:r>
      <w:r>
        <w:rPr>
          <w:sz w:val="24"/>
        </w:rPr>
        <w:t>10-20</w:t>
      </w:r>
      <w:r>
        <w:rPr>
          <w:spacing w:val="2"/>
          <w:sz w:val="24"/>
        </w:rPr>
        <w:t>%的病人血中轉胺酶</w:t>
      </w:r>
      <w:r>
        <w:rPr>
          <w:sz w:val="24"/>
        </w:rPr>
        <w:t>(transaminase</w:t>
      </w:r>
      <w:r>
        <w:rPr>
          <w:spacing w:val="2"/>
          <w:sz w:val="24"/>
        </w:rPr>
        <w:t>)值會暫時輕微升高，多發</w:t>
      </w:r>
      <w:r>
        <w:rPr>
          <w:spacing w:val="-1"/>
          <w:sz w:val="24"/>
        </w:rPr>
        <w:t>生於用藥後十週內，但也可能在治療中任何期間出現，通常不需停藥即會恢復</w:t>
      </w:r>
      <w:r>
        <w:rPr>
          <w:spacing w:val="-7"/>
          <w:sz w:val="24"/>
        </w:rPr>
        <w:t>正常。嚴重肝炎</w:t>
      </w:r>
      <w:r>
        <w:rPr>
          <w:color w:val="FF0000"/>
          <w:spacing w:val="1"/>
          <w:sz w:val="24"/>
        </w:rPr>
        <w:t>(定義請參閱 </w:t>
      </w:r>
      <w:r>
        <w:rPr>
          <w:color w:val="FF0000"/>
          <w:sz w:val="24"/>
        </w:rPr>
        <w:t>1-1)</w:t>
      </w:r>
      <w:r>
        <w:rPr>
          <w:spacing w:val="3"/>
          <w:sz w:val="24"/>
        </w:rPr>
        <w:t>發生率約 </w:t>
      </w:r>
      <w:r>
        <w:rPr>
          <w:spacing w:val="-5"/>
          <w:sz w:val="24"/>
        </w:rPr>
        <w:t>0.1-0.15</w:t>
      </w:r>
      <w:r>
        <w:rPr>
          <w:spacing w:val="-1"/>
          <w:sz w:val="24"/>
        </w:rPr>
        <w:t>%，多出現在投藥後三個月</w:t>
      </w:r>
      <w:r>
        <w:rPr>
          <w:spacing w:val="-15"/>
          <w:sz w:val="24"/>
        </w:rPr>
        <w:t>內，發生率和年齡有關：35</w:t>
      </w:r>
      <w:r>
        <w:rPr>
          <w:spacing w:val="3"/>
          <w:sz w:val="24"/>
        </w:rPr>
        <w:t> 歲以下約為 </w:t>
      </w:r>
      <w:r>
        <w:rPr>
          <w:spacing w:val="-11"/>
          <w:sz w:val="24"/>
        </w:rPr>
        <w:t>0.3</w:t>
      </w:r>
      <w:r>
        <w:rPr>
          <w:spacing w:val="-28"/>
          <w:sz w:val="24"/>
        </w:rPr>
        <w:t>%、</w:t>
      </w:r>
      <w:r>
        <w:rPr>
          <w:sz w:val="24"/>
        </w:rPr>
        <w:t>35-49</w:t>
      </w:r>
      <w:r>
        <w:rPr>
          <w:spacing w:val="3"/>
          <w:sz w:val="24"/>
        </w:rPr>
        <w:t> 歲 </w:t>
      </w:r>
      <w:r>
        <w:rPr>
          <w:spacing w:val="-11"/>
          <w:sz w:val="24"/>
        </w:rPr>
        <w:t>1.2</w:t>
      </w:r>
      <w:r>
        <w:rPr>
          <w:spacing w:val="-28"/>
          <w:sz w:val="24"/>
        </w:rPr>
        <w:t>%、</w:t>
      </w:r>
      <w:r>
        <w:rPr>
          <w:sz w:val="24"/>
        </w:rPr>
        <w:t>50-64</w:t>
      </w:r>
      <w:r>
        <w:rPr>
          <w:spacing w:val="4"/>
          <w:sz w:val="24"/>
        </w:rPr>
        <w:t> 歲 </w:t>
      </w:r>
      <w:r>
        <w:rPr>
          <w:spacing w:val="-9"/>
          <w:sz w:val="24"/>
        </w:rPr>
        <w:t>2.3%， </w:t>
      </w:r>
      <w:r>
        <w:rPr>
          <w:spacing w:val="2"/>
          <w:sz w:val="24"/>
        </w:rPr>
        <w:t>通常停藥後即可恢復正常。</w:t>
      </w:r>
    </w:p>
    <w:p>
      <w:pPr>
        <w:spacing w:after="0" w:line="223" w:lineRule="auto"/>
        <w:jc w:val="both"/>
        <w:rPr>
          <w:sz w:val="24"/>
        </w:rPr>
        <w:sectPr>
          <w:pgSz w:w="12250" w:h="17190"/>
          <w:pgMar w:header="0" w:footer="748" w:top="1360" w:bottom="1020" w:left="1180" w:right="0"/>
        </w:sectPr>
      </w:pPr>
    </w:p>
    <w:p>
      <w:pPr>
        <w:pStyle w:val="ListParagraph"/>
        <w:numPr>
          <w:ilvl w:val="1"/>
          <w:numId w:val="44"/>
        </w:numPr>
        <w:tabs>
          <w:tab w:pos="1439" w:val="left" w:leader="none"/>
        </w:tabs>
        <w:spacing w:line="223" w:lineRule="auto" w:before="45" w:after="0"/>
        <w:ind w:left="1438" w:right="1328" w:hanging="488"/>
        <w:jc w:val="both"/>
        <w:rPr>
          <w:sz w:val="24"/>
        </w:rPr>
      </w:pPr>
      <w:r>
        <w:rPr>
          <w:spacing w:val="3"/>
          <w:sz w:val="24"/>
        </w:rPr>
        <w:t>周邊神經炎：最常見的症狀為對稱性肢端麻木或刺痛感，發生率與劑量有關， 在每日 </w:t>
      </w:r>
      <w:r>
        <w:rPr>
          <w:sz w:val="24"/>
        </w:rPr>
        <w:t>5</w:t>
      </w:r>
      <w:r>
        <w:rPr>
          <w:spacing w:val="-1"/>
          <w:sz w:val="24"/>
        </w:rPr>
        <w:t> </w:t>
      </w:r>
      <w:r>
        <w:rPr>
          <w:sz w:val="24"/>
        </w:rPr>
        <w:t>mg/kg</w:t>
      </w:r>
      <w:r>
        <w:rPr>
          <w:spacing w:val="2"/>
          <w:sz w:val="24"/>
        </w:rPr>
        <w:t> 的劑量時並不常見。因 </w:t>
      </w:r>
      <w:r>
        <w:rPr>
          <w:sz w:val="24"/>
        </w:rPr>
        <w:t>INH</w:t>
      </w:r>
      <w:r>
        <w:rPr>
          <w:spacing w:val="3"/>
          <w:sz w:val="24"/>
        </w:rPr>
        <w:t> 會與 </w:t>
      </w:r>
      <w:r>
        <w:rPr>
          <w:sz w:val="24"/>
        </w:rPr>
        <w:t>pyridoxal</w:t>
      </w:r>
      <w:r>
        <w:rPr>
          <w:spacing w:val="-2"/>
          <w:sz w:val="24"/>
        </w:rPr>
        <w:t> </w:t>
      </w:r>
      <w:r>
        <w:rPr>
          <w:sz w:val="24"/>
        </w:rPr>
        <w:t>phosphate</w:t>
      </w:r>
      <w:r>
        <w:rPr>
          <w:spacing w:val="3"/>
          <w:sz w:val="24"/>
        </w:rPr>
        <w:t> 競爭</w:t>
      </w:r>
      <w:r>
        <w:rPr>
          <w:spacing w:val="-3"/>
          <w:sz w:val="24"/>
        </w:rPr>
        <w:t>apotryptophanase，</w:t>
      </w:r>
      <w:r>
        <w:rPr>
          <w:spacing w:val="3"/>
          <w:sz w:val="24"/>
        </w:rPr>
        <w:t>高劑量使用可能引起 </w:t>
      </w:r>
      <w:r>
        <w:rPr>
          <w:sz w:val="24"/>
        </w:rPr>
        <w:t>pyridoxine</w:t>
      </w:r>
      <w:r>
        <w:rPr>
          <w:spacing w:val="-4"/>
          <w:sz w:val="24"/>
        </w:rPr>
        <w:t> 缺乏，故孕婦或合併糖</w:t>
      </w:r>
      <w:r>
        <w:rPr>
          <w:spacing w:val="-14"/>
          <w:sz w:val="24"/>
        </w:rPr>
        <w:t>尿病、尿毒症、癲癇，酗酒或營養不良之病人最好同時投予 </w:t>
      </w:r>
      <w:r>
        <w:rPr>
          <w:sz w:val="24"/>
        </w:rPr>
        <w:t>pyridoxine(vitamin </w:t>
      </w:r>
      <w:r>
        <w:rPr>
          <w:spacing w:val="2"/>
          <w:sz w:val="24"/>
        </w:rPr>
        <w:t>B6</w:t>
      </w:r>
      <w:r>
        <w:rPr>
          <w:spacing w:val="1"/>
          <w:sz w:val="24"/>
        </w:rPr>
        <w:t>)，一般不建議常規使用 </w:t>
      </w:r>
      <w:r>
        <w:rPr>
          <w:sz w:val="24"/>
        </w:rPr>
        <w:t>pyridoxine。</w:t>
      </w:r>
    </w:p>
    <w:p>
      <w:pPr>
        <w:pStyle w:val="ListParagraph"/>
        <w:numPr>
          <w:ilvl w:val="3"/>
          <w:numId w:val="43"/>
        </w:numPr>
        <w:tabs>
          <w:tab w:pos="964" w:val="left" w:leader="none"/>
        </w:tabs>
        <w:spacing w:line="437" w:lineRule="exact" w:before="0" w:after="0"/>
        <w:ind w:left="963" w:right="0" w:hanging="245"/>
        <w:jc w:val="both"/>
        <w:rPr>
          <w:sz w:val="24"/>
        </w:rPr>
      </w:pPr>
      <w:r>
        <w:rPr>
          <w:spacing w:val="2"/>
          <w:sz w:val="24"/>
        </w:rPr>
        <w:t>罕見不良反應：</w:t>
      </w:r>
    </w:p>
    <w:p>
      <w:pPr>
        <w:pStyle w:val="ListParagraph"/>
        <w:numPr>
          <w:ilvl w:val="1"/>
          <w:numId w:val="45"/>
        </w:numPr>
        <w:tabs>
          <w:tab w:pos="1439" w:val="left" w:leader="none"/>
        </w:tabs>
        <w:spacing w:line="432" w:lineRule="exact" w:before="0" w:after="0"/>
        <w:ind w:left="1438" w:right="0" w:hanging="488"/>
        <w:jc w:val="both"/>
        <w:rPr>
          <w:sz w:val="24"/>
        </w:rPr>
      </w:pPr>
      <w:r>
        <w:rPr>
          <w:spacing w:val="-11"/>
          <w:sz w:val="24"/>
        </w:rPr>
        <w:t>神經毒性包括痙攣、毒性腦病變、視神經炎及萎縮、記憶障礙與毒性精神病症。</w:t>
      </w:r>
    </w:p>
    <w:p>
      <w:pPr>
        <w:pStyle w:val="ListParagraph"/>
        <w:numPr>
          <w:ilvl w:val="1"/>
          <w:numId w:val="45"/>
        </w:numPr>
        <w:tabs>
          <w:tab w:pos="1439" w:val="left" w:leader="none"/>
        </w:tabs>
        <w:spacing w:line="429" w:lineRule="exact" w:before="0" w:after="0"/>
        <w:ind w:left="1438" w:right="0" w:hanging="488"/>
        <w:jc w:val="both"/>
        <w:rPr>
          <w:sz w:val="24"/>
        </w:rPr>
      </w:pPr>
      <w:r>
        <w:rPr>
          <w:spacing w:val="2"/>
          <w:sz w:val="24"/>
        </w:rPr>
        <w:t>類狼瘡症候群 (</w:t>
      </w:r>
      <w:r>
        <w:rPr>
          <w:sz w:val="24"/>
        </w:rPr>
        <w:t>Lupus-like</w:t>
      </w:r>
      <w:r>
        <w:rPr>
          <w:spacing w:val="3"/>
          <w:sz w:val="24"/>
        </w:rPr>
        <w:t> </w:t>
      </w:r>
      <w:r>
        <w:rPr>
          <w:sz w:val="24"/>
        </w:rPr>
        <w:t>syndrome)；發生率小於 1%。</w:t>
      </w:r>
    </w:p>
    <w:p>
      <w:pPr>
        <w:pStyle w:val="ListParagraph"/>
        <w:numPr>
          <w:ilvl w:val="1"/>
          <w:numId w:val="45"/>
        </w:numPr>
        <w:tabs>
          <w:tab w:pos="1439" w:val="left" w:leader="none"/>
        </w:tabs>
        <w:spacing w:line="223" w:lineRule="auto" w:before="16" w:after="0"/>
        <w:ind w:left="1438" w:right="1362" w:hanging="488"/>
        <w:jc w:val="both"/>
        <w:rPr>
          <w:sz w:val="24"/>
        </w:rPr>
      </w:pPr>
      <w:r>
        <w:rPr>
          <w:spacing w:val="3"/>
          <w:sz w:val="24"/>
        </w:rPr>
        <w:t>過敏性反應如發熱、皮疹、</w:t>
      </w:r>
      <w:r>
        <w:rPr>
          <w:sz w:val="24"/>
        </w:rPr>
        <w:t>Stevens-Johnson</w:t>
      </w:r>
      <w:r>
        <w:rPr>
          <w:spacing w:val="10"/>
          <w:sz w:val="24"/>
        </w:rPr>
        <w:t> </w:t>
      </w:r>
      <w:r>
        <w:rPr>
          <w:sz w:val="24"/>
        </w:rPr>
        <w:t>syndrome</w:t>
      </w:r>
      <w:r>
        <w:rPr>
          <w:spacing w:val="2"/>
          <w:sz w:val="24"/>
        </w:rPr>
        <w:t>、溶血性貧血、血管</w:t>
      </w:r>
      <w:r>
        <w:rPr>
          <w:spacing w:val="3"/>
          <w:sz w:val="24"/>
        </w:rPr>
        <w:t>炎、白血球偏低，及消化道反應等。</w:t>
      </w:r>
    </w:p>
    <w:p>
      <w:pPr>
        <w:pStyle w:val="ListParagraph"/>
        <w:numPr>
          <w:ilvl w:val="3"/>
          <w:numId w:val="43"/>
        </w:numPr>
        <w:tabs>
          <w:tab w:pos="964" w:val="left" w:leader="none"/>
        </w:tabs>
        <w:spacing w:line="438" w:lineRule="exact" w:before="1" w:after="0"/>
        <w:ind w:left="963" w:right="0" w:hanging="245"/>
        <w:jc w:val="both"/>
        <w:rPr>
          <w:sz w:val="24"/>
        </w:rPr>
      </w:pPr>
      <w:r>
        <w:rPr>
          <w:spacing w:val="1"/>
          <w:sz w:val="24"/>
        </w:rPr>
        <w:t>藥物交互作用：(表 </w:t>
      </w:r>
      <w:r>
        <w:rPr>
          <w:sz w:val="24"/>
        </w:rPr>
        <w:t>6-4)</w:t>
      </w:r>
    </w:p>
    <w:p>
      <w:pPr>
        <w:pStyle w:val="ListParagraph"/>
        <w:numPr>
          <w:ilvl w:val="1"/>
          <w:numId w:val="46"/>
        </w:numPr>
        <w:tabs>
          <w:tab w:pos="1439" w:val="left" w:leader="none"/>
        </w:tabs>
        <w:spacing w:line="223" w:lineRule="auto" w:before="19" w:after="0"/>
        <w:ind w:left="1438" w:right="1355" w:hanging="488"/>
        <w:jc w:val="both"/>
        <w:rPr>
          <w:sz w:val="24"/>
        </w:rPr>
      </w:pPr>
      <w:r>
        <w:rPr>
          <w:sz w:val="24"/>
        </w:rPr>
        <w:t>INH</w:t>
      </w:r>
      <w:r>
        <w:rPr>
          <w:spacing w:val="7"/>
          <w:sz w:val="24"/>
        </w:rPr>
        <w:t> 會抑制併用藥品之代謝，而增加併用藥品之血中濃度。當 </w:t>
      </w:r>
      <w:r>
        <w:rPr>
          <w:sz w:val="24"/>
        </w:rPr>
        <w:t>INH</w:t>
      </w:r>
      <w:r>
        <w:rPr>
          <w:spacing w:val="9"/>
          <w:sz w:val="24"/>
        </w:rPr>
        <w:t> 同時和</w:t>
      </w:r>
      <w:r>
        <w:rPr>
          <w:sz w:val="24"/>
        </w:rPr>
        <w:t>phenytoin</w:t>
      </w:r>
      <w:r>
        <w:rPr>
          <w:spacing w:val="18"/>
          <w:sz w:val="24"/>
        </w:rPr>
        <w:t> 或 </w:t>
      </w:r>
      <w:r>
        <w:rPr>
          <w:sz w:val="24"/>
        </w:rPr>
        <w:t>carbamazepine</w:t>
      </w:r>
      <w:r>
        <w:rPr>
          <w:spacing w:val="19"/>
          <w:sz w:val="24"/>
        </w:rPr>
        <w:t> 時，後兩者的血中濃度都會增高，應監測phenytoin</w:t>
      </w:r>
      <w:r>
        <w:rPr>
          <w:spacing w:val="3"/>
          <w:sz w:val="24"/>
        </w:rPr>
        <w:t> 或 </w:t>
      </w:r>
      <w:r>
        <w:rPr>
          <w:sz w:val="24"/>
        </w:rPr>
        <w:t>carbamazepine</w:t>
      </w:r>
      <w:r>
        <w:rPr>
          <w:spacing w:val="2"/>
          <w:sz w:val="24"/>
        </w:rPr>
        <w:t> 的血中濃度以調整其劑量。</w:t>
      </w:r>
    </w:p>
    <w:p>
      <w:pPr>
        <w:pStyle w:val="ListParagraph"/>
        <w:numPr>
          <w:ilvl w:val="1"/>
          <w:numId w:val="46"/>
        </w:numPr>
        <w:tabs>
          <w:tab w:pos="1439" w:val="left" w:leader="none"/>
        </w:tabs>
        <w:spacing w:line="223" w:lineRule="auto" w:before="18" w:after="0"/>
        <w:ind w:left="1438" w:right="1343" w:hanging="488"/>
        <w:jc w:val="both"/>
        <w:rPr>
          <w:color w:val="FF0000"/>
          <w:sz w:val="24"/>
        </w:rPr>
      </w:pPr>
      <w:r>
        <w:rPr>
          <w:color w:val="FF0000"/>
          <w:sz w:val="24"/>
        </w:rPr>
        <w:t>INH</w:t>
      </w:r>
      <w:r>
        <w:rPr>
          <w:color w:val="FF0000"/>
          <w:spacing w:val="29"/>
          <w:sz w:val="24"/>
        </w:rPr>
        <w:t> 與 </w:t>
      </w:r>
      <w:r>
        <w:rPr>
          <w:color w:val="FF0000"/>
          <w:sz w:val="24"/>
        </w:rPr>
        <w:t>Para-aminosalicylate</w:t>
      </w:r>
      <w:r>
        <w:rPr>
          <w:color w:val="FF0000"/>
          <w:spacing w:val="24"/>
          <w:sz w:val="24"/>
        </w:rPr>
        <w:t> (</w:t>
      </w:r>
      <w:r>
        <w:rPr>
          <w:color w:val="FF0000"/>
          <w:sz w:val="24"/>
        </w:rPr>
        <w:t>PAS</w:t>
      </w:r>
      <w:r>
        <w:rPr>
          <w:color w:val="FF0000"/>
          <w:spacing w:val="1"/>
          <w:sz w:val="24"/>
        </w:rPr>
        <w:t>)併用有協同效應(</w:t>
      </w:r>
      <w:r>
        <w:rPr>
          <w:color w:val="FF0000"/>
          <w:sz w:val="24"/>
        </w:rPr>
        <w:t>synergistic</w:t>
      </w:r>
      <w:r>
        <w:rPr>
          <w:color w:val="FF0000"/>
          <w:spacing w:val="49"/>
          <w:sz w:val="24"/>
        </w:rPr>
        <w:t> </w:t>
      </w:r>
      <w:r>
        <w:rPr>
          <w:color w:val="FF0000"/>
          <w:sz w:val="24"/>
        </w:rPr>
        <w:t>effect)，合</w:t>
      </w:r>
      <w:r>
        <w:rPr>
          <w:color w:val="FF0000"/>
          <w:spacing w:val="6"/>
          <w:sz w:val="24"/>
        </w:rPr>
        <w:t>併使用會增加 </w:t>
      </w:r>
      <w:r>
        <w:rPr>
          <w:color w:val="FF0000"/>
          <w:sz w:val="24"/>
        </w:rPr>
        <w:t>INH</w:t>
      </w:r>
      <w:r>
        <w:rPr>
          <w:color w:val="FF0000"/>
          <w:spacing w:val="7"/>
          <w:sz w:val="24"/>
        </w:rPr>
        <w:t> 血中濃度，減緩 </w:t>
      </w:r>
      <w:r>
        <w:rPr>
          <w:color w:val="FF0000"/>
          <w:sz w:val="24"/>
        </w:rPr>
        <w:t>INH</w:t>
      </w:r>
      <w:r>
        <w:rPr>
          <w:color w:val="FF0000"/>
          <w:spacing w:val="7"/>
          <w:sz w:val="24"/>
        </w:rPr>
        <w:t> 乙醯化(</w:t>
      </w:r>
      <w:r>
        <w:rPr>
          <w:color w:val="FF0000"/>
          <w:sz w:val="24"/>
        </w:rPr>
        <w:t>acetylation)</w:t>
      </w:r>
      <w:r>
        <w:rPr>
          <w:color w:val="FF0000"/>
          <w:spacing w:val="2"/>
          <w:sz w:val="24"/>
        </w:rPr>
        <w:t>時間，對快速乙醯化病人(</w:t>
      </w:r>
      <w:r>
        <w:rPr>
          <w:color w:val="FF0000"/>
          <w:sz w:val="24"/>
        </w:rPr>
        <w:t>Rapid</w:t>
      </w:r>
      <w:r>
        <w:rPr>
          <w:color w:val="FF0000"/>
          <w:spacing w:val="9"/>
          <w:sz w:val="24"/>
        </w:rPr>
        <w:t> </w:t>
      </w:r>
      <w:r>
        <w:rPr>
          <w:color w:val="FF0000"/>
          <w:sz w:val="24"/>
        </w:rPr>
        <w:t>acetylator)</w:t>
      </w:r>
      <w:r>
        <w:rPr>
          <w:color w:val="FF0000"/>
          <w:spacing w:val="4"/>
          <w:sz w:val="24"/>
        </w:rPr>
        <w:t>可增強 </w:t>
      </w:r>
      <w:r>
        <w:rPr>
          <w:color w:val="FF0000"/>
          <w:sz w:val="24"/>
        </w:rPr>
        <w:t>INH</w:t>
      </w:r>
      <w:r>
        <w:rPr>
          <w:color w:val="FF0000"/>
          <w:spacing w:val="2"/>
          <w:sz w:val="24"/>
        </w:rPr>
        <w:t> 的作用，</w:t>
      </w:r>
      <w:r>
        <w:rPr>
          <w:color w:val="FF0000"/>
          <w:sz w:val="24"/>
        </w:rPr>
        <w:t>MIC50</w:t>
      </w:r>
      <w:r>
        <w:rPr>
          <w:color w:val="FF0000"/>
          <w:spacing w:val="5"/>
          <w:sz w:val="24"/>
        </w:rPr>
        <w:t> 在 </w:t>
      </w:r>
      <w:r>
        <w:rPr>
          <w:color w:val="FF0000"/>
          <w:sz w:val="24"/>
        </w:rPr>
        <w:t>INH</w:t>
      </w:r>
      <w:r>
        <w:rPr>
          <w:color w:val="FF0000"/>
          <w:spacing w:val="4"/>
          <w:sz w:val="24"/>
        </w:rPr>
        <w:t> 降低 </w:t>
      </w:r>
      <w:r>
        <w:rPr>
          <w:color w:val="FF0000"/>
          <w:sz w:val="24"/>
        </w:rPr>
        <w:t>16</w:t>
      </w:r>
      <w:r>
        <w:rPr>
          <w:color w:val="FF0000"/>
          <w:spacing w:val="4"/>
          <w:sz w:val="24"/>
        </w:rPr>
        <w:t> 倍， </w:t>
      </w:r>
      <w:r>
        <w:rPr>
          <w:color w:val="FF0000"/>
          <w:sz w:val="24"/>
        </w:rPr>
        <w:t>PAS</w:t>
      </w:r>
      <w:r>
        <w:rPr>
          <w:color w:val="FF0000"/>
          <w:spacing w:val="7"/>
          <w:sz w:val="24"/>
        </w:rPr>
        <w:t> 降低 </w:t>
      </w:r>
      <w:r>
        <w:rPr>
          <w:color w:val="FF0000"/>
          <w:sz w:val="24"/>
        </w:rPr>
        <w:t>8</w:t>
      </w:r>
      <w:r>
        <w:rPr>
          <w:color w:val="FF0000"/>
          <w:spacing w:val="4"/>
          <w:sz w:val="24"/>
        </w:rPr>
        <w:t> 倍，此現象在 </w:t>
      </w:r>
      <w:r>
        <w:rPr>
          <w:color w:val="FF0000"/>
          <w:sz w:val="24"/>
        </w:rPr>
        <w:t>XDR-TB</w:t>
      </w:r>
      <w:r>
        <w:rPr>
          <w:color w:val="FF0000"/>
          <w:spacing w:val="4"/>
          <w:sz w:val="24"/>
        </w:rPr>
        <w:t>、</w:t>
      </w:r>
      <w:r>
        <w:rPr>
          <w:color w:val="FF0000"/>
          <w:sz w:val="24"/>
        </w:rPr>
        <w:t>MDR-TB</w:t>
      </w:r>
      <w:r>
        <w:rPr>
          <w:color w:val="FF0000"/>
          <w:spacing w:val="6"/>
          <w:sz w:val="24"/>
        </w:rPr>
        <w:t>、及 </w:t>
      </w:r>
      <w:r>
        <w:rPr>
          <w:color w:val="FF0000"/>
          <w:sz w:val="24"/>
        </w:rPr>
        <w:t>non</w:t>
      </w:r>
      <w:r>
        <w:rPr>
          <w:color w:val="FF0000"/>
          <w:spacing w:val="41"/>
          <w:sz w:val="24"/>
        </w:rPr>
        <w:t> </w:t>
      </w:r>
      <w:r>
        <w:rPr>
          <w:color w:val="FF0000"/>
          <w:sz w:val="24"/>
        </w:rPr>
        <w:t>MDR-TB</w:t>
      </w:r>
      <w:r>
        <w:rPr>
          <w:color w:val="FF0000"/>
          <w:spacing w:val="3"/>
          <w:sz w:val="24"/>
        </w:rPr>
        <w:t> 皆可發現。合併 </w:t>
      </w:r>
      <w:r>
        <w:rPr>
          <w:color w:val="FF0000"/>
          <w:sz w:val="24"/>
        </w:rPr>
        <w:t>INH/PAS(pasiniazid)可用於治療低濃度 INH</w:t>
      </w:r>
      <w:r>
        <w:rPr>
          <w:color w:val="FF0000"/>
          <w:spacing w:val="3"/>
          <w:sz w:val="24"/>
        </w:rPr>
        <w:t> 抗藥結核病人。</w:t>
      </w:r>
    </w:p>
    <w:p>
      <w:pPr>
        <w:pStyle w:val="ListParagraph"/>
        <w:numPr>
          <w:ilvl w:val="1"/>
          <w:numId w:val="46"/>
        </w:numPr>
        <w:tabs>
          <w:tab w:pos="1439" w:val="left" w:leader="none"/>
        </w:tabs>
        <w:spacing w:line="436" w:lineRule="exact" w:before="0" w:after="0"/>
        <w:ind w:left="1438" w:right="0" w:hanging="488"/>
        <w:jc w:val="both"/>
        <w:rPr>
          <w:color w:val="FF0000"/>
          <w:sz w:val="24"/>
        </w:rPr>
      </w:pPr>
      <w:r>
        <w:rPr>
          <w:color w:val="FF0000"/>
          <w:sz w:val="24"/>
        </w:rPr>
        <w:t>INH</w:t>
      </w:r>
      <w:r>
        <w:rPr>
          <w:color w:val="FF0000"/>
          <w:spacing w:val="1"/>
          <w:sz w:val="24"/>
        </w:rPr>
        <w:t> 宜避免與食物併用，或服用後 </w:t>
      </w:r>
      <w:r>
        <w:rPr>
          <w:color w:val="FF0000"/>
          <w:sz w:val="24"/>
        </w:rPr>
        <w:t>2</w:t>
      </w:r>
      <w:r>
        <w:rPr>
          <w:color w:val="FF0000"/>
          <w:spacing w:val="2"/>
          <w:sz w:val="24"/>
        </w:rPr>
        <w:t> 小時才投予抗酸劑(</w:t>
      </w:r>
      <w:r>
        <w:rPr>
          <w:color w:val="FF0000"/>
          <w:sz w:val="24"/>
        </w:rPr>
        <w:t>antacids)。</w:t>
      </w:r>
    </w:p>
    <w:p>
      <w:pPr>
        <w:pStyle w:val="Heading7"/>
        <w:numPr>
          <w:ilvl w:val="2"/>
          <w:numId w:val="43"/>
        </w:numPr>
        <w:tabs>
          <w:tab w:pos="973" w:val="left" w:leader="none"/>
        </w:tabs>
        <w:spacing w:line="240" w:lineRule="auto" w:before="202" w:after="0"/>
        <w:ind w:left="972" w:right="0" w:hanging="672"/>
        <w:jc w:val="both"/>
      </w:pPr>
      <w:r>
        <w:rPr/>
        <w:t>Rifampicin</w:t>
      </w:r>
      <w:r>
        <w:rPr>
          <w:spacing w:val="4"/>
        </w:rPr>
        <w:t> </w:t>
      </w:r>
      <w:r>
        <w:rPr/>
        <w:t>(RMP)</w:t>
      </w:r>
    </w:p>
    <w:p>
      <w:pPr>
        <w:pStyle w:val="ListParagraph"/>
        <w:numPr>
          <w:ilvl w:val="3"/>
          <w:numId w:val="43"/>
        </w:numPr>
        <w:tabs>
          <w:tab w:pos="964" w:val="left" w:leader="none"/>
        </w:tabs>
        <w:spacing w:line="223" w:lineRule="auto" w:before="25" w:after="0"/>
        <w:ind w:left="963" w:right="1302" w:hanging="244"/>
        <w:jc w:val="both"/>
        <w:rPr>
          <w:sz w:val="24"/>
        </w:rPr>
      </w:pPr>
      <w:r>
        <w:rPr>
          <w:spacing w:val="2"/>
          <w:sz w:val="24"/>
        </w:rPr>
        <w:t>藥理作用：</w:t>
      </w:r>
      <w:r>
        <w:rPr>
          <w:sz w:val="24"/>
        </w:rPr>
        <w:t>RMP</w:t>
      </w:r>
      <w:r>
        <w:rPr>
          <w:spacing w:val="14"/>
          <w:sz w:val="24"/>
        </w:rPr>
        <w:t> 屬於 </w:t>
      </w:r>
      <w:r>
        <w:rPr>
          <w:sz w:val="24"/>
        </w:rPr>
        <w:t>rifamycin</w:t>
      </w:r>
      <w:r>
        <w:rPr>
          <w:spacing w:val="3"/>
          <w:sz w:val="24"/>
        </w:rPr>
        <w:t> 類藥物，可抑制結核分枝桿菌 </w:t>
      </w:r>
      <w:r>
        <w:rPr>
          <w:sz w:val="24"/>
        </w:rPr>
        <w:t>RNA-polymerase </w:t>
      </w:r>
      <w:r>
        <w:rPr>
          <w:spacing w:val="7"/>
          <w:sz w:val="24"/>
        </w:rPr>
        <w:t>的活性，具胞內胞外殺菌性，且對吞噬細胞具良好的穿透力，早期殺菌力</w:t>
      </w:r>
      <w:r>
        <w:rPr>
          <w:spacing w:val="2"/>
          <w:sz w:val="24"/>
        </w:rPr>
        <w:t>（early </w:t>
      </w:r>
      <w:r>
        <w:rPr>
          <w:sz w:val="24"/>
        </w:rPr>
        <w:t>bactericidal</w:t>
      </w:r>
      <w:r>
        <w:rPr>
          <w:spacing w:val="-4"/>
          <w:sz w:val="24"/>
        </w:rPr>
        <w:t> </w:t>
      </w:r>
      <w:r>
        <w:rPr>
          <w:spacing w:val="-9"/>
          <w:sz w:val="24"/>
        </w:rPr>
        <w:t>activity）</w:t>
      </w:r>
      <w:r>
        <w:rPr>
          <w:spacing w:val="6"/>
          <w:sz w:val="24"/>
        </w:rPr>
        <w:t>次於 </w:t>
      </w:r>
      <w:r>
        <w:rPr>
          <w:sz w:val="24"/>
        </w:rPr>
        <w:t>INH，但有極好的滅菌力(sterilizing</w:t>
      </w:r>
      <w:r>
        <w:rPr>
          <w:spacing w:val="-4"/>
          <w:sz w:val="24"/>
        </w:rPr>
        <w:t> </w:t>
      </w:r>
      <w:r>
        <w:rPr>
          <w:sz w:val="24"/>
        </w:rPr>
        <w:t>activity</w:t>
      </w:r>
      <w:r>
        <w:rPr>
          <w:spacing w:val="2"/>
          <w:sz w:val="24"/>
        </w:rPr>
        <w:t>)。</w:t>
      </w:r>
      <w:r>
        <w:rPr>
          <w:sz w:val="24"/>
        </w:rPr>
        <w:t>RMP</w:t>
      </w:r>
      <w:r>
        <w:rPr>
          <w:spacing w:val="6"/>
          <w:sz w:val="24"/>
        </w:rPr>
        <w:t> 能</w:t>
      </w:r>
      <w:r>
        <w:rPr>
          <w:spacing w:val="8"/>
          <w:sz w:val="24"/>
        </w:rPr>
        <w:t>穿透許多組織且達到相當高濃度，腦膜炎時腦脊髓液中濃度會增加至血中濃度的</w:t>
      </w:r>
      <w:r>
        <w:rPr>
          <w:spacing w:val="3"/>
          <w:sz w:val="24"/>
        </w:rPr>
        <w:t>12-25</w:t>
      </w:r>
      <w:r>
        <w:rPr>
          <w:spacing w:val="7"/>
          <w:sz w:val="24"/>
        </w:rPr>
        <w:t>%。</w:t>
      </w:r>
      <w:r>
        <w:rPr>
          <w:sz w:val="24"/>
        </w:rPr>
        <w:t>RMP</w:t>
      </w:r>
      <w:r>
        <w:rPr>
          <w:spacing w:val="9"/>
          <w:sz w:val="24"/>
        </w:rPr>
        <w:t> 經由肝臟代謝，一次給予 </w:t>
      </w:r>
      <w:r>
        <w:rPr>
          <w:sz w:val="24"/>
        </w:rPr>
        <w:t>600</w:t>
      </w:r>
      <w:r>
        <w:rPr>
          <w:spacing w:val="40"/>
          <w:sz w:val="24"/>
        </w:rPr>
        <w:t> </w:t>
      </w:r>
      <w:r>
        <w:rPr>
          <w:sz w:val="24"/>
        </w:rPr>
        <w:t>mg</w:t>
      </w:r>
      <w:r>
        <w:rPr>
          <w:spacing w:val="11"/>
          <w:sz w:val="24"/>
        </w:rPr>
        <w:t> 劑量可以達到血中最高濃度</w:t>
      </w:r>
      <w:r>
        <w:rPr>
          <w:sz w:val="24"/>
        </w:rPr>
        <w:t>(Cmax</w:t>
      </w:r>
      <w:r>
        <w:rPr>
          <w:spacing w:val="3"/>
          <w:sz w:val="24"/>
        </w:rPr>
        <w:t>)約 </w:t>
      </w:r>
      <w:r>
        <w:rPr>
          <w:spacing w:val="-8"/>
          <w:sz w:val="24"/>
        </w:rPr>
        <w:t>6-14μg/mL</w:t>
      </w:r>
      <w:r>
        <w:rPr>
          <w:sz w:val="24"/>
        </w:rPr>
        <w:t>，血中最低抑菌濃度(MIC</w:t>
      </w:r>
      <w:r>
        <w:rPr>
          <w:spacing w:val="5"/>
          <w:sz w:val="24"/>
        </w:rPr>
        <w:t>)約 </w:t>
      </w:r>
      <w:r>
        <w:rPr>
          <w:sz w:val="24"/>
        </w:rPr>
        <w:t>0.25</w:t>
      </w:r>
      <w:r>
        <w:rPr>
          <w:spacing w:val="-5"/>
          <w:sz w:val="24"/>
        </w:rPr>
        <w:t> </w:t>
      </w:r>
      <w:r>
        <w:rPr>
          <w:sz w:val="24"/>
        </w:rPr>
        <w:t>µg/mL</w:t>
      </w:r>
      <w:r>
        <w:rPr>
          <w:spacing w:val="-4"/>
          <w:sz w:val="24"/>
        </w:rPr>
        <w:t> </w:t>
      </w:r>
      <w:r>
        <w:rPr>
          <w:sz w:val="24"/>
        </w:rPr>
        <w:t>(broth</w:t>
      </w:r>
      <w:r>
        <w:rPr>
          <w:spacing w:val="-6"/>
          <w:sz w:val="24"/>
        </w:rPr>
        <w:t> </w:t>
      </w:r>
      <w:r>
        <w:rPr>
          <w:sz w:val="24"/>
        </w:rPr>
        <w:t>media)-0.5 µg/mL(agar</w:t>
      </w:r>
      <w:r>
        <w:rPr>
          <w:spacing w:val="-9"/>
          <w:sz w:val="24"/>
        </w:rPr>
        <w:t> </w:t>
      </w:r>
      <w:r>
        <w:rPr>
          <w:spacing w:val="-12"/>
          <w:sz w:val="24"/>
        </w:rPr>
        <w:t>media</w:t>
      </w:r>
      <w:r>
        <w:rPr>
          <w:spacing w:val="-2"/>
          <w:sz w:val="24"/>
        </w:rPr>
        <w:t>)，並可在血中維持 </w:t>
      </w:r>
      <w:r>
        <w:rPr>
          <w:sz w:val="24"/>
        </w:rPr>
        <w:t>2-4</w:t>
      </w:r>
      <w:r>
        <w:rPr>
          <w:spacing w:val="-10"/>
          <w:sz w:val="24"/>
        </w:rPr>
        <w:t> 小時之久，為短程治療中最重要的藥物。</w:t>
      </w:r>
    </w:p>
    <w:p>
      <w:pPr>
        <w:pStyle w:val="ListParagraph"/>
        <w:numPr>
          <w:ilvl w:val="3"/>
          <w:numId w:val="43"/>
        </w:numPr>
        <w:tabs>
          <w:tab w:pos="964" w:val="left" w:leader="none"/>
        </w:tabs>
        <w:spacing w:line="400" w:lineRule="exact" w:before="0" w:after="0"/>
        <w:ind w:left="963" w:right="0" w:hanging="245"/>
        <w:jc w:val="both"/>
        <w:rPr>
          <w:sz w:val="24"/>
        </w:rPr>
      </w:pPr>
      <w:r>
        <w:rPr>
          <w:sz w:val="24"/>
        </w:rPr>
        <w:t>RMP</w:t>
      </w:r>
      <w:r>
        <w:rPr>
          <w:spacing w:val="17"/>
          <w:sz w:val="24"/>
        </w:rPr>
        <w:t> 抗藥與結核分枝桿菌 </w:t>
      </w:r>
      <w:r>
        <w:rPr>
          <w:i/>
          <w:sz w:val="25"/>
        </w:rPr>
        <w:t>rpoB</w:t>
      </w:r>
      <w:r>
        <w:rPr>
          <w:i/>
          <w:spacing w:val="10"/>
          <w:sz w:val="25"/>
        </w:rPr>
        <w:t> </w:t>
      </w:r>
      <w:r>
        <w:rPr>
          <w:spacing w:val="19"/>
          <w:sz w:val="24"/>
        </w:rPr>
        <w:t>基因突變有關，出現突變種(</w:t>
      </w:r>
      <w:r>
        <w:rPr>
          <w:spacing w:val="3"/>
          <w:sz w:val="24"/>
        </w:rPr>
        <w:t>mutant</w:t>
      </w:r>
      <w:r>
        <w:rPr>
          <w:spacing w:val="11"/>
          <w:sz w:val="24"/>
        </w:rPr>
        <w:t>)機率約</w:t>
      </w:r>
    </w:p>
    <w:p>
      <w:pPr>
        <w:spacing w:line="422" w:lineRule="exact" w:before="0"/>
        <w:ind w:left="0" w:right="8954" w:firstLine="0"/>
        <w:jc w:val="right"/>
        <w:rPr>
          <w:sz w:val="24"/>
        </w:rPr>
      </w:pPr>
      <w:r>
        <w:rPr>
          <w:sz w:val="24"/>
        </w:rPr>
        <w:t>1.2x10</w:t>
      </w:r>
      <w:r>
        <w:rPr>
          <w:position w:val="11"/>
          <w:sz w:val="16"/>
        </w:rPr>
        <w:t>-8</w:t>
      </w:r>
      <w:r>
        <w:rPr>
          <w:sz w:val="24"/>
        </w:rPr>
        <w:t>。</w:t>
      </w:r>
    </w:p>
    <w:p>
      <w:pPr>
        <w:pStyle w:val="ListParagraph"/>
        <w:numPr>
          <w:ilvl w:val="3"/>
          <w:numId w:val="43"/>
        </w:numPr>
        <w:tabs>
          <w:tab w:pos="244" w:val="left" w:leader="none"/>
        </w:tabs>
        <w:spacing w:line="434" w:lineRule="exact" w:before="0" w:after="0"/>
        <w:ind w:left="963" w:right="8885" w:hanging="964"/>
        <w:jc w:val="right"/>
        <w:rPr>
          <w:sz w:val="24"/>
        </w:rPr>
      </w:pPr>
      <w:r>
        <w:rPr>
          <w:spacing w:val="2"/>
          <w:sz w:val="24"/>
        </w:rPr>
        <w:t>治療劑量：</w:t>
      </w:r>
    </w:p>
    <w:p>
      <w:pPr>
        <w:pStyle w:val="ListParagraph"/>
        <w:numPr>
          <w:ilvl w:val="1"/>
          <w:numId w:val="47"/>
        </w:numPr>
        <w:tabs>
          <w:tab w:pos="1439" w:val="left" w:leader="none"/>
        </w:tabs>
        <w:spacing w:line="431" w:lineRule="exact" w:before="0" w:after="0"/>
        <w:ind w:left="1438" w:right="0" w:hanging="488"/>
        <w:jc w:val="left"/>
        <w:rPr>
          <w:sz w:val="24"/>
        </w:rPr>
      </w:pPr>
      <w:r>
        <w:rPr>
          <w:spacing w:val="3"/>
          <w:sz w:val="24"/>
        </w:rPr>
        <w:t>成人每日劑量 </w:t>
      </w:r>
      <w:r>
        <w:rPr>
          <w:sz w:val="24"/>
        </w:rPr>
        <w:t>10（8-12）mg/kg</w:t>
      </w:r>
      <w:r>
        <w:rPr>
          <w:spacing w:val="1"/>
          <w:sz w:val="24"/>
        </w:rPr>
        <w:t>，最多 </w:t>
      </w:r>
      <w:r>
        <w:rPr>
          <w:sz w:val="24"/>
        </w:rPr>
        <w:t>600</w:t>
      </w:r>
      <w:r>
        <w:rPr>
          <w:spacing w:val="5"/>
          <w:sz w:val="24"/>
        </w:rPr>
        <w:t> </w:t>
      </w:r>
      <w:r>
        <w:rPr>
          <w:sz w:val="24"/>
        </w:rPr>
        <w:t>mg</w:t>
      </w:r>
      <w:r>
        <w:rPr>
          <w:spacing w:val="2"/>
          <w:sz w:val="24"/>
        </w:rPr>
        <w:t>，一次口服。</w:t>
      </w:r>
    </w:p>
    <w:p>
      <w:pPr>
        <w:pStyle w:val="ListParagraph"/>
        <w:numPr>
          <w:ilvl w:val="1"/>
          <w:numId w:val="47"/>
        </w:numPr>
        <w:tabs>
          <w:tab w:pos="1439" w:val="left" w:leader="none"/>
        </w:tabs>
        <w:spacing w:line="429" w:lineRule="exact" w:before="0" w:after="0"/>
        <w:ind w:left="1438" w:right="0" w:hanging="488"/>
        <w:jc w:val="left"/>
        <w:rPr>
          <w:sz w:val="24"/>
        </w:rPr>
      </w:pPr>
      <w:r>
        <w:rPr>
          <w:spacing w:val="3"/>
          <w:sz w:val="24"/>
        </w:rPr>
        <w:t>兒童劑量請參閱本指引第八章。</w:t>
      </w:r>
    </w:p>
    <w:p>
      <w:pPr>
        <w:pStyle w:val="ListParagraph"/>
        <w:numPr>
          <w:ilvl w:val="1"/>
          <w:numId w:val="47"/>
        </w:numPr>
        <w:tabs>
          <w:tab w:pos="1439" w:val="left" w:leader="none"/>
        </w:tabs>
        <w:spacing w:line="435" w:lineRule="exact" w:before="0" w:after="0"/>
        <w:ind w:left="1438" w:right="0" w:hanging="488"/>
        <w:jc w:val="left"/>
        <w:rPr>
          <w:sz w:val="24"/>
        </w:rPr>
      </w:pPr>
      <w:r>
        <w:rPr>
          <w:spacing w:val="2"/>
          <w:sz w:val="24"/>
        </w:rPr>
        <w:t>孕婦可以使用。</w:t>
      </w:r>
    </w:p>
    <w:p>
      <w:pPr>
        <w:spacing w:after="0" w:line="435" w:lineRule="exact"/>
        <w:jc w:val="left"/>
        <w:rPr>
          <w:sz w:val="24"/>
        </w:rPr>
        <w:sectPr>
          <w:pgSz w:w="12250" w:h="17190"/>
          <w:pgMar w:header="0" w:footer="748" w:top="1460" w:bottom="1020" w:left="1180" w:right="0"/>
        </w:sectPr>
      </w:pPr>
    </w:p>
    <w:p>
      <w:pPr>
        <w:pStyle w:val="ListParagraph"/>
        <w:numPr>
          <w:ilvl w:val="1"/>
          <w:numId w:val="47"/>
        </w:numPr>
        <w:tabs>
          <w:tab w:pos="1439" w:val="left" w:leader="none"/>
        </w:tabs>
        <w:spacing w:line="438" w:lineRule="exact" w:before="22" w:after="0"/>
        <w:ind w:left="1438" w:right="0" w:hanging="488"/>
        <w:jc w:val="left"/>
        <w:rPr>
          <w:sz w:val="24"/>
        </w:rPr>
      </w:pPr>
      <w:r>
        <w:rPr/>
        <w:pict>
          <v:group style="position:absolute;margin-left:571.5pt;margin-top:.690862pt;width:40.9pt;height:316.05pt;mso-position-horizontal-relative:page;mso-position-vertical-relative:paragraph;z-index:251731968" coordorigin="11430,14" coordsize="818,6321">
            <v:shape style="position:absolute;left:11430;top:13;width:818;height:6321" coordorigin="11430,14" coordsize="818,6321" path="m12247,14l11595,14,11531,27,11478,62,11443,115,11430,179,11430,6169,11443,6234,11478,6286,11531,6322,11595,6335,12247,6335,12247,14xe" filled="true" fillcolor="#a6a6a6" stroked="false">
              <v:path arrowok="t"/>
              <v:fill type="solid"/>
            </v:shape>
            <v:shape style="position:absolute;left:11430;top:13;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spacing w:val="3"/>
          <w:sz w:val="24"/>
        </w:rPr>
        <w:t>腎功能不全者，不需調整劑量。</w:t>
      </w:r>
    </w:p>
    <w:p>
      <w:pPr>
        <w:pStyle w:val="ListParagraph"/>
        <w:numPr>
          <w:ilvl w:val="3"/>
          <w:numId w:val="43"/>
        </w:numPr>
        <w:tabs>
          <w:tab w:pos="964" w:val="left" w:leader="none"/>
        </w:tabs>
        <w:spacing w:line="434" w:lineRule="exact" w:before="0" w:after="0"/>
        <w:ind w:left="963" w:right="0" w:hanging="245"/>
        <w:jc w:val="left"/>
        <w:rPr>
          <w:sz w:val="24"/>
        </w:rPr>
      </w:pPr>
      <w:r>
        <w:rPr>
          <w:spacing w:val="2"/>
          <w:sz w:val="24"/>
        </w:rPr>
        <w:t>不良反應：</w:t>
      </w:r>
    </w:p>
    <w:p>
      <w:pPr>
        <w:pStyle w:val="ListParagraph"/>
        <w:numPr>
          <w:ilvl w:val="1"/>
          <w:numId w:val="48"/>
        </w:numPr>
        <w:tabs>
          <w:tab w:pos="1450" w:val="left" w:leader="none"/>
        </w:tabs>
        <w:spacing w:line="223" w:lineRule="auto" w:before="19" w:after="0"/>
        <w:ind w:left="1449" w:right="1303" w:hanging="488"/>
        <w:jc w:val="left"/>
        <w:rPr>
          <w:sz w:val="24"/>
        </w:rPr>
      </w:pPr>
      <w:r>
        <w:rPr>
          <w:sz w:val="24"/>
        </w:rPr>
        <w:t>RMP</w:t>
      </w:r>
      <w:r>
        <w:rPr>
          <w:spacing w:val="-4"/>
          <w:sz w:val="24"/>
        </w:rPr>
        <w:t> 及其代謝產物呈橘紅色，服用 </w:t>
      </w:r>
      <w:r>
        <w:rPr>
          <w:sz w:val="24"/>
        </w:rPr>
        <w:t>RMP</w:t>
      </w:r>
      <w:r>
        <w:rPr>
          <w:spacing w:val="-12"/>
          <w:sz w:val="24"/>
        </w:rPr>
        <w:t> 時排尿、眼淚、咳痰均會變成橘紅色， </w:t>
      </w:r>
      <w:r>
        <w:rPr>
          <w:spacing w:val="2"/>
          <w:sz w:val="24"/>
        </w:rPr>
        <w:t>需先告知病人。</w:t>
      </w:r>
    </w:p>
    <w:p>
      <w:pPr>
        <w:pStyle w:val="ListParagraph"/>
        <w:numPr>
          <w:ilvl w:val="1"/>
          <w:numId w:val="48"/>
        </w:numPr>
        <w:tabs>
          <w:tab w:pos="1450" w:val="left" w:leader="none"/>
        </w:tabs>
        <w:spacing w:line="430" w:lineRule="exact" w:before="0" w:after="0"/>
        <w:ind w:left="1449" w:right="0" w:hanging="489"/>
        <w:jc w:val="left"/>
        <w:rPr>
          <w:sz w:val="24"/>
        </w:rPr>
      </w:pPr>
      <w:r>
        <w:rPr>
          <w:spacing w:val="3"/>
          <w:sz w:val="24"/>
        </w:rPr>
        <w:t>食慾不振、噁心、嘔吐、胃痛、下痢、皮疹、肝炎。</w:t>
      </w:r>
    </w:p>
    <w:p>
      <w:pPr>
        <w:pStyle w:val="ListParagraph"/>
        <w:numPr>
          <w:ilvl w:val="1"/>
          <w:numId w:val="48"/>
        </w:numPr>
        <w:tabs>
          <w:tab w:pos="1450" w:val="left" w:leader="none"/>
        </w:tabs>
        <w:spacing w:line="419" w:lineRule="exact" w:before="0" w:after="0"/>
        <w:ind w:left="1449" w:right="0" w:hanging="489"/>
        <w:jc w:val="left"/>
        <w:rPr>
          <w:sz w:val="24"/>
        </w:rPr>
      </w:pPr>
      <w:r>
        <w:rPr>
          <w:spacing w:val="-3"/>
          <w:sz w:val="24"/>
        </w:rPr>
        <w:t>RMP</w:t>
      </w:r>
      <w:r>
        <w:rPr>
          <w:spacing w:val="21"/>
          <w:sz w:val="24"/>
        </w:rPr>
        <w:t> 和</w:t>
      </w:r>
      <w:r>
        <w:rPr>
          <w:spacing w:val="-3"/>
          <w:sz w:val="24"/>
        </w:rPr>
        <w:t>INH</w:t>
      </w:r>
      <w:r>
        <w:rPr>
          <w:spacing w:val="-7"/>
          <w:sz w:val="24"/>
        </w:rPr>
        <w:t> 合併使用時，較單獨使用時更易造成病人血中轉胺酶</w:t>
      </w:r>
    </w:p>
    <w:p>
      <w:pPr>
        <w:pStyle w:val="BodyText"/>
        <w:spacing w:line="422" w:lineRule="exact"/>
        <w:ind w:left="1449"/>
      </w:pPr>
      <w:r>
        <w:rPr/>
        <w:t>(transaminase)值會暫時輕微升高，處理方式請見參閱本指引第五章。</w:t>
      </w:r>
    </w:p>
    <w:p>
      <w:pPr>
        <w:pStyle w:val="ListParagraph"/>
        <w:numPr>
          <w:ilvl w:val="3"/>
          <w:numId w:val="43"/>
        </w:numPr>
        <w:tabs>
          <w:tab w:pos="964" w:val="left" w:leader="none"/>
        </w:tabs>
        <w:spacing w:line="425" w:lineRule="exact" w:before="0" w:after="0"/>
        <w:ind w:left="963" w:right="0" w:hanging="245"/>
        <w:jc w:val="left"/>
        <w:rPr>
          <w:sz w:val="24"/>
        </w:rPr>
      </w:pPr>
      <w:r>
        <w:rPr>
          <w:spacing w:val="2"/>
          <w:sz w:val="24"/>
        </w:rPr>
        <w:t>罕見不良反應：</w:t>
      </w:r>
    </w:p>
    <w:p>
      <w:pPr>
        <w:pStyle w:val="ListParagraph"/>
        <w:numPr>
          <w:ilvl w:val="1"/>
          <w:numId w:val="49"/>
        </w:numPr>
        <w:tabs>
          <w:tab w:pos="1450" w:val="left" w:leader="none"/>
        </w:tabs>
        <w:spacing w:line="413" w:lineRule="exact" w:before="0" w:after="0"/>
        <w:ind w:left="1449" w:right="0" w:hanging="489"/>
        <w:jc w:val="left"/>
        <w:rPr>
          <w:sz w:val="24"/>
        </w:rPr>
      </w:pPr>
      <w:r>
        <w:rPr>
          <w:spacing w:val="2"/>
          <w:sz w:val="24"/>
        </w:rPr>
        <w:t>間歇治療及曾服用過 </w:t>
      </w:r>
      <w:r>
        <w:rPr>
          <w:sz w:val="24"/>
        </w:rPr>
        <w:t>RMP</w:t>
      </w:r>
      <w:r>
        <w:rPr>
          <w:spacing w:val="-2"/>
          <w:sz w:val="24"/>
        </w:rPr>
        <w:t> 的病人，若劑量大於 </w:t>
      </w:r>
      <w:r>
        <w:rPr>
          <w:sz w:val="24"/>
        </w:rPr>
        <w:t>10</w:t>
      </w:r>
      <w:r>
        <w:rPr>
          <w:spacing w:val="-10"/>
          <w:sz w:val="24"/>
        </w:rPr>
        <w:t> </w:t>
      </w:r>
      <w:r>
        <w:rPr>
          <w:spacing w:val="-5"/>
          <w:sz w:val="24"/>
        </w:rPr>
        <w:t>mg/kg</w:t>
      </w:r>
      <w:r>
        <w:rPr>
          <w:spacing w:val="-2"/>
          <w:sz w:val="24"/>
        </w:rPr>
        <w:t>，偶有血小板減少。</w:t>
      </w:r>
    </w:p>
    <w:p>
      <w:pPr>
        <w:pStyle w:val="ListParagraph"/>
        <w:numPr>
          <w:ilvl w:val="1"/>
          <w:numId w:val="49"/>
        </w:numPr>
        <w:tabs>
          <w:tab w:pos="1450" w:val="left" w:leader="none"/>
        </w:tabs>
        <w:spacing w:line="410" w:lineRule="exact" w:before="0" w:after="0"/>
        <w:ind w:left="1449" w:right="0" w:hanging="489"/>
        <w:jc w:val="left"/>
        <w:rPr>
          <w:sz w:val="24"/>
        </w:rPr>
      </w:pPr>
      <w:r>
        <w:rPr/>
        <w:pict>
          <v:shape style="position:absolute;margin-left:574.289001pt;margin-top:17.955339pt;width:16.650pt;height:5.55pt;mso-position-horizontal-relative:page;mso-position-vertical-relative:paragraph;z-index:251734016"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3"/>
          <w:sz w:val="24"/>
        </w:rPr>
        <w:t>類似感冒的症狀。</w:t>
      </w:r>
    </w:p>
    <w:p>
      <w:pPr>
        <w:pStyle w:val="ListParagraph"/>
        <w:numPr>
          <w:ilvl w:val="1"/>
          <w:numId w:val="49"/>
        </w:numPr>
        <w:tabs>
          <w:tab w:pos="1450" w:val="left" w:leader="none"/>
        </w:tabs>
        <w:spacing w:line="410" w:lineRule="exact" w:before="0" w:after="0"/>
        <w:ind w:left="1449" w:right="0" w:hanging="489"/>
        <w:jc w:val="left"/>
        <w:rPr>
          <w:sz w:val="24"/>
        </w:rPr>
      </w:pPr>
      <w:r>
        <w:rPr>
          <w:spacing w:val="3"/>
          <w:sz w:val="24"/>
        </w:rPr>
        <w:t>溶血性貧血。</w:t>
      </w:r>
    </w:p>
    <w:p>
      <w:pPr>
        <w:pStyle w:val="ListParagraph"/>
        <w:numPr>
          <w:ilvl w:val="1"/>
          <w:numId w:val="49"/>
        </w:numPr>
        <w:tabs>
          <w:tab w:pos="1450" w:val="left" w:leader="none"/>
        </w:tabs>
        <w:spacing w:line="422" w:lineRule="exact" w:before="0" w:after="0"/>
        <w:ind w:left="1449" w:right="0" w:hanging="489"/>
        <w:jc w:val="left"/>
        <w:rPr>
          <w:sz w:val="24"/>
        </w:rPr>
      </w:pPr>
      <w:r>
        <w:rPr>
          <w:spacing w:val="3"/>
          <w:sz w:val="24"/>
        </w:rPr>
        <w:t>急性腎衰竭。</w:t>
      </w:r>
    </w:p>
    <w:p>
      <w:pPr>
        <w:pStyle w:val="ListParagraph"/>
        <w:numPr>
          <w:ilvl w:val="3"/>
          <w:numId w:val="43"/>
        </w:numPr>
        <w:tabs>
          <w:tab w:pos="964" w:val="left" w:leader="none"/>
        </w:tabs>
        <w:spacing w:line="425" w:lineRule="exact" w:before="0" w:after="0"/>
        <w:ind w:left="963" w:right="0" w:hanging="245"/>
        <w:jc w:val="left"/>
        <w:rPr>
          <w:sz w:val="24"/>
        </w:rPr>
      </w:pPr>
      <w:r>
        <w:rPr>
          <w:spacing w:val="1"/>
          <w:sz w:val="24"/>
        </w:rPr>
        <w:t>藥物交互作用：(表 </w:t>
      </w:r>
      <w:r>
        <w:rPr>
          <w:sz w:val="24"/>
        </w:rPr>
        <w:t>6-4)</w:t>
      </w:r>
    </w:p>
    <w:p>
      <w:pPr>
        <w:pStyle w:val="ListParagraph"/>
        <w:numPr>
          <w:ilvl w:val="1"/>
          <w:numId w:val="50"/>
        </w:numPr>
        <w:tabs>
          <w:tab w:pos="1450" w:val="left" w:leader="none"/>
        </w:tabs>
        <w:spacing w:line="223" w:lineRule="auto" w:before="10" w:after="0"/>
        <w:ind w:left="1449" w:right="1363" w:hanging="488"/>
        <w:jc w:val="both"/>
        <w:rPr>
          <w:sz w:val="24"/>
        </w:rPr>
      </w:pPr>
      <w:r>
        <w:rPr/>
        <w:pict>
          <v:shape style="position:absolute;margin-left:574.289001pt;margin-top:30.621277pt;width:16.650pt;height:5.55pt;mso-position-horizontal-relative:page;mso-position-vertical-relative:paragraph;z-index:251732992"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z w:val="24"/>
        </w:rPr>
        <w:t>RMP</w:t>
      </w:r>
      <w:r>
        <w:rPr>
          <w:spacing w:val="3"/>
          <w:sz w:val="24"/>
        </w:rPr>
        <w:t> 會加速肝臟對藥物的代謝，同時服用其他經肝代謝的藥物時，如口服避</w:t>
      </w:r>
      <w:r>
        <w:rPr>
          <w:spacing w:val="-2"/>
          <w:sz w:val="24"/>
        </w:rPr>
        <w:t>孕藥，</w:t>
      </w:r>
      <w:r>
        <w:rPr>
          <w:sz w:val="24"/>
        </w:rPr>
        <w:t>RMP</w:t>
      </w:r>
      <w:r>
        <w:rPr>
          <w:spacing w:val="-1"/>
          <w:sz w:val="24"/>
        </w:rPr>
        <w:t> 會降低避孕藥的效果，故服用 </w:t>
      </w:r>
      <w:r>
        <w:rPr>
          <w:sz w:val="24"/>
        </w:rPr>
        <w:t>RMP 期間應改用其他避孕方法，或</w:t>
      </w:r>
      <w:r>
        <w:rPr>
          <w:spacing w:val="2"/>
          <w:sz w:val="24"/>
        </w:rPr>
        <w:t>提高 </w:t>
      </w:r>
      <w:r>
        <w:rPr>
          <w:sz w:val="24"/>
        </w:rPr>
        <w:t>estrogen</w:t>
      </w:r>
      <w:r>
        <w:rPr>
          <w:spacing w:val="3"/>
          <w:sz w:val="24"/>
        </w:rPr>
        <w:t> 劑量</w:t>
      </w:r>
      <w:r>
        <w:rPr>
          <w:spacing w:val="2"/>
          <w:sz w:val="24"/>
        </w:rPr>
        <w:t>（50μg）</w:t>
      </w:r>
      <w:r>
        <w:rPr>
          <w:spacing w:val="3"/>
          <w:sz w:val="24"/>
        </w:rPr>
        <w:t>。</w:t>
      </w:r>
    </w:p>
    <w:p>
      <w:pPr>
        <w:pStyle w:val="ListParagraph"/>
        <w:numPr>
          <w:ilvl w:val="1"/>
          <w:numId w:val="50"/>
        </w:numPr>
        <w:tabs>
          <w:tab w:pos="1450" w:val="left" w:leader="none"/>
        </w:tabs>
        <w:spacing w:line="223" w:lineRule="auto" w:before="0" w:after="0"/>
        <w:ind w:left="1449" w:right="1360" w:hanging="488"/>
        <w:jc w:val="both"/>
        <w:rPr>
          <w:sz w:val="24"/>
        </w:rPr>
      </w:pPr>
      <w:r>
        <w:rPr>
          <w:spacing w:val="8"/>
          <w:sz w:val="24"/>
        </w:rPr>
        <w:t>同時服用 </w:t>
      </w:r>
      <w:r>
        <w:rPr>
          <w:sz w:val="24"/>
        </w:rPr>
        <w:t>coumadin</w:t>
      </w:r>
      <w:r>
        <w:rPr>
          <w:spacing w:val="3"/>
          <w:sz w:val="24"/>
        </w:rPr>
        <w:t> 類抗凝血劑、口服糖尿病藥、副腎皮質賀爾蒙、抗瘧疾</w:t>
      </w:r>
      <w:r>
        <w:rPr>
          <w:sz w:val="24"/>
        </w:rPr>
        <w:t>/ </w:t>
      </w:r>
      <w:r>
        <w:rPr>
          <w:spacing w:val="-6"/>
          <w:sz w:val="24"/>
        </w:rPr>
        <w:t>預防藥物、抗黴菌藥物、毛地黃製劑、抗癲癇藥物、降血脂藥物…等，</w:t>
      </w:r>
      <w:r>
        <w:rPr>
          <w:sz w:val="24"/>
        </w:rPr>
        <w:t>RMP</w:t>
      </w:r>
      <w:r>
        <w:rPr>
          <w:spacing w:val="1"/>
          <w:sz w:val="24"/>
        </w:rPr>
        <w:t> 亦</w:t>
      </w:r>
      <w:r>
        <w:rPr>
          <w:spacing w:val="3"/>
          <w:sz w:val="24"/>
        </w:rPr>
        <w:t>會減弱其作用，必要時須增加合併藥物之劑量。</w:t>
      </w:r>
    </w:p>
    <w:p>
      <w:pPr>
        <w:pStyle w:val="ListParagraph"/>
        <w:numPr>
          <w:ilvl w:val="1"/>
          <w:numId w:val="50"/>
        </w:numPr>
        <w:tabs>
          <w:tab w:pos="1450" w:val="left" w:leader="none"/>
        </w:tabs>
        <w:spacing w:line="223" w:lineRule="auto" w:before="0" w:after="0"/>
        <w:ind w:left="1449" w:right="1358" w:hanging="488"/>
        <w:jc w:val="both"/>
        <w:rPr>
          <w:sz w:val="24"/>
        </w:rPr>
      </w:pPr>
      <w:r>
        <w:rPr>
          <w:spacing w:val="6"/>
          <w:sz w:val="24"/>
        </w:rPr>
        <w:t>同時服用 </w:t>
      </w:r>
      <w:r>
        <w:rPr>
          <w:sz w:val="24"/>
        </w:rPr>
        <w:t>RMP</w:t>
      </w:r>
      <w:r>
        <w:rPr>
          <w:spacing w:val="3"/>
          <w:sz w:val="24"/>
        </w:rPr>
        <w:t> 與抗反轉錄病毒藥物可能導致抗病毒藥物濃度降低，影響治療效果，須特別小心。（詳細內容請見本書第九章）。</w:t>
      </w:r>
    </w:p>
    <w:p>
      <w:pPr>
        <w:pStyle w:val="ListParagraph"/>
        <w:numPr>
          <w:ilvl w:val="1"/>
          <w:numId w:val="50"/>
        </w:numPr>
        <w:tabs>
          <w:tab w:pos="1450" w:val="left" w:leader="none"/>
        </w:tabs>
        <w:spacing w:line="223" w:lineRule="auto" w:before="0" w:after="0"/>
        <w:ind w:left="1449" w:right="1362" w:hanging="488"/>
        <w:jc w:val="both"/>
        <w:rPr>
          <w:sz w:val="24"/>
        </w:rPr>
      </w:pPr>
      <w:r>
        <w:rPr>
          <w:sz w:val="24"/>
        </w:rPr>
        <w:t>RMP</w:t>
      </w:r>
      <w:r>
        <w:rPr>
          <w:spacing w:val="-5"/>
          <w:sz w:val="24"/>
        </w:rPr>
        <w:t> 與許多藥物併用常出現交互作用，併用藥物劑量需做調整。</w:t>
      </w:r>
      <w:r>
        <w:rPr>
          <w:spacing w:val="3"/>
          <w:sz w:val="24"/>
        </w:rPr>
        <w:t>（</w:t>
      </w:r>
      <w:r>
        <w:rPr>
          <w:spacing w:val="2"/>
          <w:sz w:val="24"/>
        </w:rPr>
        <w:t>詳細內容請見本章表 </w:t>
      </w:r>
      <w:r>
        <w:rPr>
          <w:sz w:val="24"/>
        </w:rPr>
        <w:t>6-4）</w:t>
      </w:r>
    </w:p>
    <w:p>
      <w:pPr>
        <w:pStyle w:val="ListParagraph"/>
        <w:numPr>
          <w:ilvl w:val="1"/>
          <w:numId w:val="50"/>
        </w:numPr>
        <w:tabs>
          <w:tab w:pos="1450" w:val="left" w:leader="none"/>
        </w:tabs>
        <w:spacing w:line="223" w:lineRule="auto" w:before="0" w:after="0"/>
        <w:ind w:left="1449" w:right="1363" w:hanging="488"/>
        <w:jc w:val="both"/>
        <w:rPr>
          <w:sz w:val="24"/>
        </w:rPr>
      </w:pPr>
      <w:r>
        <w:rPr>
          <w:spacing w:val="3"/>
          <w:sz w:val="24"/>
        </w:rPr>
        <w:t>免疫重建症候群 (</w:t>
      </w:r>
      <w:r>
        <w:rPr>
          <w:sz w:val="24"/>
        </w:rPr>
        <w:t>immune</w:t>
      </w:r>
      <w:r>
        <w:rPr>
          <w:spacing w:val="40"/>
          <w:sz w:val="24"/>
        </w:rPr>
        <w:t> </w:t>
      </w:r>
      <w:r>
        <w:rPr>
          <w:sz w:val="24"/>
        </w:rPr>
        <w:t>reconstitution</w:t>
      </w:r>
      <w:r>
        <w:rPr>
          <w:spacing w:val="40"/>
          <w:sz w:val="24"/>
        </w:rPr>
        <w:t> </w:t>
      </w:r>
      <w:r>
        <w:rPr>
          <w:sz w:val="24"/>
        </w:rPr>
        <w:t>inflammatory</w:t>
      </w:r>
      <w:r>
        <w:rPr>
          <w:spacing w:val="40"/>
          <w:sz w:val="24"/>
        </w:rPr>
        <w:t> </w:t>
      </w:r>
      <w:r>
        <w:rPr>
          <w:sz w:val="24"/>
        </w:rPr>
        <w:t>syndrome</w:t>
      </w:r>
      <w:r>
        <w:rPr>
          <w:spacing w:val="41"/>
          <w:sz w:val="24"/>
        </w:rPr>
        <w:t> </w:t>
      </w:r>
      <w:r>
        <w:rPr>
          <w:sz w:val="24"/>
        </w:rPr>
        <w:t>IRIS)或</w:t>
      </w:r>
      <w:r>
        <w:rPr>
          <w:spacing w:val="4"/>
          <w:sz w:val="24"/>
        </w:rPr>
        <w:t>逆向反應 </w:t>
      </w:r>
      <w:r>
        <w:rPr>
          <w:sz w:val="24"/>
        </w:rPr>
        <w:t>(paradoxical</w:t>
      </w:r>
      <w:r>
        <w:rPr>
          <w:spacing w:val="-2"/>
          <w:sz w:val="24"/>
        </w:rPr>
        <w:t> </w:t>
      </w:r>
      <w:r>
        <w:rPr>
          <w:sz w:val="24"/>
        </w:rPr>
        <w:t>reaction</w:t>
      </w:r>
      <w:r>
        <w:rPr>
          <w:spacing w:val="2"/>
          <w:sz w:val="24"/>
        </w:rPr>
        <w:t>) 則與病人的免疫反應有關，與 </w:t>
      </w:r>
      <w:r>
        <w:rPr>
          <w:sz w:val="24"/>
        </w:rPr>
        <w:t>RMP</w:t>
      </w:r>
      <w:r>
        <w:rPr>
          <w:spacing w:val="3"/>
          <w:sz w:val="24"/>
        </w:rPr>
        <w:t> 之交互</w:t>
      </w:r>
      <w:r>
        <w:rPr>
          <w:spacing w:val="2"/>
          <w:sz w:val="24"/>
        </w:rPr>
        <w:t>作用無關聯性。</w:t>
      </w:r>
    </w:p>
    <w:p>
      <w:pPr>
        <w:pStyle w:val="ListParagraph"/>
        <w:numPr>
          <w:ilvl w:val="1"/>
          <w:numId w:val="50"/>
        </w:numPr>
        <w:tabs>
          <w:tab w:pos="1450" w:val="left" w:leader="none"/>
        </w:tabs>
        <w:spacing w:line="418" w:lineRule="exact" w:before="0" w:after="0"/>
        <w:ind w:left="1449" w:right="0" w:hanging="489"/>
        <w:jc w:val="both"/>
        <w:rPr>
          <w:color w:val="FF0000"/>
          <w:sz w:val="24"/>
        </w:rPr>
      </w:pPr>
      <w:r>
        <w:rPr>
          <w:color w:val="FF0000"/>
          <w:spacing w:val="3"/>
          <w:sz w:val="24"/>
        </w:rPr>
        <w:t>宜避免與食物併服</w:t>
      </w:r>
    </w:p>
    <w:p>
      <w:pPr>
        <w:pStyle w:val="Heading7"/>
        <w:numPr>
          <w:ilvl w:val="2"/>
          <w:numId w:val="43"/>
        </w:numPr>
        <w:tabs>
          <w:tab w:pos="973" w:val="left" w:leader="none"/>
        </w:tabs>
        <w:spacing w:line="240" w:lineRule="auto" w:before="197" w:after="0"/>
        <w:ind w:left="972" w:right="0" w:hanging="672"/>
        <w:jc w:val="both"/>
      </w:pPr>
      <w:r>
        <w:rPr/>
        <w:t>Pyrazinamide</w:t>
      </w:r>
      <w:r>
        <w:rPr>
          <w:spacing w:val="4"/>
        </w:rPr>
        <w:t> </w:t>
      </w:r>
      <w:r>
        <w:rPr/>
        <w:t>(PZA)</w:t>
      </w:r>
    </w:p>
    <w:p>
      <w:pPr>
        <w:pStyle w:val="ListParagraph"/>
        <w:numPr>
          <w:ilvl w:val="3"/>
          <w:numId w:val="43"/>
        </w:numPr>
        <w:tabs>
          <w:tab w:pos="964" w:val="left" w:leader="none"/>
        </w:tabs>
        <w:spacing w:line="220" w:lineRule="auto" w:before="28" w:after="0"/>
        <w:ind w:left="963" w:right="1301" w:hanging="244"/>
        <w:jc w:val="both"/>
        <w:rPr>
          <w:sz w:val="24"/>
        </w:rPr>
      </w:pPr>
      <w:r>
        <w:rPr>
          <w:spacing w:val="2"/>
          <w:sz w:val="24"/>
        </w:rPr>
        <w:t>藥理作用：</w:t>
      </w:r>
      <w:r>
        <w:rPr>
          <w:sz w:val="24"/>
        </w:rPr>
        <w:t>PZA</w:t>
      </w:r>
      <w:r>
        <w:rPr>
          <w:spacing w:val="9"/>
          <w:sz w:val="24"/>
        </w:rPr>
        <w:t> 為 </w:t>
      </w:r>
      <w:r>
        <w:rPr>
          <w:sz w:val="24"/>
        </w:rPr>
        <w:t>nicotinamide</w:t>
      </w:r>
      <w:r>
        <w:rPr>
          <w:spacing w:val="4"/>
          <w:sz w:val="24"/>
        </w:rPr>
        <w:t> 類似物(</w:t>
      </w:r>
      <w:r>
        <w:rPr>
          <w:sz w:val="24"/>
        </w:rPr>
        <w:t>analogs</w:t>
      </w:r>
      <w:r>
        <w:rPr>
          <w:spacing w:val="1"/>
          <w:sz w:val="24"/>
        </w:rPr>
        <w:t>)，雖其早期殺菌力不若 </w:t>
      </w:r>
      <w:r>
        <w:rPr>
          <w:sz w:val="24"/>
        </w:rPr>
        <w:t>INH</w:t>
      </w:r>
      <w:r>
        <w:rPr>
          <w:spacing w:val="8"/>
          <w:sz w:val="24"/>
        </w:rPr>
        <w:t> 或</w:t>
      </w:r>
      <w:r>
        <w:rPr>
          <w:spacing w:val="3"/>
          <w:sz w:val="24"/>
        </w:rPr>
        <w:t>RMP，但對巨噬細胞內酸性(</w:t>
      </w:r>
      <w:r>
        <w:rPr>
          <w:sz w:val="24"/>
        </w:rPr>
        <w:t>pH5.5</w:t>
      </w:r>
      <w:r>
        <w:rPr>
          <w:spacing w:val="2"/>
          <w:sz w:val="24"/>
        </w:rPr>
        <w:t>)環境中生長緩慢的結核分枝桿菌最具殺菌力， </w:t>
      </w:r>
      <w:r>
        <w:rPr>
          <w:spacing w:val="-3"/>
          <w:sz w:val="24"/>
        </w:rPr>
        <w:t>組織穿透力佳，具滅菌功能 (</w:t>
      </w:r>
      <w:r>
        <w:rPr>
          <w:sz w:val="24"/>
        </w:rPr>
        <w:t>sterilizing</w:t>
      </w:r>
      <w:r>
        <w:rPr>
          <w:spacing w:val="-7"/>
          <w:sz w:val="24"/>
        </w:rPr>
        <w:t> </w:t>
      </w:r>
      <w:r>
        <w:rPr>
          <w:spacing w:val="-4"/>
          <w:sz w:val="24"/>
        </w:rPr>
        <w:t>activity</w:t>
      </w:r>
      <w:r>
        <w:rPr>
          <w:sz w:val="24"/>
        </w:rPr>
        <w:t>)，在治療的前兩個月使用時效果最</w:t>
      </w:r>
      <w:r>
        <w:rPr>
          <w:spacing w:val="3"/>
          <w:sz w:val="24"/>
        </w:rPr>
        <w:t>佳，並能減少日後結核病的復發率，為現代短程治療中早期使用的主要藥物之一。</w:t>
      </w:r>
      <w:r>
        <w:rPr>
          <w:spacing w:val="-1"/>
          <w:sz w:val="24"/>
        </w:rPr>
        <w:t>但在 </w:t>
      </w:r>
      <w:r>
        <w:rPr>
          <w:sz w:val="24"/>
        </w:rPr>
        <w:t>MDR-TB</w:t>
      </w:r>
      <w:r>
        <w:rPr>
          <w:spacing w:val="-4"/>
          <w:sz w:val="24"/>
        </w:rPr>
        <w:t> 的治療中，PZA</w:t>
      </w:r>
      <w:r>
        <w:rPr>
          <w:spacing w:val="-5"/>
          <w:sz w:val="24"/>
        </w:rPr>
        <w:t> 是全程使用的。但對 </w:t>
      </w:r>
      <w:r>
        <w:rPr>
          <w:i/>
          <w:sz w:val="25"/>
        </w:rPr>
        <w:t>Mycobacterium</w:t>
      </w:r>
      <w:r>
        <w:rPr>
          <w:i/>
          <w:spacing w:val="-21"/>
          <w:sz w:val="25"/>
        </w:rPr>
        <w:t> </w:t>
      </w:r>
      <w:r>
        <w:rPr>
          <w:i/>
          <w:sz w:val="25"/>
        </w:rPr>
        <w:t>bovis</w:t>
      </w:r>
      <w:r>
        <w:rPr>
          <w:i/>
          <w:spacing w:val="-10"/>
          <w:sz w:val="25"/>
        </w:rPr>
        <w:t> </w:t>
      </w:r>
      <w:r>
        <w:rPr>
          <w:spacing w:val="2"/>
          <w:sz w:val="24"/>
        </w:rPr>
        <w:t>及部份</w:t>
      </w:r>
      <w:r>
        <w:rPr>
          <w:spacing w:val="-1"/>
          <w:sz w:val="24"/>
        </w:rPr>
        <w:t>非結核分枝桿菌則沒有作用。</w:t>
      </w:r>
      <w:r>
        <w:rPr>
          <w:sz w:val="24"/>
        </w:rPr>
        <w:t>PZA</w:t>
      </w:r>
      <w:r>
        <w:rPr>
          <w:spacing w:val="-1"/>
          <w:sz w:val="24"/>
        </w:rPr>
        <w:t> 大部份不經由腎臟清除，約 </w:t>
      </w:r>
      <w:r>
        <w:rPr>
          <w:sz w:val="24"/>
        </w:rPr>
        <w:t>30</w:t>
      </w:r>
      <w:r>
        <w:rPr>
          <w:spacing w:val="-1"/>
          <w:sz w:val="24"/>
        </w:rPr>
        <w:t>%經由肝臟代謝，</w:t>
      </w:r>
    </w:p>
    <w:p>
      <w:pPr>
        <w:spacing w:after="0" w:line="220" w:lineRule="auto"/>
        <w:jc w:val="both"/>
        <w:rPr>
          <w:sz w:val="24"/>
        </w:rPr>
        <w:sectPr>
          <w:pgSz w:w="12250" w:h="17190"/>
          <w:pgMar w:header="0" w:footer="748" w:top="1460" w:bottom="1020" w:left="1180" w:right="0"/>
        </w:sectPr>
      </w:pPr>
    </w:p>
    <w:p>
      <w:pPr>
        <w:pStyle w:val="BodyText"/>
        <w:spacing w:line="223" w:lineRule="auto" w:before="45"/>
        <w:ind w:left="963" w:right="1358"/>
        <w:jc w:val="both"/>
      </w:pPr>
      <w:r>
        <w:rPr/>
        <w:t>以 pyrazinoic acid 由尿液排出，會影響尿素(renal urate)的排除，造成高尿酸血症。餵食不影響腸道的吸收。一次使用高劑量(1500 mg，20-30 mg/kg) 可維持血中最高濃度(Cmax) 25-30µg/mL 達 1-2 小時之久，血中最低抑菌濃度(MIC)受到酸鹼值影響，約 20µg/mL(7H10 agar media)，但在液態培養基約 50 µg/mL (pH 5.5)-400µg/mL (pH 5.95)，因此 PZA 的藥物感受性試驗結果不易確定，在臨床實驗室非常規檢查。</w:t>
      </w:r>
    </w:p>
    <w:p>
      <w:pPr>
        <w:pStyle w:val="ListParagraph"/>
        <w:numPr>
          <w:ilvl w:val="3"/>
          <w:numId w:val="43"/>
        </w:numPr>
        <w:tabs>
          <w:tab w:pos="964" w:val="left" w:leader="none"/>
        </w:tabs>
        <w:spacing w:line="441" w:lineRule="exact" w:before="0" w:after="0"/>
        <w:ind w:left="963" w:right="0" w:hanging="245"/>
        <w:jc w:val="both"/>
        <w:rPr>
          <w:sz w:val="24"/>
        </w:rPr>
      </w:pPr>
      <w:r>
        <w:rPr>
          <w:sz w:val="24"/>
        </w:rPr>
        <w:t>PZA</w:t>
      </w:r>
      <w:r>
        <w:rPr>
          <w:spacing w:val="9"/>
          <w:sz w:val="24"/>
        </w:rPr>
        <w:t> 抗藥性與結核分枝桿菌 </w:t>
      </w:r>
      <w:r>
        <w:rPr>
          <w:i/>
          <w:sz w:val="25"/>
        </w:rPr>
        <w:t>pncA</w:t>
      </w:r>
      <w:r>
        <w:rPr>
          <w:i/>
          <w:spacing w:val="4"/>
          <w:sz w:val="25"/>
        </w:rPr>
        <w:t> </w:t>
      </w:r>
      <w:r>
        <w:rPr>
          <w:spacing w:val="11"/>
          <w:sz w:val="24"/>
        </w:rPr>
        <w:t>基因突變有關。出現突變種(</w:t>
      </w:r>
      <w:r>
        <w:rPr>
          <w:spacing w:val="2"/>
          <w:sz w:val="24"/>
        </w:rPr>
        <w:t>mutant</w:t>
      </w:r>
      <w:r>
        <w:rPr>
          <w:spacing w:val="6"/>
          <w:sz w:val="24"/>
        </w:rPr>
        <w:t>)機率約</w:t>
      </w:r>
    </w:p>
    <w:p>
      <w:pPr>
        <w:spacing w:line="439" w:lineRule="exact" w:before="0"/>
        <w:ind w:left="0" w:right="8954" w:firstLine="0"/>
        <w:jc w:val="right"/>
        <w:rPr>
          <w:sz w:val="24"/>
        </w:rPr>
      </w:pPr>
      <w:r>
        <w:rPr>
          <w:sz w:val="24"/>
        </w:rPr>
        <w:t>1.0x10</w:t>
      </w:r>
      <w:r>
        <w:rPr>
          <w:position w:val="11"/>
          <w:sz w:val="16"/>
        </w:rPr>
        <w:t>-5</w:t>
      </w:r>
      <w:r>
        <w:rPr>
          <w:sz w:val="24"/>
        </w:rPr>
        <w:t>。</w:t>
      </w:r>
    </w:p>
    <w:p>
      <w:pPr>
        <w:pStyle w:val="ListParagraph"/>
        <w:numPr>
          <w:ilvl w:val="3"/>
          <w:numId w:val="43"/>
        </w:numPr>
        <w:tabs>
          <w:tab w:pos="244" w:val="left" w:leader="none"/>
        </w:tabs>
        <w:spacing w:line="428" w:lineRule="exact" w:before="0" w:after="0"/>
        <w:ind w:left="963" w:right="8885" w:hanging="964"/>
        <w:jc w:val="right"/>
        <w:rPr>
          <w:sz w:val="24"/>
        </w:rPr>
      </w:pPr>
      <w:r>
        <w:rPr>
          <w:spacing w:val="2"/>
          <w:sz w:val="24"/>
        </w:rPr>
        <w:t>治療劑量：</w:t>
      </w:r>
    </w:p>
    <w:p>
      <w:pPr>
        <w:pStyle w:val="ListParagraph"/>
        <w:numPr>
          <w:ilvl w:val="1"/>
          <w:numId w:val="51"/>
        </w:numPr>
        <w:tabs>
          <w:tab w:pos="1450" w:val="left" w:leader="none"/>
        </w:tabs>
        <w:spacing w:line="223" w:lineRule="auto" w:before="10" w:after="0"/>
        <w:ind w:left="1449" w:right="1358" w:hanging="488"/>
        <w:jc w:val="left"/>
        <w:rPr>
          <w:sz w:val="24"/>
        </w:rPr>
      </w:pPr>
      <w:r>
        <w:rPr>
          <w:spacing w:val="3"/>
          <w:sz w:val="24"/>
        </w:rPr>
        <w:t>成人口服每日劑量 </w:t>
      </w:r>
      <w:r>
        <w:rPr>
          <w:sz w:val="24"/>
        </w:rPr>
        <w:t>25（15-30）mg/kg</w:t>
      </w:r>
      <w:r>
        <w:rPr>
          <w:spacing w:val="4"/>
          <w:sz w:val="24"/>
        </w:rPr>
        <w:t>，每日最大劑量 </w:t>
      </w:r>
      <w:r>
        <w:rPr>
          <w:sz w:val="24"/>
        </w:rPr>
        <w:t>2000</w:t>
      </w:r>
      <w:r>
        <w:rPr>
          <w:spacing w:val="46"/>
          <w:sz w:val="24"/>
        </w:rPr>
        <w:t> </w:t>
      </w:r>
      <w:r>
        <w:rPr>
          <w:sz w:val="24"/>
        </w:rPr>
        <w:t>mg</w:t>
      </w:r>
      <w:r>
        <w:rPr>
          <w:spacing w:val="2"/>
          <w:sz w:val="24"/>
        </w:rPr>
        <w:t>；一般情況</w:t>
      </w:r>
      <w:r>
        <w:rPr>
          <w:spacing w:val="3"/>
          <w:sz w:val="24"/>
        </w:rPr>
        <w:t>下為 </w:t>
      </w:r>
      <w:r>
        <w:rPr>
          <w:sz w:val="24"/>
        </w:rPr>
        <w:t>1000</w:t>
      </w:r>
      <w:r>
        <w:rPr>
          <w:spacing w:val="7"/>
          <w:sz w:val="24"/>
        </w:rPr>
        <w:t> </w:t>
      </w:r>
      <w:r>
        <w:rPr>
          <w:sz w:val="24"/>
        </w:rPr>
        <w:t>mg</w:t>
      </w:r>
      <w:r>
        <w:rPr>
          <w:spacing w:val="3"/>
          <w:sz w:val="24"/>
        </w:rPr>
        <w:t> (體重 </w:t>
      </w:r>
      <w:r>
        <w:rPr>
          <w:sz w:val="24"/>
        </w:rPr>
        <w:t>40-55</w:t>
      </w:r>
      <w:r>
        <w:rPr>
          <w:spacing w:val="9"/>
          <w:sz w:val="24"/>
        </w:rPr>
        <w:t> </w:t>
      </w:r>
      <w:r>
        <w:rPr>
          <w:sz w:val="24"/>
        </w:rPr>
        <w:t>kg)，1500</w:t>
      </w:r>
      <w:r>
        <w:rPr>
          <w:spacing w:val="10"/>
          <w:sz w:val="24"/>
        </w:rPr>
        <w:t> </w:t>
      </w:r>
      <w:r>
        <w:rPr>
          <w:sz w:val="24"/>
        </w:rPr>
        <w:t>mg</w:t>
      </w:r>
      <w:r>
        <w:rPr>
          <w:spacing w:val="3"/>
          <w:sz w:val="24"/>
        </w:rPr>
        <w:t> (體重 </w:t>
      </w:r>
      <w:r>
        <w:rPr>
          <w:sz w:val="24"/>
        </w:rPr>
        <w:t>56-75</w:t>
      </w:r>
      <w:r>
        <w:rPr>
          <w:spacing w:val="10"/>
          <w:sz w:val="24"/>
        </w:rPr>
        <w:t> </w:t>
      </w:r>
      <w:r>
        <w:rPr>
          <w:sz w:val="24"/>
        </w:rPr>
        <w:t>kg)，2000</w:t>
      </w:r>
      <w:r>
        <w:rPr>
          <w:spacing w:val="10"/>
          <w:sz w:val="24"/>
        </w:rPr>
        <w:t> </w:t>
      </w:r>
      <w:r>
        <w:rPr>
          <w:sz w:val="24"/>
        </w:rPr>
        <w:t>mg</w:t>
      </w:r>
      <w:r>
        <w:rPr>
          <w:spacing w:val="3"/>
          <w:sz w:val="24"/>
        </w:rPr>
        <w:t> (體重</w:t>
      </w:r>
    </w:p>
    <w:p>
      <w:pPr>
        <w:pStyle w:val="BodyText"/>
        <w:spacing w:line="402" w:lineRule="exact"/>
        <w:ind w:left="1449"/>
      </w:pPr>
      <w:r>
        <w:rPr/>
        <w:t>≧76 kg)，一次口服。</w:t>
      </w:r>
    </w:p>
    <w:p>
      <w:pPr>
        <w:pStyle w:val="ListParagraph"/>
        <w:numPr>
          <w:ilvl w:val="1"/>
          <w:numId w:val="51"/>
        </w:numPr>
        <w:tabs>
          <w:tab w:pos="1450" w:val="left" w:leader="none"/>
        </w:tabs>
        <w:spacing w:line="410" w:lineRule="exact" w:before="0" w:after="0"/>
        <w:ind w:left="1449" w:right="0" w:hanging="489"/>
        <w:jc w:val="left"/>
        <w:rPr>
          <w:sz w:val="24"/>
        </w:rPr>
      </w:pPr>
      <w:r>
        <w:rPr>
          <w:spacing w:val="3"/>
          <w:sz w:val="24"/>
        </w:rPr>
        <w:t>兒童劑量請參閱本指引第八章。</w:t>
      </w:r>
    </w:p>
    <w:p>
      <w:pPr>
        <w:pStyle w:val="ListParagraph"/>
        <w:numPr>
          <w:ilvl w:val="1"/>
          <w:numId w:val="51"/>
        </w:numPr>
        <w:tabs>
          <w:tab w:pos="1450" w:val="left" w:leader="none"/>
        </w:tabs>
        <w:spacing w:line="410" w:lineRule="exact" w:before="0" w:after="0"/>
        <w:ind w:left="1449" w:right="0" w:hanging="489"/>
        <w:jc w:val="left"/>
        <w:rPr>
          <w:sz w:val="24"/>
        </w:rPr>
      </w:pPr>
      <w:r>
        <w:rPr>
          <w:spacing w:val="2"/>
          <w:sz w:val="24"/>
        </w:rPr>
        <w:t>孕婦可以使用。</w:t>
      </w:r>
    </w:p>
    <w:p>
      <w:pPr>
        <w:pStyle w:val="ListParagraph"/>
        <w:numPr>
          <w:ilvl w:val="1"/>
          <w:numId w:val="51"/>
        </w:numPr>
        <w:tabs>
          <w:tab w:pos="1450" w:val="left" w:leader="none"/>
        </w:tabs>
        <w:spacing w:line="422" w:lineRule="exact" w:before="0" w:after="0"/>
        <w:ind w:left="1449" w:right="0" w:hanging="489"/>
        <w:jc w:val="left"/>
        <w:rPr>
          <w:sz w:val="24"/>
        </w:rPr>
      </w:pPr>
      <w:r>
        <w:rPr>
          <w:spacing w:val="2"/>
          <w:sz w:val="24"/>
        </w:rPr>
        <w:t>腎功能不全者，需調整給藥頻率為一週 </w:t>
      </w:r>
      <w:r>
        <w:rPr>
          <w:sz w:val="24"/>
        </w:rPr>
        <w:t>3</w:t>
      </w:r>
      <w:r>
        <w:rPr>
          <w:spacing w:val="2"/>
          <w:sz w:val="24"/>
        </w:rPr>
        <w:t> 次，每次劑量則維持不變。</w:t>
      </w:r>
    </w:p>
    <w:p>
      <w:pPr>
        <w:pStyle w:val="ListParagraph"/>
        <w:numPr>
          <w:ilvl w:val="3"/>
          <w:numId w:val="43"/>
        </w:numPr>
        <w:tabs>
          <w:tab w:pos="964" w:val="left" w:leader="none"/>
        </w:tabs>
        <w:spacing w:line="425" w:lineRule="exact" w:before="0" w:after="0"/>
        <w:ind w:left="963" w:right="0" w:hanging="245"/>
        <w:jc w:val="left"/>
        <w:rPr>
          <w:sz w:val="24"/>
        </w:rPr>
      </w:pPr>
      <w:r>
        <w:rPr>
          <w:spacing w:val="2"/>
          <w:sz w:val="24"/>
        </w:rPr>
        <w:t>不良反應：</w:t>
      </w:r>
    </w:p>
    <w:p>
      <w:pPr>
        <w:pStyle w:val="ListParagraph"/>
        <w:numPr>
          <w:ilvl w:val="1"/>
          <w:numId w:val="52"/>
        </w:numPr>
        <w:tabs>
          <w:tab w:pos="488" w:val="left" w:leader="none"/>
        </w:tabs>
        <w:spacing w:line="413" w:lineRule="exact" w:before="0" w:after="0"/>
        <w:ind w:left="1449" w:right="1363" w:hanging="1450"/>
        <w:jc w:val="right"/>
        <w:rPr>
          <w:sz w:val="24"/>
        </w:rPr>
      </w:pPr>
      <w:r>
        <w:rPr>
          <w:spacing w:val="3"/>
          <w:sz w:val="24"/>
        </w:rPr>
        <w:t>肝毒性：發生率約為 </w:t>
      </w:r>
      <w:r>
        <w:rPr>
          <w:sz w:val="24"/>
        </w:rPr>
        <w:t>2-20%，在高劑量(3</w:t>
      </w:r>
      <w:r>
        <w:rPr>
          <w:spacing w:val="44"/>
          <w:sz w:val="24"/>
        </w:rPr>
        <w:t> </w:t>
      </w:r>
      <w:r>
        <w:rPr>
          <w:sz w:val="24"/>
        </w:rPr>
        <w:t>gm/day</w:t>
      </w:r>
      <w:r>
        <w:rPr>
          <w:spacing w:val="1"/>
          <w:sz w:val="24"/>
        </w:rPr>
        <w:t>)較常發生，使用劑量小於</w:t>
      </w:r>
    </w:p>
    <w:p>
      <w:pPr>
        <w:pStyle w:val="BodyText"/>
        <w:spacing w:line="410" w:lineRule="exact"/>
        <w:ind w:right="1302"/>
        <w:jc w:val="right"/>
      </w:pPr>
      <w:r>
        <w:rPr/>
        <w:t>25 mg/kg，發生率低於 5%，與 INH 及 RMP 同時使用會增加肝毒性的機會。</w:t>
      </w:r>
    </w:p>
    <w:p>
      <w:pPr>
        <w:pStyle w:val="ListParagraph"/>
        <w:numPr>
          <w:ilvl w:val="1"/>
          <w:numId w:val="52"/>
        </w:numPr>
        <w:tabs>
          <w:tab w:pos="1450" w:val="left" w:leader="none"/>
        </w:tabs>
        <w:spacing w:line="223" w:lineRule="auto" w:before="7" w:after="0"/>
        <w:ind w:left="1449" w:right="1337" w:hanging="488"/>
        <w:jc w:val="both"/>
        <w:rPr>
          <w:sz w:val="24"/>
        </w:rPr>
      </w:pPr>
      <w:r>
        <w:rPr>
          <w:spacing w:val="-2"/>
          <w:sz w:val="24"/>
        </w:rPr>
        <w:t>高尿酸血症：</w:t>
      </w:r>
      <w:r>
        <w:rPr>
          <w:spacing w:val="-3"/>
          <w:sz w:val="24"/>
        </w:rPr>
        <w:t>PZA</w:t>
      </w:r>
      <w:r>
        <w:rPr>
          <w:spacing w:val="-1"/>
          <w:sz w:val="24"/>
        </w:rPr>
        <w:t> 會干擾尿酸代謝而導致高尿酸血症，一般人血清尿酸濃度小</w:t>
      </w:r>
      <w:r>
        <w:rPr>
          <w:spacing w:val="4"/>
          <w:sz w:val="24"/>
        </w:rPr>
        <w:t>於 </w:t>
      </w:r>
      <w:r>
        <w:rPr>
          <w:sz w:val="24"/>
        </w:rPr>
        <w:t>13</w:t>
      </w:r>
      <w:r>
        <w:rPr>
          <w:spacing w:val="35"/>
          <w:sz w:val="24"/>
        </w:rPr>
        <w:t> </w:t>
      </w:r>
      <w:r>
        <w:rPr>
          <w:sz w:val="24"/>
        </w:rPr>
        <w:t>mg/dL</w:t>
      </w:r>
      <w:r>
        <w:rPr>
          <w:spacing w:val="2"/>
          <w:sz w:val="24"/>
        </w:rPr>
        <w:t> 時，無症狀時通常不需要藥物治療，也不需停止 </w:t>
      </w:r>
      <w:r>
        <w:rPr>
          <w:sz w:val="24"/>
        </w:rPr>
        <w:t>PZA</w:t>
      </w:r>
      <w:r>
        <w:rPr>
          <w:spacing w:val="3"/>
          <w:sz w:val="24"/>
        </w:rPr>
        <w:t> 使用。痛</w:t>
      </w:r>
      <w:r>
        <w:rPr>
          <w:sz w:val="24"/>
        </w:rPr>
        <w:t>風病人需注意痛風發作情形，或暫時停用 PZA</w:t>
      </w:r>
      <w:r>
        <w:rPr>
          <w:spacing w:val="3"/>
          <w:sz w:val="24"/>
        </w:rPr>
        <w:t>。與 </w:t>
      </w:r>
      <w:r>
        <w:rPr>
          <w:sz w:val="24"/>
        </w:rPr>
        <w:t>Allopurinol</w:t>
      </w:r>
      <w:r>
        <w:rPr>
          <w:spacing w:val="2"/>
          <w:sz w:val="24"/>
        </w:rPr>
        <w:t> 併用會增加血</w:t>
      </w:r>
      <w:r>
        <w:rPr>
          <w:spacing w:val="6"/>
          <w:sz w:val="24"/>
        </w:rPr>
        <w:t>中 </w:t>
      </w:r>
      <w:r>
        <w:rPr>
          <w:sz w:val="24"/>
        </w:rPr>
        <w:t>pyrazinoic</w:t>
      </w:r>
      <w:r>
        <w:rPr>
          <w:spacing w:val="-9"/>
          <w:sz w:val="24"/>
        </w:rPr>
        <w:t> </w:t>
      </w:r>
      <w:r>
        <w:rPr>
          <w:sz w:val="24"/>
        </w:rPr>
        <w:t>acid</w:t>
      </w:r>
      <w:r>
        <w:rPr>
          <w:spacing w:val="-9"/>
          <w:sz w:val="24"/>
        </w:rPr>
        <w:t> 濃度，故 </w:t>
      </w:r>
      <w:r>
        <w:rPr>
          <w:sz w:val="24"/>
        </w:rPr>
        <w:t>PZA</w:t>
      </w:r>
      <w:r>
        <w:rPr>
          <w:spacing w:val="2"/>
          <w:sz w:val="24"/>
        </w:rPr>
        <w:t> 造成尿酸增加不可使用 </w:t>
      </w:r>
      <w:r>
        <w:rPr>
          <w:sz w:val="24"/>
        </w:rPr>
        <w:t>Allopurinol</w:t>
      </w:r>
      <w:r>
        <w:rPr>
          <w:spacing w:val="-12"/>
          <w:sz w:val="24"/>
        </w:rPr>
        <w:t> 來治療。</w:t>
      </w:r>
      <w:r>
        <w:rPr>
          <w:spacing w:val="21"/>
          <w:sz w:val="24"/>
        </w:rPr>
        <w:t>若需長期使用 </w:t>
      </w:r>
      <w:r>
        <w:rPr>
          <w:spacing w:val="6"/>
          <w:sz w:val="24"/>
        </w:rPr>
        <w:t>PZA</w:t>
      </w:r>
      <w:r>
        <w:rPr>
          <w:spacing w:val="15"/>
          <w:sz w:val="24"/>
        </w:rPr>
        <w:t>， 可考慮採用降尿酸藥 </w:t>
      </w:r>
      <w:r>
        <w:rPr>
          <w:sz w:val="24"/>
        </w:rPr>
        <w:t>Benzbromarone</w:t>
      </w:r>
      <w:r>
        <w:rPr>
          <w:spacing w:val="25"/>
          <w:sz w:val="24"/>
        </w:rPr>
        <w:t> 類藥物</w:t>
      </w:r>
      <w:r>
        <w:rPr>
          <w:sz w:val="24"/>
        </w:rPr>
        <w:t>（</w:t>
      </w:r>
      <w:r>
        <w:rPr>
          <w:spacing w:val="-16"/>
          <w:sz w:val="24"/>
        </w:rPr>
        <w:t> 如Urinorm）</w:t>
      </w:r>
      <w:r>
        <w:rPr>
          <w:spacing w:val="3"/>
          <w:sz w:val="24"/>
        </w:rPr>
        <w:t>治療高尿酸血症。</w:t>
      </w:r>
    </w:p>
    <w:p>
      <w:pPr>
        <w:pStyle w:val="ListParagraph"/>
        <w:numPr>
          <w:ilvl w:val="3"/>
          <w:numId w:val="43"/>
        </w:numPr>
        <w:tabs>
          <w:tab w:pos="964" w:val="left" w:leader="none"/>
        </w:tabs>
        <w:spacing w:line="428" w:lineRule="exact" w:before="0" w:after="0"/>
        <w:ind w:left="963" w:right="0" w:hanging="245"/>
        <w:jc w:val="both"/>
        <w:rPr>
          <w:sz w:val="24"/>
        </w:rPr>
      </w:pPr>
      <w:r>
        <w:rPr>
          <w:spacing w:val="2"/>
          <w:sz w:val="24"/>
        </w:rPr>
        <w:t>罕見不良反應：</w:t>
      </w:r>
    </w:p>
    <w:p>
      <w:pPr>
        <w:pStyle w:val="ListParagraph"/>
        <w:numPr>
          <w:ilvl w:val="1"/>
          <w:numId w:val="53"/>
        </w:numPr>
        <w:tabs>
          <w:tab w:pos="1450" w:val="left" w:leader="none"/>
        </w:tabs>
        <w:spacing w:line="413" w:lineRule="exact" w:before="0" w:after="0"/>
        <w:ind w:left="1449" w:right="0" w:hanging="488"/>
        <w:jc w:val="left"/>
        <w:rPr>
          <w:sz w:val="24"/>
        </w:rPr>
      </w:pPr>
      <w:r>
        <w:rPr>
          <w:spacing w:val="3"/>
          <w:sz w:val="24"/>
        </w:rPr>
        <w:t>多關節痛：偶而發生，以水楊酸劑</w:t>
      </w:r>
      <w:r>
        <w:rPr>
          <w:sz w:val="24"/>
        </w:rPr>
        <w:t>(salicylates)</w:t>
      </w:r>
      <w:r>
        <w:rPr>
          <w:spacing w:val="2"/>
          <w:sz w:val="24"/>
        </w:rPr>
        <w:t>或 </w:t>
      </w:r>
      <w:r>
        <w:rPr>
          <w:sz w:val="24"/>
        </w:rPr>
        <w:t>NSAIDs</w:t>
      </w:r>
      <w:r>
        <w:rPr>
          <w:spacing w:val="2"/>
          <w:sz w:val="24"/>
        </w:rPr>
        <w:t> 即可緩解。</w:t>
      </w:r>
    </w:p>
    <w:p>
      <w:pPr>
        <w:pStyle w:val="ListParagraph"/>
        <w:numPr>
          <w:ilvl w:val="1"/>
          <w:numId w:val="53"/>
        </w:numPr>
        <w:tabs>
          <w:tab w:pos="1450" w:val="left" w:leader="none"/>
        </w:tabs>
        <w:spacing w:line="410" w:lineRule="exact" w:before="0" w:after="0"/>
        <w:ind w:left="1449" w:right="0" w:hanging="488"/>
        <w:jc w:val="left"/>
        <w:rPr>
          <w:sz w:val="24"/>
        </w:rPr>
      </w:pPr>
      <w:r>
        <w:rPr>
          <w:spacing w:val="3"/>
          <w:sz w:val="24"/>
        </w:rPr>
        <w:t>血糖升高：糖尿病人須監測血糖值。</w:t>
      </w:r>
    </w:p>
    <w:p>
      <w:pPr>
        <w:pStyle w:val="ListParagraph"/>
        <w:numPr>
          <w:ilvl w:val="1"/>
          <w:numId w:val="53"/>
        </w:numPr>
        <w:tabs>
          <w:tab w:pos="1450" w:val="left" w:leader="none"/>
        </w:tabs>
        <w:spacing w:line="422" w:lineRule="exact" w:before="0" w:after="0"/>
        <w:ind w:left="1449" w:right="0" w:hanging="488"/>
        <w:jc w:val="left"/>
        <w:rPr>
          <w:sz w:val="24"/>
        </w:rPr>
      </w:pPr>
      <w:r>
        <w:rPr>
          <w:spacing w:val="2"/>
          <w:sz w:val="24"/>
        </w:rPr>
        <w:t>皮疹及胃腸不適亦曾發生。</w:t>
      </w:r>
    </w:p>
    <w:p>
      <w:pPr>
        <w:pStyle w:val="ListParagraph"/>
        <w:numPr>
          <w:ilvl w:val="3"/>
          <w:numId w:val="43"/>
        </w:numPr>
        <w:tabs>
          <w:tab w:pos="964" w:val="left" w:leader="none"/>
        </w:tabs>
        <w:spacing w:line="438" w:lineRule="exact" w:before="0" w:after="0"/>
        <w:ind w:left="963" w:right="0" w:hanging="245"/>
        <w:jc w:val="left"/>
        <w:rPr>
          <w:sz w:val="24"/>
        </w:rPr>
      </w:pPr>
      <w:r>
        <w:rPr>
          <w:spacing w:val="2"/>
          <w:sz w:val="24"/>
        </w:rPr>
        <w:t>藥物交互作用：</w:t>
      </w:r>
      <w:r>
        <w:rPr>
          <w:sz w:val="24"/>
        </w:rPr>
        <w:t>PZA</w:t>
      </w:r>
      <w:r>
        <w:rPr>
          <w:spacing w:val="3"/>
          <w:sz w:val="24"/>
        </w:rPr>
        <w:t> 與其他藥物無明顯交互作用。</w:t>
      </w:r>
    </w:p>
    <w:p>
      <w:pPr>
        <w:pStyle w:val="Heading7"/>
        <w:numPr>
          <w:ilvl w:val="2"/>
          <w:numId w:val="43"/>
        </w:numPr>
        <w:tabs>
          <w:tab w:pos="973" w:val="left" w:leader="none"/>
        </w:tabs>
        <w:spacing w:line="240" w:lineRule="auto" w:before="206" w:after="0"/>
        <w:ind w:left="972" w:right="0" w:hanging="671"/>
        <w:jc w:val="left"/>
      </w:pPr>
      <w:r>
        <w:rPr/>
        <w:t>Ethambutol</w:t>
      </w:r>
      <w:r>
        <w:rPr>
          <w:spacing w:val="3"/>
        </w:rPr>
        <w:t> </w:t>
      </w:r>
      <w:r>
        <w:rPr/>
        <w:t>(EMB)</w:t>
      </w:r>
    </w:p>
    <w:p>
      <w:pPr>
        <w:pStyle w:val="ListParagraph"/>
        <w:numPr>
          <w:ilvl w:val="0"/>
          <w:numId w:val="54"/>
        </w:numPr>
        <w:tabs>
          <w:tab w:pos="964" w:val="left" w:leader="none"/>
        </w:tabs>
        <w:spacing w:line="425" w:lineRule="exact" w:before="3" w:after="0"/>
        <w:ind w:left="963" w:right="0" w:hanging="245"/>
        <w:jc w:val="left"/>
        <w:rPr>
          <w:sz w:val="24"/>
        </w:rPr>
      </w:pPr>
      <w:r>
        <w:rPr>
          <w:spacing w:val="2"/>
          <w:sz w:val="24"/>
        </w:rPr>
        <w:t>藥理作用：</w:t>
      </w:r>
    </w:p>
    <w:p>
      <w:pPr>
        <w:pStyle w:val="BodyText"/>
        <w:spacing w:line="223" w:lineRule="auto" w:before="6"/>
        <w:ind w:left="951" w:right="1301" w:firstLine="487"/>
        <w:jc w:val="both"/>
      </w:pPr>
      <w:r>
        <w:rPr/>
        <w:t>EMB</w:t>
      </w:r>
      <w:r>
        <w:rPr>
          <w:spacing w:val="-3"/>
        </w:rPr>
        <w:t> 主要可抑制結核分枝桿菌細胞壁的合成，因而阻斷細菌的增殖。主要經腎</w:t>
      </w:r>
      <w:r>
        <w:rPr>
          <w:spacing w:val="-21"/>
        </w:rPr>
        <w:t>臟排泄。</w:t>
      </w:r>
      <w:r>
        <w:rPr/>
        <w:t>CNS</w:t>
      </w:r>
      <w:r>
        <w:rPr>
          <w:spacing w:val="-10"/>
        </w:rPr>
        <w:t> 穿透力差。服用 50mg/Kg，</w:t>
      </w:r>
      <w:r>
        <w:rPr/>
        <w:t>血中最高濃度 </w:t>
      </w:r>
      <w:r>
        <w:rPr>
          <w:spacing w:val="-10"/>
        </w:rPr>
        <w:t>10µg/mL</w:t>
      </w:r>
      <w:r>
        <w:rPr>
          <w:spacing w:val="-3"/>
        </w:rPr>
        <w:t>，服用 </w:t>
      </w:r>
      <w:r>
        <w:rPr>
          <w:spacing w:val="-5"/>
        </w:rPr>
        <w:t>25mg/Kg， </w:t>
      </w:r>
      <w:r>
        <w:rPr>
          <w:spacing w:val="3"/>
        </w:rPr>
        <w:t>血中最高濃度 </w:t>
      </w:r>
      <w:r>
        <w:rPr>
          <w:spacing w:val="-13"/>
        </w:rPr>
        <w:t>5µg/mL</w:t>
      </w:r>
      <w:r>
        <w:rPr>
          <w:spacing w:val="-1"/>
        </w:rPr>
        <w:t>，可達 </w:t>
      </w:r>
      <w:r>
        <w:rPr/>
        <w:t>2-4</w:t>
      </w:r>
      <w:r>
        <w:rPr>
          <w:spacing w:val="-7"/>
        </w:rPr>
        <w:t> 小時，血中最低抑菌濃度(</w:t>
      </w:r>
      <w:r>
        <w:rPr/>
        <w:t>MIC</w:t>
      </w:r>
      <w:r>
        <w:rPr>
          <w:spacing w:val="3"/>
        </w:rPr>
        <w:t>)約 </w:t>
      </w:r>
      <w:r>
        <w:rPr>
          <w:spacing w:val="-3"/>
        </w:rPr>
        <w:t>0.5-2.0µg/mL，</w:t>
      </w:r>
    </w:p>
    <w:p>
      <w:pPr>
        <w:spacing w:after="0" w:line="223" w:lineRule="auto"/>
        <w:jc w:val="both"/>
        <w:sectPr>
          <w:pgSz w:w="12250" w:h="17190"/>
          <w:pgMar w:header="0" w:footer="748" w:top="1460" w:bottom="1020" w:left="1180" w:right="0"/>
        </w:sectPr>
      </w:pPr>
    </w:p>
    <w:p>
      <w:pPr>
        <w:pStyle w:val="BodyText"/>
        <w:spacing w:line="223" w:lineRule="auto" w:before="45"/>
        <w:ind w:left="951" w:right="1360"/>
        <w:jc w:val="both"/>
      </w:pPr>
      <w:r>
        <w:rPr/>
        <w:pict>
          <v:group style="position:absolute;margin-left:571.5pt;margin-top:.723596pt;width:40.9pt;height:316.05pt;mso-position-horizontal-relative:page;mso-position-vertical-relative:paragraph;z-index:251736064" coordorigin="11430,14" coordsize="818,6321">
            <v:shape style="position:absolute;left:11430;top:14;width:818;height:6321" coordorigin="11430,14" coordsize="818,6321" path="m12247,14l11595,14,11531,27,11478,63,11443,115,11430,180,11430,6170,11443,6234,11478,6287,11531,6322,11595,6335,12247,6335,12247,14xe" filled="true" fillcolor="#a6a6a6" stroked="false">
              <v:path arrowok="t"/>
              <v:fill type="solid"/>
            </v:shape>
            <v:shape style="position:absolute;left:11430;top:14;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spacing w:val="-6"/>
        </w:rPr>
        <w:t>空腹服藥吸收較好。</w:t>
      </w:r>
      <w:r>
        <w:rPr/>
        <w:t>EMB</w:t>
      </w:r>
      <w:r>
        <w:rPr>
          <w:spacing w:val="-4"/>
        </w:rPr>
        <w:t> 一般劑量雖僅有抑菌能力，較高劑量時 </w:t>
      </w:r>
      <w:r>
        <w:rPr/>
        <w:t>early bactericidal activity</w:t>
      </w:r>
      <w:r>
        <w:rPr>
          <w:spacing w:val="23"/>
        </w:rPr>
        <w:t> 不亞於 </w:t>
      </w:r>
      <w:r>
        <w:rPr/>
        <w:t>rifampicin</w:t>
      </w:r>
      <w:r>
        <w:rPr>
          <w:spacing w:val="2"/>
        </w:rPr>
        <w:t>。合併其他藥物使用時，可避免結核分枝桿菌產生抗藥</w:t>
      </w:r>
      <w:r>
        <w:rPr>
          <w:spacing w:val="3"/>
        </w:rPr>
        <w:t>性，尤其當有原發性 </w:t>
      </w:r>
      <w:r>
        <w:rPr/>
        <w:t>INH</w:t>
      </w:r>
      <w:r>
        <w:rPr>
          <w:spacing w:val="3"/>
        </w:rPr>
        <w:t> 抗藥存在時，合併使用 </w:t>
      </w:r>
      <w:r>
        <w:rPr/>
        <w:t>EMB</w:t>
      </w:r>
      <w:r>
        <w:rPr>
          <w:spacing w:val="3"/>
        </w:rPr>
        <w:t> 可能可以減少產生 </w:t>
      </w:r>
      <w:r>
        <w:rPr/>
        <w:t>RMP</w:t>
      </w:r>
      <w:r>
        <w:rPr>
          <w:spacing w:val="6"/>
        </w:rPr>
        <w:t> 抗</w:t>
      </w:r>
      <w:r>
        <w:rPr>
          <w:spacing w:val="3"/>
        </w:rPr>
        <w:t>藥菌株。為目前抗結核藥物中最常用的抑菌劑。</w:t>
      </w:r>
    </w:p>
    <w:p>
      <w:pPr>
        <w:pStyle w:val="ListParagraph"/>
        <w:numPr>
          <w:ilvl w:val="0"/>
          <w:numId w:val="54"/>
        </w:numPr>
        <w:tabs>
          <w:tab w:pos="964" w:val="left" w:leader="none"/>
        </w:tabs>
        <w:spacing w:line="402" w:lineRule="exact" w:before="0" w:after="0"/>
        <w:ind w:left="963" w:right="0" w:hanging="245"/>
        <w:jc w:val="both"/>
        <w:rPr>
          <w:sz w:val="24"/>
        </w:rPr>
      </w:pPr>
      <w:r>
        <w:rPr>
          <w:sz w:val="24"/>
        </w:rPr>
        <w:t>EMB</w:t>
      </w:r>
      <w:r>
        <w:rPr>
          <w:spacing w:val="1"/>
          <w:sz w:val="24"/>
        </w:rPr>
        <w:t> 抗藥與結核分枝桿菌 </w:t>
      </w:r>
      <w:r>
        <w:rPr>
          <w:i/>
          <w:sz w:val="25"/>
        </w:rPr>
        <w:t>embA</w:t>
      </w:r>
      <w:r>
        <w:rPr>
          <w:spacing w:val="16"/>
          <w:sz w:val="24"/>
        </w:rPr>
        <w:t>, </w:t>
      </w:r>
      <w:r>
        <w:rPr>
          <w:i/>
          <w:sz w:val="25"/>
        </w:rPr>
        <w:t>embB</w:t>
      </w:r>
      <w:r>
        <w:rPr>
          <w:i/>
          <w:spacing w:val="58"/>
          <w:sz w:val="25"/>
        </w:rPr>
        <w:t> </w:t>
      </w:r>
      <w:r>
        <w:rPr>
          <w:spacing w:val="2"/>
          <w:sz w:val="24"/>
        </w:rPr>
        <w:t>基因有關。出現突變種(</w:t>
      </w:r>
      <w:r>
        <w:rPr>
          <w:sz w:val="24"/>
        </w:rPr>
        <w:t>mutant</w:t>
      </w:r>
      <w:r>
        <w:rPr>
          <w:spacing w:val="3"/>
          <w:sz w:val="24"/>
        </w:rPr>
        <w:t>)機率約</w:t>
      </w:r>
    </w:p>
    <w:p>
      <w:pPr>
        <w:spacing w:line="409" w:lineRule="exact" w:before="0"/>
        <w:ind w:left="963" w:right="0" w:firstLine="0"/>
        <w:jc w:val="left"/>
        <w:rPr>
          <w:sz w:val="16"/>
        </w:rPr>
      </w:pPr>
      <w:r>
        <w:rPr>
          <w:sz w:val="24"/>
        </w:rPr>
        <w:t>3.1x10</w:t>
      </w:r>
      <w:r>
        <w:rPr>
          <w:position w:val="11"/>
          <w:sz w:val="16"/>
        </w:rPr>
        <w:t>-5。</w:t>
      </w:r>
    </w:p>
    <w:p>
      <w:pPr>
        <w:pStyle w:val="ListParagraph"/>
        <w:numPr>
          <w:ilvl w:val="0"/>
          <w:numId w:val="54"/>
        </w:numPr>
        <w:tabs>
          <w:tab w:pos="964" w:val="left" w:leader="none"/>
        </w:tabs>
        <w:spacing w:line="410" w:lineRule="exact" w:before="0" w:after="0"/>
        <w:ind w:left="963" w:right="0" w:hanging="245"/>
        <w:jc w:val="left"/>
        <w:rPr>
          <w:sz w:val="24"/>
        </w:rPr>
      </w:pPr>
      <w:r>
        <w:rPr>
          <w:spacing w:val="2"/>
          <w:sz w:val="24"/>
        </w:rPr>
        <w:t>治療劑量：</w:t>
      </w:r>
    </w:p>
    <w:p>
      <w:pPr>
        <w:pStyle w:val="ListParagraph"/>
        <w:numPr>
          <w:ilvl w:val="1"/>
          <w:numId w:val="54"/>
        </w:numPr>
        <w:tabs>
          <w:tab w:pos="1450" w:val="left" w:leader="none"/>
        </w:tabs>
        <w:spacing w:line="223" w:lineRule="auto" w:before="7" w:after="0"/>
        <w:ind w:left="1449" w:right="1358" w:hanging="488"/>
        <w:jc w:val="both"/>
        <w:rPr>
          <w:sz w:val="24"/>
        </w:rPr>
      </w:pPr>
      <w:r>
        <w:rPr>
          <w:spacing w:val="3"/>
          <w:sz w:val="24"/>
        </w:rPr>
        <w:t>成人口服每日劑量 </w:t>
      </w:r>
      <w:r>
        <w:rPr>
          <w:sz w:val="24"/>
        </w:rPr>
        <w:t>15（15-20）mg/kg</w:t>
      </w:r>
      <w:r>
        <w:rPr>
          <w:spacing w:val="2"/>
          <w:sz w:val="24"/>
        </w:rPr>
        <w:t>；一般情況下為 </w:t>
      </w:r>
      <w:r>
        <w:rPr>
          <w:sz w:val="24"/>
        </w:rPr>
        <w:t>800</w:t>
      </w:r>
      <w:r>
        <w:rPr>
          <w:spacing w:val="-3"/>
          <w:sz w:val="24"/>
        </w:rPr>
        <w:t> </w:t>
      </w:r>
      <w:r>
        <w:rPr>
          <w:sz w:val="24"/>
        </w:rPr>
        <w:t>mg</w:t>
      </w:r>
      <w:r>
        <w:rPr>
          <w:spacing w:val="2"/>
          <w:sz w:val="24"/>
        </w:rPr>
        <w:t> (體重 </w:t>
      </w:r>
      <w:r>
        <w:rPr>
          <w:sz w:val="24"/>
        </w:rPr>
        <w:t>40~55 kg)，1200</w:t>
      </w:r>
      <w:r>
        <w:rPr>
          <w:spacing w:val="4"/>
          <w:sz w:val="24"/>
        </w:rPr>
        <w:t> </w:t>
      </w:r>
      <w:r>
        <w:rPr>
          <w:sz w:val="24"/>
        </w:rPr>
        <w:t>mg</w:t>
      </w:r>
      <w:r>
        <w:rPr>
          <w:spacing w:val="2"/>
          <w:sz w:val="24"/>
        </w:rPr>
        <w:t> (體重 </w:t>
      </w:r>
      <w:r>
        <w:rPr>
          <w:sz w:val="24"/>
        </w:rPr>
        <w:t>56~75</w:t>
      </w:r>
      <w:r>
        <w:rPr>
          <w:spacing w:val="6"/>
          <w:sz w:val="24"/>
        </w:rPr>
        <w:t> </w:t>
      </w:r>
      <w:r>
        <w:rPr>
          <w:sz w:val="24"/>
        </w:rPr>
        <w:t>kg)，1600</w:t>
      </w:r>
      <w:r>
        <w:rPr>
          <w:spacing w:val="5"/>
          <w:sz w:val="24"/>
        </w:rPr>
        <w:t> </w:t>
      </w:r>
      <w:r>
        <w:rPr>
          <w:sz w:val="24"/>
        </w:rPr>
        <w:t>mg</w:t>
      </w:r>
      <w:r>
        <w:rPr>
          <w:spacing w:val="3"/>
          <w:sz w:val="24"/>
        </w:rPr>
        <w:t> (體重 </w:t>
      </w:r>
      <w:r>
        <w:rPr>
          <w:sz w:val="24"/>
        </w:rPr>
        <w:t>76~90</w:t>
      </w:r>
      <w:r>
        <w:rPr>
          <w:spacing w:val="6"/>
          <w:sz w:val="24"/>
        </w:rPr>
        <w:t> </w:t>
      </w:r>
      <w:r>
        <w:rPr>
          <w:sz w:val="24"/>
        </w:rPr>
        <w:t>kg</w:t>
      </w:r>
      <w:r>
        <w:rPr>
          <w:spacing w:val="1"/>
          <w:sz w:val="24"/>
        </w:rPr>
        <w:t>)，每日最大劑量</w:t>
      </w:r>
      <w:r>
        <w:rPr>
          <w:sz w:val="24"/>
        </w:rPr>
        <w:t>1600</w:t>
      </w:r>
      <w:r>
        <w:rPr>
          <w:spacing w:val="5"/>
          <w:sz w:val="24"/>
        </w:rPr>
        <w:t> </w:t>
      </w:r>
      <w:r>
        <w:rPr>
          <w:sz w:val="24"/>
        </w:rPr>
        <w:t>mg</w:t>
      </w:r>
      <w:r>
        <w:rPr>
          <w:spacing w:val="1"/>
          <w:sz w:val="24"/>
        </w:rPr>
        <w:t>，一次口服。</w:t>
      </w:r>
    </w:p>
    <w:p>
      <w:pPr>
        <w:pStyle w:val="ListParagraph"/>
        <w:numPr>
          <w:ilvl w:val="1"/>
          <w:numId w:val="54"/>
        </w:numPr>
        <w:tabs>
          <w:tab w:pos="1450" w:val="left" w:leader="none"/>
        </w:tabs>
        <w:spacing w:line="402" w:lineRule="exact" w:before="0" w:after="0"/>
        <w:ind w:left="1449" w:right="0" w:hanging="488"/>
        <w:jc w:val="both"/>
        <w:rPr>
          <w:sz w:val="24"/>
        </w:rPr>
      </w:pPr>
      <w:r>
        <w:rPr/>
        <w:pict>
          <v:shape style="position:absolute;margin-left:574.289001pt;margin-top:2.876011pt;width:16.650pt;height:5.55pt;mso-position-horizontal-relative:page;mso-position-vertical-relative:paragraph;z-index:251738112"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3"/>
          <w:sz w:val="24"/>
        </w:rPr>
        <w:t>兒童劑量請參閱本指引第八章。</w:t>
      </w:r>
    </w:p>
    <w:p>
      <w:pPr>
        <w:pStyle w:val="ListParagraph"/>
        <w:numPr>
          <w:ilvl w:val="1"/>
          <w:numId w:val="54"/>
        </w:numPr>
        <w:tabs>
          <w:tab w:pos="1450" w:val="left" w:leader="none"/>
        </w:tabs>
        <w:spacing w:line="410" w:lineRule="exact" w:before="0" w:after="0"/>
        <w:ind w:left="1449" w:right="0" w:hanging="488"/>
        <w:jc w:val="both"/>
        <w:rPr>
          <w:sz w:val="24"/>
        </w:rPr>
      </w:pPr>
      <w:r>
        <w:rPr>
          <w:spacing w:val="2"/>
          <w:sz w:val="24"/>
        </w:rPr>
        <w:t>孕婦可以使用。</w:t>
      </w:r>
    </w:p>
    <w:p>
      <w:pPr>
        <w:pStyle w:val="ListParagraph"/>
        <w:numPr>
          <w:ilvl w:val="1"/>
          <w:numId w:val="54"/>
        </w:numPr>
        <w:tabs>
          <w:tab w:pos="1450" w:val="left" w:leader="none"/>
        </w:tabs>
        <w:spacing w:line="223" w:lineRule="auto" w:before="7" w:after="0"/>
        <w:ind w:left="1449" w:right="1361" w:hanging="488"/>
        <w:jc w:val="both"/>
        <w:rPr>
          <w:sz w:val="24"/>
        </w:rPr>
      </w:pPr>
      <w:r>
        <w:rPr>
          <w:sz w:val="24"/>
        </w:rPr>
        <w:t>EMB</w:t>
      </w:r>
      <w:r>
        <w:rPr>
          <w:spacing w:val="8"/>
          <w:sz w:val="24"/>
        </w:rPr>
        <w:t> 約 </w:t>
      </w:r>
      <w:r>
        <w:rPr>
          <w:sz w:val="24"/>
        </w:rPr>
        <w:t>80</w:t>
      </w:r>
      <w:r>
        <w:rPr>
          <w:spacing w:val="1"/>
          <w:sz w:val="24"/>
        </w:rPr>
        <w:t>%由腎臟排除，腎功能不全者，需調整給藥頻率為一週 </w:t>
      </w:r>
      <w:r>
        <w:rPr>
          <w:sz w:val="24"/>
        </w:rPr>
        <w:t>3</w:t>
      </w:r>
      <w:r>
        <w:rPr>
          <w:spacing w:val="3"/>
          <w:sz w:val="24"/>
        </w:rPr>
        <w:t> 次，每次劑量則維持不變。</w:t>
      </w:r>
    </w:p>
    <w:p>
      <w:pPr>
        <w:pStyle w:val="ListParagraph"/>
        <w:numPr>
          <w:ilvl w:val="0"/>
          <w:numId w:val="54"/>
        </w:numPr>
        <w:tabs>
          <w:tab w:pos="964" w:val="left" w:leader="none"/>
        </w:tabs>
        <w:spacing w:line="402" w:lineRule="exact" w:before="0" w:after="0"/>
        <w:ind w:left="963" w:right="0" w:hanging="245"/>
        <w:jc w:val="both"/>
        <w:rPr>
          <w:sz w:val="24"/>
        </w:rPr>
      </w:pPr>
      <w:r>
        <w:rPr/>
        <w:pict>
          <v:shape style="position:absolute;margin-left:574.289001pt;margin-top:16.917788pt;width:16.650pt;height:5.55pt;mso-position-horizontal-relative:page;mso-position-vertical-relative:paragraph;z-index:251737088"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2"/>
          <w:sz w:val="24"/>
        </w:rPr>
        <w:t>不良反應：</w:t>
      </w:r>
    </w:p>
    <w:p>
      <w:pPr>
        <w:pStyle w:val="ListParagraph"/>
        <w:numPr>
          <w:ilvl w:val="1"/>
          <w:numId w:val="55"/>
        </w:numPr>
        <w:tabs>
          <w:tab w:pos="1450" w:val="left" w:leader="none"/>
        </w:tabs>
        <w:spacing w:line="223" w:lineRule="auto" w:before="6" w:after="0"/>
        <w:ind w:left="1449" w:right="1358" w:hanging="488"/>
        <w:jc w:val="both"/>
        <w:rPr>
          <w:color w:val="FF0000"/>
          <w:sz w:val="24"/>
        </w:rPr>
      </w:pPr>
      <w:r>
        <w:rPr>
          <w:color w:val="FF0000"/>
          <w:spacing w:val="10"/>
          <w:sz w:val="24"/>
        </w:rPr>
        <w:t>視神經病變(</w:t>
      </w:r>
      <w:r>
        <w:rPr>
          <w:color w:val="FF0000"/>
          <w:sz w:val="24"/>
        </w:rPr>
        <w:t>Optic</w:t>
      </w:r>
      <w:r>
        <w:rPr>
          <w:color w:val="FF0000"/>
          <w:spacing w:val="46"/>
          <w:sz w:val="24"/>
        </w:rPr>
        <w:t> </w:t>
      </w:r>
      <w:r>
        <w:rPr>
          <w:color w:val="FF0000"/>
          <w:sz w:val="24"/>
        </w:rPr>
        <w:t>neuropathy)：EMB</w:t>
      </w:r>
      <w:r>
        <w:rPr>
          <w:color w:val="FF0000"/>
          <w:spacing w:val="2"/>
          <w:sz w:val="24"/>
        </w:rPr>
        <w:t> 最常見的副作用，腎衰竭的病人較易</w:t>
      </w:r>
      <w:r>
        <w:rPr>
          <w:color w:val="FF0000"/>
          <w:sz w:val="24"/>
        </w:rPr>
        <w:t>發生，與劑量有關。症狀包括視力模糊、視野缺損及色彩辨識異常，可能先發生於一側，但大多發生於雙側。一旦發現視力減退，若立即停藥，有機會恢復</w:t>
      </w:r>
      <w:r>
        <w:rPr>
          <w:color w:val="FF0000"/>
          <w:spacing w:val="-3"/>
          <w:sz w:val="24"/>
        </w:rPr>
        <w:t>視力，但若未及時停藥，則可能發生不可逆損傷，甚至繼續發生視神經萎縮或</w:t>
      </w:r>
      <w:r>
        <w:rPr>
          <w:color w:val="FF0000"/>
          <w:spacing w:val="5"/>
          <w:sz w:val="24"/>
        </w:rPr>
        <w:t>導致障礙。使用 </w:t>
      </w:r>
      <w:r>
        <w:rPr>
          <w:color w:val="FF0000"/>
          <w:sz w:val="24"/>
        </w:rPr>
        <w:t>EMB</w:t>
      </w:r>
      <w:r>
        <w:rPr>
          <w:color w:val="FF0000"/>
          <w:spacing w:val="3"/>
          <w:sz w:val="24"/>
        </w:rPr>
        <w:t> 除注意劑量外，必須定期為病人檢查視力，用簡易的辨</w:t>
      </w:r>
      <w:r>
        <w:rPr>
          <w:color w:val="FF0000"/>
          <w:spacing w:val="-1"/>
          <w:sz w:val="24"/>
        </w:rPr>
        <w:t>色及視力評量表評估，並預囑病人一旦發現視力有任何改變，須立即告知其主</w:t>
      </w:r>
      <w:r>
        <w:rPr>
          <w:color w:val="FF0000"/>
          <w:spacing w:val="3"/>
          <w:sz w:val="24"/>
        </w:rPr>
        <w:t>治醫師，必要時轉介眼科評估。臺灣男性有 </w:t>
      </w:r>
      <w:r>
        <w:rPr>
          <w:color w:val="FF0000"/>
          <w:sz w:val="24"/>
        </w:rPr>
        <w:t>5-8%</w:t>
      </w:r>
      <w:r>
        <w:rPr>
          <w:color w:val="FF0000"/>
          <w:spacing w:val="3"/>
          <w:sz w:val="24"/>
        </w:rPr>
        <w:t>有色弱情形，不易由辨色力</w:t>
      </w:r>
      <w:r>
        <w:rPr>
          <w:color w:val="FF0000"/>
          <w:spacing w:val="-1"/>
          <w:sz w:val="24"/>
        </w:rPr>
        <w:t>來評估病變影響程度，可能需要眼科醫師的會診。同時請臨床醫師鼓勵病人加</w:t>
      </w:r>
      <w:r>
        <w:rPr>
          <w:color w:val="FF0000"/>
          <w:spacing w:val="-3"/>
          <w:sz w:val="24"/>
        </w:rPr>
        <w:t>入都治計畫，關懷員亦會協助病人，每週進行視力評估並記錄在個案管理系統</w:t>
      </w:r>
      <w:r>
        <w:rPr>
          <w:color w:val="FF0000"/>
          <w:spacing w:val="-4"/>
          <w:sz w:val="24"/>
        </w:rPr>
        <w:t>中，一旦有視力上的變化，公衛護理人員及醫院個管師，亦將協助安排回診評</w:t>
      </w:r>
      <w:r>
        <w:rPr>
          <w:color w:val="FF0000"/>
          <w:spacing w:val="4"/>
          <w:sz w:val="24"/>
        </w:rPr>
        <w:t>估。大部分的病人，使用 </w:t>
      </w:r>
      <w:r>
        <w:rPr>
          <w:color w:val="FF0000"/>
          <w:sz w:val="24"/>
        </w:rPr>
        <w:t>EMB</w:t>
      </w:r>
      <w:r>
        <w:rPr>
          <w:color w:val="FF0000"/>
          <w:spacing w:val="3"/>
          <w:sz w:val="24"/>
        </w:rPr>
        <w:t> 發生相關的視神經病變，雖然難以預測，但與</w:t>
      </w:r>
      <w:r>
        <w:rPr>
          <w:color w:val="FF0000"/>
          <w:sz w:val="24"/>
        </w:rPr>
        <w:t>使用藥物的劑量和時間有關，通常都發生於使用 EMB</w:t>
      </w:r>
      <w:r>
        <w:rPr>
          <w:color w:val="FF0000"/>
          <w:spacing w:val="3"/>
          <w:sz w:val="24"/>
        </w:rPr>
        <w:t> 超過 </w:t>
      </w:r>
      <w:r>
        <w:rPr>
          <w:color w:val="FF0000"/>
          <w:sz w:val="24"/>
        </w:rPr>
        <w:t>4-5</w:t>
      </w:r>
      <w:r>
        <w:rPr>
          <w:color w:val="FF0000"/>
          <w:spacing w:val="-1"/>
          <w:sz w:val="24"/>
        </w:rPr>
        <w:t> 個月以上。值</w:t>
      </w:r>
      <w:r>
        <w:rPr>
          <w:color w:val="FF0000"/>
          <w:spacing w:val="2"/>
          <w:sz w:val="24"/>
        </w:rPr>
        <w:t>得注意的是，在臺灣每萬人中約有一人，天生帶著 </w:t>
      </w:r>
      <w:r>
        <w:rPr>
          <w:color w:val="FF0000"/>
          <w:sz w:val="24"/>
        </w:rPr>
        <w:t>LHON（Leber</w:t>
      </w:r>
      <w:r>
        <w:rPr>
          <w:color w:val="FF0000"/>
          <w:spacing w:val="17"/>
          <w:sz w:val="24"/>
        </w:rPr>
        <w:t> </w:t>
      </w:r>
      <w:r>
        <w:rPr>
          <w:color w:val="FF0000"/>
          <w:sz w:val="24"/>
        </w:rPr>
        <w:t>hereditary </w:t>
      </w:r>
      <w:r>
        <w:rPr>
          <w:color w:val="FF0000"/>
          <w:spacing w:val="4"/>
          <w:sz w:val="24"/>
        </w:rPr>
        <w:t>optic</w:t>
      </w:r>
      <w:r>
        <w:rPr>
          <w:color w:val="FF0000"/>
          <w:spacing w:val="61"/>
          <w:sz w:val="24"/>
        </w:rPr>
        <w:t> </w:t>
      </w:r>
      <w:r>
        <w:rPr>
          <w:color w:val="FF0000"/>
          <w:spacing w:val="5"/>
          <w:sz w:val="24"/>
        </w:rPr>
        <w:t>neuropathy</w:t>
      </w:r>
      <w:r>
        <w:rPr>
          <w:color w:val="FF0000"/>
          <w:spacing w:val="7"/>
          <w:sz w:val="24"/>
        </w:rPr>
        <w:t>)或 </w:t>
      </w:r>
      <w:r>
        <w:rPr>
          <w:color w:val="FF0000"/>
          <w:spacing w:val="4"/>
          <w:sz w:val="24"/>
        </w:rPr>
        <w:t>DOA</w:t>
      </w:r>
      <w:r>
        <w:rPr>
          <w:color w:val="FF0000"/>
          <w:spacing w:val="24"/>
          <w:sz w:val="24"/>
        </w:rPr>
        <w:t> (</w:t>
      </w:r>
      <w:r>
        <w:rPr>
          <w:color w:val="FF0000"/>
          <w:spacing w:val="4"/>
          <w:sz w:val="24"/>
        </w:rPr>
        <w:t>Dominant</w:t>
      </w:r>
      <w:r>
        <w:rPr>
          <w:color w:val="FF0000"/>
          <w:spacing w:val="43"/>
          <w:sz w:val="24"/>
        </w:rPr>
        <w:t> </w:t>
      </w:r>
      <w:r>
        <w:rPr>
          <w:color w:val="FF0000"/>
          <w:spacing w:val="4"/>
          <w:sz w:val="24"/>
        </w:rPr>
        <w:t>optic</w:t>
      </w:r>
      <w:r>
        <w:rPr>
          <w:color w:val="FF0000"/>
          <w:spacing w:val="44"/>
          <w:sz w:val="24"/>
        </w:rPr>
        <w:t> </w:t>
      </w:r>
      <w:r>
        <w:rPr>
          <w:color w:val="FF0000"/>
          <w:spacing w:val="4"/>
          <w:sz w:val="24"/>
        </w:rPr>
        <w:t>atrophy</w:t>
      </w:r>
      <w:r>
        <w:rPr>
          <w:color w:val="FF0000"/>
          <w:spacing w:val="8"/>
          <w:sz w:val="24"/>
        </w:rPr>
        <w:t>) 的罕見基因遺傳， </w:t>
      </w:r>
      <w:r>
        <w:rPr>
          <w:color w:val="FF0000"/>
          <w:spacing w:val="6"/>
          <w:sz w:val="24"/>
        </w:rPr>
        <w:t>這類病人會因為使用 </w:t>
      </w:r>
      <w:r>
        <w:rPr>
          <w:color w:val="FF0000"/>
          <w:sz w:val="24"/>
        </w:rPr>
        <w:t>EMB</w:t>
      </w:r>
      <w:r>
        <w:rPr>
          <w:color w:val="FF0000"/>
          <w:spacing w:val="2"/>
          <w:sz w:val="24"/>
        </w:rPr>
        <w:t>，誘發視力缺損的時間特別快速 (可能在 </w:t>
      </w:r>
      <w:r>
        <w:rPr>
          <w:color w:val="FF0000"/>
          <w:sz w:val="24"/>
        </w:rPr>
        <w:t>2</w:t>
      </w:r>
      <w:r>
        <w:rPr>
          <w:color w:val="FF0000"/>
          <w:spacing w:val="13"/>
          <w:sz w:val="24"/>
        </w:rPr>
        <w:t> 個月內</w:t>
      </w:r>
      <w:r>
        <w:rPr>
          <w:color w:val="FF0000"/>
          <w:spacing w:val="3"/>
          <w:sz w:val="24"/>
        </w:rPr>
        <w:t>發生)。如依照本指引使用正確藥物劑量，且有定期評估視力並且記錄在病歷</w:t>
      </w:r>
      <w:r>
        <w:rPr>
          <w:color w:val="FF0000"/>
          <w:spacing w:val="-12"/>
          <w:sz w:val="24"/>
        </w:rPr>
        <w:t>中，卻仍然發生嚴重不良反應且持續無法改善造成殘障，可申請藥害救濟。經分</w:t>
      </w:r>
      <w:r>
        <w:rPr>
          <w:color w:val="FF0000"/>
          <w:spacing w:val="29"/>
          <w:sz w:val="24"/>
        </w:rPr>
        <w:t>析 </w:t>
      </w:r>
      <w:r>
        <w:rPr>
          <w:color w:val="FF0000"/>
          <w:sz w:val="24"/>
        </w:rPr>
        <w:t>107-109  年間，臺灣的結核病追蹤管理系統中，依照本指引建議使用  15-</w:t>
      </w:r>
    </w:p>
    <w:p>
      <w:pPr>
        <w:pStyle w:val="BodyText"/>
        <w:spacing w:line="396" w:lineRule="exact"/>
        <w:ind w:left="1346" w:right="1263"/>
        <w:jc w:val="center"/>
      </w:pPr>
      <w:r>
        <w:rPr>
          <w:color w:val="FF0000"/>
          <w:spacing w:val="2"/>
        </w:rPr>
        <w:t>20mg/kg</w:t>
      </w:r>
      <w:r>
        <w:rPr>
          <w:color w:val="FF0000"/>
          <w:spacing w:val="7"/>
        </w:rPr>
        <w:t>，病人仍發生視覺障礙比率皆小於  </w:t>
      </w:r>
      <w:r>
        <w:rPr>
          <w:color w:val="FF0000"/>
        </w:rPr>
        <w:t>1</w:t>
      </w:r>
      <w:r>
        <w:rPr>
          <w:color w:val="FF0000"/>
          <w:spacing w:val="11"/>
        </w:rPr>
        <w:t>% (輕度、中度、重度分別為</w:t>
      </w:r>
    </w:p>
    <w:p>
      <w:pPr>
        <w:pStyle w:val="BodyText"/>
        <w:spacing w:line="426" w:lineRule="exact"/>
        <w:ind w:left="1346" w:right="1256"/>
        <w:jc w:val="center"/>
      </w:pPr>
      <w:r>
        <w:rPr>
          <w:color w:val="FF0000"/>
        </w:rPr>
        <w:t>0.07</w:t>
      </w:r>
      <w:r>
        <w:rPr>
          <w:color w:val="FF0000"/>
          <w:spacing w:val="1"/>
        </w:rPr>
        <w:t>%、</w:t>
      </w:r>
      <w:r>
        <w:rPr>
          <w:color w:val="FF0000"/>
        </w:rPr>
        <w:t>0.09</w:t>
      </w:r>
      <w:r>
        <w:rPr>
          <w:color w:val="FF0000"/>
          <w:spacing w:val="2"/>
        </w:rPr>
        <w:t>%、</w:t>
      </w:r>
      <w:r>
        <w:rPr>
          <w:color w:val="FF0000"/>
        </w:rPr>
        <w:t>0.12%)，非屬藥害救濟中「常見可預期」的藥物不良反應。</w:t>
      </w:r>
    </w:p>
    <w:p>
      <w:pPr>
        <w:spacing w:after="0" w:line="426" w:lineRule="exact"/>
        <w:jc w:val="center"/>
        <w:sectPr>
          <w:pgSz w:w="12250" w:h="17190"/>
          <w:pgMar w:header="0" w:footer="748" w:top="1460" w:bottom="1020" w:left="1180" w:right="0"/>
        </w:sectPr>
      </w:pPr>
    </w:p>
    <w:p>
      <w:pPr>
        <w:pStyle w:val="ListParagraph"/>
        <w:numPr>
          <w:ilvl w:val="1"/>
          <w:numId w:val="55"/>
        </w:numPr>
        <w:tabs>
          <w:tab w:pos="1450" w:val="left" w:leader="none"/>
        </w:tabs>
        <w:spacing w:line="223" w:lineRule="auto" w:before="45" w:after="0"/>
        <w:ind w:left="1449" w:right="1302" w:hanging="488"/>
        <w:jc w:val="both"/>
        <w:rPr>
          <w:sz w:val="24"/>
        </w:rPr>
      </w:pPr>
      <w:r>
        <w:rPr>
          <w:spacing w:val="-12"/>
          <w:sz w:val="24"/>
        </w:rPr>
        <w:t>過敏性反應、皮膚炎、皮膚搔癢、關節痛、食慾不振、噁心、嘔吐、胃腸不適、</w:t>
      </w:r>
      <w:r>
        <w:rPr>
          <w:spacing w:val="3"/>
          <w:sz w:val="24"/>
        </w:rPr>
        <w:t>腹痛、發熱、全身倦怠、頭痛、頭暈，精神混亂定向力障礙及可能有幻覺。</w:t>
      </w:r>
    </w:p>
    <w:p>
      <w:pPr>
        <w:pStyle w:val="ListParagraph"/>
        <w:numPr>
          <w:ilvl w:val="0"/>
          <w:numId w:val="54"/>
        </w:numPr>
        <w:tabs>
          <w:tab w:pos="964" w:val="left" w:leader="none"/>
        </w:tabs>
        <w:spacing w:line="397" w:lineRule="exact" w:before="0" w:after="0"/>
        <w:ind w:left="963" w:right="0" w:hanging="245"/>
        <w:jc w:val="both"/>
        <w:rPr>
          <w:sz w:val="24"/>
        </w:rPr>
      </w:pPr>
      <w:r>
        <w:rPr>
          <w:spacing w:val="2"/>
          <w:sz w:val="24"/>
        </w:rPr>
        <w:t>罕見不良反應：高尿酸血症偶亦發生。</w:t>
      </w:r>
    </w:p>
    <w:p>
      <w:pPr>
        <w:pStyle w:val="ListParagraph"/>
        <w:numPr>
          <w:ilvl w:val="0"/>
          <w:numId w:val="54"/>
        </w:numPr>
        <w:tabs>
          <w:tab w:pos="964" w:val="left" w:leader="none"/>
        </w:tabs>
        <w:spacing w:line="423" w:lineRule="exact" w:before="0" w:after="0"/>
        <w:ind w:left="963" w:right="0" w:hanging="245"/>
        <w:jc w:val="both"/>
        <w:rPr>
          <w:sz w:val="24"/>
        </w:rPr>
      </w:pPr>
      <w:r>
        <w:rPr>
          <w:spacing w:val="2"/>
          <w:sz w:val="24"/>
        </w:rPr>
        <w:t>藥物交互作用：</w:t>
      </w:r>
      <w:r>
        <w:rPr>
          <w:sz w:val="24"/>
        </w:rPr>
        <w:t>EMB</w:t>
      </w:r>
      <w:r>
        <w:rPr>
          <w:spacing w:val="2"/>
          <w:sz w:val="24"/>
        </w:rPr>
        <w:t> 不宜與制酸劑(</w:t>
      </w:r>
      <w:r>
        <w:rPr>
          <w:sz w:val="24"/>
        </w:rPr>
        <w:t>antacids</w:t>
      </w:r>
      <w:r>
        <w:rPr>
          <w:spacing w:val="2"/>
          <w:sz w:val="24"/>
        </w:rPr>
        <w:t>)一起使用。</w:t>
      </w:r>
    </w:p>
    <w:p>
      <w:pPr>
        <w:pStyle w:val="Heading7"/>
        <w:numPr>
          <w:ilvl w:val="2"/>
          <w:numId w:val="43"/>
        </w:numPr>
        <w:tabs>
          <w:tab w:pos="973" w:val="left" w:leader="none"/>
        </w:tabs>
        <w:spacing w:line="438" w:lineRule="exact" w:before="156" w:after="0"/>
        <w:ind w:left="972" w:right="0" w:hanging="672"/>
        <w:jc w:val="both"/>
      </w:pPr>
      <w:r>
        <w:rPr/>
        <w:t>Streptomycin</w:t>
      </w:r>
      <w:r>
        <w:rPr>
          <w:spacing w:val="3"/>
        </w:rPr>
        <w:t> </w:t>
      </w:r>
      <w:r>
        <w:rPr/>
        <w:t>(SM)</w:t>
      </w:r>
    </w:p>
    <w:p>
      <w:pPr>
        <w:pStyle w:val="ListParagraph"/>
        <w:numPr>
          <w:ilvl w:val="3"/>
          <w:numId w:val="43"/>
        </w:numPr>
        <w:tabs>
          <w:tab w:pos="964" w:val="left" w:leader="none"/>
        </w:tabs>
        <w:spacing w:line="223" w:lineRule="auto" w:before="20" w:after="0"/>
        <w:ind w:left="963" w:right="1356" w:hanging="244"/>
        <w:jc w:val="both"/>
        <w:rPr>
          <w:sz w:val="24"/>
        </w:rPr>
      </w:pPr>
      <w:r>
        <w:rPr>
          <w:spacing w:val="3"/>
          <w:sz w:val="24"/>
        </w:rPr>
        <w:t>藥理作用：SM</w:t>
      </w:r>
      <w:r>
        <w:rPr>
          <w:spacing w:val="9"/>
          <w:sz w:val="24"/>
        </w:rPr>
        <w:t> 的作用機轉為干擾 </w:t>
      </w:r>
      <w:r>
        <w:rPr>
          <w:spacing w:val="2"/>
          <w:sz w:val="24"/>
        </w:rPr>
        <w:t>ribosomes</w:t>
      </w:r>
      <w:r>
        <w:rPr>
          <w:spacing w:val="6"/>
          <w:sz w:val="24"/>
        </w:rPr>
        <w:t> 作用，影響結核分枝桿菌蛋白質合</w:t>
      </w:r>
      <w:r>
        <w:rPr>
          <w:spacing w:val="-5"/>
          <w:sz w:val="24"/>
        </w:rPr>
        <w:t>成，對細胞外的鹼性病灶中之結核分枝桿菌具殺菌性，特別是空洞病灶，可使用於</w:t>
      </w:r>
      <w:r>
        <w:rPr>
          <w:spacing w:val="5"/>
          <w:sz w:val="24"/>
        </w:rPr>
        <w:t>間歇性治療。血中最高濃度(</w:t>
      </w:r>
      <w:r>
        <w:rPr>
          <w:spacing w:val="2"/>
          <w:sz w:val="24"/>
        </w:rPr>
        <w:t>Cmax</w:t>
      </w:r>
      <w:r>
        <w:rPr>
          <w:spacing w:val="16"/>
          <w:sz w:val="24"/>
        </w:rPr>
        <w:t>) </w:t>
      </w:r>
      <w:r>
        <w:rPr>
          <w:sz w:val="24"/>
        </w:rPr>
        <w:t>30.5</w:t>
      </w:r>
      <w:r>
        <w:rPr>
          <w:spacing w:val="32"/>
          <w:sz w:val="24"/>
        </w:rPr>
        <w:t> </w:t>
      </w:r>
      <w:r>
        <w:rPr>
          <w:spacing w:val="2"/>
          <w:sz w:val="24"/>
        </w:rPr>
        <w:t>µg/mL</w:t>
      </w:r>
      <w:r>
        <w:rPr>
          <w:spacing w:val="16"/>
          <w:sz w:val="24"/>
        </w:rPr>
        <w:t> (</w:t>
      </w:r>
      <w:r>
        <w:rPr>
          <w:sz w:val="24"/>
        </w:rPr>
        <w:t>14.2</w:t>
      </w:r>
      <w:r>
        <w:rPr>
          <w:spacing w:val="31"/>
          <w:sz w:val="24"/>
        </w:rPr>
        <w:t> </w:t>
      </w:r>
      <w:r>
        <w:rPr>
          <w:spacing w:val="2"/>
          <w:sz w:val="24"/>
        </w:rPr>
        <w:t>mg/kg</w:t>
      </w:r>
      <w:r>
        <w:rPr>
          <w:spacing w:val="4"/>
          <w:sz w:val="24"/>
        </w:rPr>
        <w:t>)可達 </w:t>
      </w:r>
      <w:r>
        <w:rPr>
          <w:sz w:val="24"/>
        </w:rPr>
        <w:t>1-2</w:t>
      </w:r>
      <w:r>
        <w:rPr>
          <w:spacing w:val="6"/>
          <w:sz w:val="24"/>
        </w:rPr>
        <w:t> 小時，血</w:t>
      </w:r>
      <w:r>
        <w:rPr>
          <w:spacing w:val="2"/>
          <w:sz w:val="24"/>
        </w:rPr>
        <w:t>中最低抑菌濃度(</w:t>
      </w:r>
      <w:r>
        <w:rPr>
          <w:sz w:val="24"/>
        </w:rPr>
        <w:t>MIC</w:t>
      </w:r>
      <w:r>
        <w:rPr>
          <w:spacing w:val="8"/>
          <w:sz w:val="24"/>
        </w:rPr>
        <w:t>)約 </w:t>
      </w:r>
      <w:r>
        <w:rPr>
          <w:sz w:val="24"/>
        </w:rPr>
        <w:t>0.5-2.0</w:t>
      </w:r>
      <w:r>
        <w:rPr>
          <w:spacing w:val="20"/>
          <w:sz w:val="24"/>
        </w:rPr>
        <w:t> </w:t>
      </w:r>
      <w:r>
        <w:rPr>
          <w:sz w:val="24"/>
        </w:rPr>
        <w:t>µg/mL(Bactec460)，主要經腎臟排泄，在老人、</w:t>
      </w:r>
      <w:r>
        <w:rPr>
          <w:spacing w:val="3"/>
          <w:sz w:val="24"/>
        </w:rPr>
        <w:t>新生兒或腎功能不全者，其半衰期會延長。</w:t>
      </w:r>
      <w:r>
        <w:rPr>
          <w:sz w:val="24"/>
        </w:rPr>
        <w:t>SM</w:t>
      </w:r>
      <w:r>
        <w:rPr>
          <w:spacing w:val="2"/>
          <w:sz w:val="24"/>
        </w:rPr>
        <w:t> 不易通過血腦屏障，對結核性腦膜</w:t>
      </w:r>
      <w:r>
        <w:rPr>
          <w:spacing w:val="3"/>
          <w:sz w:val="24"/>
        </w:rPr>
        <w:t>炎較差，但對浸潤型肺結核、粟粒性結核等活動性肺結核療效較好。</w:t>
      </w:r>
      <w:r>
        <w:rPr>
          <w:sz w:val="24"/>
        </w:rPr>
        <w:t>SM</w:t>
      </w:r>
      <w:r>
        <w:rPr>
          <w:spacing w:val="5"/>
          <w:sz w:val="24"/>
        </w:rPr>
        <w:t> 抗藥性與</w:t>
      </w:r>
      <w:r>
        <w:rPr>
          <w:spacing w:val="2"/>
          <w:sz w:val="24"/>
        </w:rPr>
        <w:t>結核分枝桿菌 </w:t>
      </w:r>
      <w:r>
        <w:rPr>
          <w:i/>
          <w:sz w:val="25"/>
        </w:rPr>
        <w:t>rrs</w:t>
      </w:r>
      <w:r>
        <w:rPr>
          <w:spacing w:val="1"/>
          <w:sz w:val="24"/>
        </w:rPr>
        <w:t>, </w:t>
      </w:r>
      <w:r>
        <w:rPr>
          <w:i/>
          <w:sz w:val="25"/>
        </w:rPr>
        <w:t>rpsL</w:t>
      </w:r>
      <w:r>
        <w:rPr>
          <w:i/>
          <w:spacing w:val="-1"/>
          <w:sz w:val="25"/>
        </w:rPr>
        <w:t> </w:t>
      </w:r>
      <w:r>
        <w:rPr>
          <w:spacing w:val="2"/>
          <w:sz w:val="24"/>
        </w:rPr>
        <w:t>基因突變有關，出現突變種(</w:t>
      </w:r>
      <w:r>
        <w:rPr>
          <w:sz w:val="24"/>
        </w:rPr>
        <w:t>mutant</w:t>
      </w:r>
      <w:r>
        <w:rPr>
          <w:spacing w:val="1"/>
          <w:sz w:val="24"/>
        </w:rPr>
        <w:t>)機率約 </w:t>
      </w:r>
      <w:r>
        <w:rPr>
          <w:sz w:val="24"/>
        </w:rPr>
        <w:t>3.8</w:t>
      </w:r>
      <w:r>
        <w:rPr>
          <w:spacing w:val="2"/>
          <w:sz w:val="24"/>
        </w:rPr>
        <w:t> </w:t>
      </w:r>
      <w:r>
        <w:rPr>
          <w:sz w:val="24"/>
        </w:rPr>
        <w:t>x</w:t>
      </w:r>
      <w:r>
        <w:rPr>
          <w:spacing w:val="3"/>
          <w:sz w:val="24"/>
        </w:rPr>
        <w:t> </w:t>
      </w:r>
      <w:r>
        <w:rPr>
          <w:sz w:val="24"/>
        </w:rPr>
        <w:t>10</w:t>
      </w:r>
      <w:r>
        <w:rPr>
          <w:position w:val="11"/>
          <w:sz w:val="16"/>
        </w:rPr>
        <w:t>-6</w:t>
      </w:r>
      <w:r>
        <w:rPr>
          <w:sz w:val="24"/>
        </w:rPr>
        <w:t>。</w:t>
      </w:r>
    </w:p>
    <w:p>
      <w:pPr>
        <w:pStyle w:val="ListParagraph"/>
        <w:numPr>
          <w:ilvl w:val="3"/>
          <w:numId w:val="43"/>
        </w:numPr>
        <w:tabs>
          <w:tab w:pos="964" w:val="left" w:leader="none"/>
        </w:tabs>
        <w:spacing w:line="398" w:lineRule="exact" w:before="0" w:after="0"/>
        <w:ind w:left="963" w:right="0" w:hanging="245"/>
        <w:jc w:val="both"/>
        <w:rPr>
          <w:sz w:val="24"/>
        </w:rPr>
      </w:pPr>
      <w:r>
        <w:rPr>
          <w:spacing w:val="2"/>
          <w:sz w:val="24"/>
        </w:rPr>
        <w:t>治療劑量：</w:t>
      </w:r>
    </w:p>
    <w:p>
      <w:pPr>
        <w:pStyle w:val="ListParagraph"/>
        <w:numPr>
          <w:ilvl w:val="1"/>
          <w:numId w:val="56"/>
        </w:numPr>
        <w:tabs>
          <w:tab w:pos="1450" w:val="left" w:leader="none"/>
        </w:tabs>
        <w:spacing w:line="412" w:lineRule="exact" w:before="0" w:after="0"/>
        <w:ind w:left="1449" w:right="0" w:hanging="488"/>
        <w:jc w:val="both"/>
        <w:rPr>
          <w:sz w:val="24"/>
        </w:rPr>
      </w:pPr>
      <w:r>
        <w:rPr>
          <w:spacing w:val="3"/>
          <w:sz w:val="24"/>
        </w:rPr>
        <w:t>成人每日劑量 </w:t>
      </w:r>
      <w:r>
        <w:rPr>
          <w:sz w:val="24"/>
        </w:rPr>
        <w:t>15（15-20）mg/kg</w:t>
      </w:r>
      <w:r>
        <w:rPr>
          <w:spacing w:val="3"/>
          <w:sz w:val="24"/>
        </w:rPr>
        <w:t>，最大劑量 </w:t>
      </w:r>
      <w:r>
        <w:rPr>
          <w:sz w:val="24"/>
        </w:rPr>
        <w:t>1000</w:t>
      </w:r>
      <w:r>
        <w:rPr>
          <w:spacing w:val="38"/>
          <w:sz w:val="24"/>
        </w:rPr>
        <w:t> </w:t>
      </w:r>
      <w:r>
        <w:rPr>
          <w:sz w:val="24"/>
        </w:rPr>
        <w:t>mg</w:t>
      </w:r>
      <w:r>
        <w:rPr>
          <w:spacing w:val="1"/>
          <w:sz w:val="24"/>
        </w:rPr>
        <w:t>，可採肌肉注射或靜</w:t>
      </w:r>
    </w:p>
    <w:p>
      <w:pPr>
        <w:pStyle w:val="BodyText"/>
        <w:spacing w:line="223" w:lineRule="auto" w:before="8"/>
        <w:ind w:left="1449" w:right="1358"/>
        <w:jc w:val="both"/>
      </w:pPr>
      <w:r>
        <w:rPr/>
        <w:t>脈注射給予，累積總劑量建議應小於 120 gm。但多重抗藥結核(MDR-TB)個案因療程較長，請轉至</w:t>
      </w:r>
      <w:r>
        <w:rPr>
          <w:color w:val="FF0000"/>
        </w:rPr>
        <w:t>抗藥性結核病醫療照護體系</w:t>
      </w:r>
      <w:r>
        <w:rPr/>
        <w:t>團隊醫院，由結核病專家依個別需要調整使用劑量。</w:t>
      </w:r>
    </w:p>
    <w:p>
      <w:pPr>
        <w:pStyle w:val="ListParagraph"/>
        <w:numPr>
          <w:ilvl w:val="1"/>
          <w:numId w:val="56"/>
        </w:numPr>
        <w:tabs>
          <w:tab w:pos="1450" w:val="left" w:leader="none"/>
        </w:tabs>
        <w:spacing w:line="409" w:lineRule="exact" w:before="0" w:after="0"/>
        <w:ind w:left="1449" w:right="0" w:hanging="488"/>
        <w:jc w:val="both"/>
        <w:rPr>
          <w:sz w:val="24"/>
        </w:rPr>
      </w:pPr>
      <w:r>
        <w:rPr>
          <w:spacing w:val="2"/>
          <w:sz w:val="24"/>
        </w:rPr>
        <w:t>大於 </w:t>
      </w:r>
      <w:r>
        <w:rPr>
          <w:sz w:val="24"/>
        </w:rPr>
        <w:t>60</w:t>
      </w:r>
      <w:r>
        <w:rPr>
          <w:spacing w:val="-9"/>
          <w:sz w:val="24"/>
        </w:rPr>
        <w:t> 歲以上之老人、或體重小於 </w:t>
      </w:r>
      <w:r>
        <w:rPr>
          <w:sz w:val="24"/>
        </w:rPr>
        <w:t>50kg</w:t>
      </w:r>
      <w:r>
        <w:rPr>
          <w:spacing w:val="-10"/>
          <w:sz w:val="24"/>
        </w:rPr>
        <w:t> 者，可考慮給予每日依體重 </w:t>
      </w:r>
      <w:r>
        <w:rPr>
          <w:sz w:val="24"/>
        </w:rPr>
        <w:t>10mg/kg</w:t>
      </w:r>
    </w:p>
    <w:p>
      <w:pPr>
        <w:pStyle w:val="BodyText"/>
        <w:spacing w:line="412" w:lineRule="exact"/>
        <w:ind w:left="1346" w:right="6535"/>
        <w:jc w:val="center"/>
      </w:pPr>
      <w:r>
        <w:rPr/>
        <w:t>或每日劑量 500-750 mg。</w:t>
      </w:r>
    </w:p>
    <w:p>
      <w:pPr>
        <w:pStyle w:val="ListParagraph"/>
        <w:numPr>
          <w:ilvl w:val="1"/>
          <w:numId w:val="56"/>
        </w:numPr>
        <w:tabs>
          <w:tab w:pos="1450" w:val="left" w:leader="none"/>
        </w:tabs>
        <w:spacing w:line="412" w:lineRule="exact" w:before="0" w:after="0"/>
        <w:ind w:left="1449" w:right="5237" w:hanging="1450"/>
        <w:jc w:val="left"/>
        <w:rPr>
          <w:sz w:val="24"/>
        </w:rPr>
      </w:pPr>
      <w:r>
        <w:rPr>
          <w:spacing w:val="3"/>
          <w:sz w:val="24"/>
        </w:rPr>
        <w:t>兒童劑量請參閱本指引第八章。</w:t>
      </w:r>
    </w:p>
    <w:p>
      <w:pPr>
        <w:pStyle w:val="ListParagraph"/>
        <w:numPr>
          <w:ilvl w:val="1"/>
          <w:numId w:val="56"/>
        </w:numPr>
        <w:tabs>
          <w:tab w:pos="1450" w:val="left" w:leader="none"/>
        </w:tabs>
        <w:spacing w:line="412" w:lineRule="exact" w:before="0" w:after="0"/>
        <w:ind w:left="1449" w:right="0" w:hanging="488"/>
        <w:jc w:val="both"/>
        <w:rPr>
          <w:sz w:val="24"/>
        </w:rPr>
      </w:pPr>
      <w:r>
        <w:rPr>
          <w:spacing w:val="2"/>
          <w:sz w:val="24"/>
        </w:rPr>
        <w:t>孕婦、聽神經障礙者、重症肌無力病人為禁忌症。</w:t>
      </w:r>
    </w:p>
    <w:p>
      <w:pPr>
        <w:pStyle w:val="ListParagraph"/>
        <w:numPr>
          <w:ilvl w:val="1"/>
          <w:numId w:val="56"/>
        </w:numPr>
        <w:tabs>
          <w:tab w:pos="1442" w:val="left" w:leader="none"/>
        </w:tabs>
        <w:spacing w:line="223" w:lineRule="auto" w:before="7" w:after="0"/>
        <w:ind w:left="1442" w:right="1241" w:hanging="480"/>
        <w:jc w:val="both"/>
        <w:rPr>
          <w:sz w:val="24"/>
        </w:rPr>
      </w:pPr>
      <w:r>
        <w:rPr>
          <w:spacing w:val="-3"/>
          <w:sz w:val="24"/>
        </w:rPr>
        <w:t>腎功能不全者，需調整給藥頻率為一週 </w:t>
      </w:r>
      <w:r>
        <w:rPr>
          <w:sz w:val="24"/>
        </w:rPr>
        <w:t>2-3</w:t>
      </w:r>
      <w:r>
        <w:rPr>
          <w:spacing w:val="-4"/>
          <w:sz w:val="24"/>
        </w:rPr>
        <w:t> 次，每次劑量則可維持 </w:t>
      </w:r>
      <w:r>
        <w:rPr>
          <w:spacing w:val="-8"/>
          <w:sz w:val="24"/>
        </w:rPr>
        <w:t>15（12-18） </w:t>
      </w:r>
      <w:r>
        <w:rPr>
          <w:sz w:val="24"/>
        </w:rPr>
        <w:t>mg/kg</w:t>
      </w:r>
      <w:r>
        <w:rPr>
          <w:spacing w:val="2"/>
          <w:sz w:val="24"/>
        </w:rPr>
        <w:t> 不變；血液透析病人，於透析後使用。</w:t>
      </w:r>
    </w:p>
    <w:p>
      <w:pPr>
        <w:pStyle w:val="ListParagraph"/>
        <w:numPr>
          <w:ilvl w:val="3"/>
          <w:numId w:val="43"/>
        </w:numPr>
        <w:tabs>
          <w:tab w:pos="964" w:val="left" w:leader="none"/>
        </w:tabs>
        <w:spacing w:line="408" w:lineRule="exact" w:before="0" w:after="0"/>
        <w:ind w:left="963" w:right="0" w:hanging="245"/>
        <w:jc w:val="both"/>
        <w:rPr>
          <w:sz w:val="24"/>
        </w:rPr>
      </w:pPr>
      <w:r>
        <w:rPr>
          <w:spacing w:val="2"/>
          <w:sz w:val="24"/>
        </w:rPr>
        <w:t>不良反應：</w:t>
      </w:r>
    </w:p>
    <w:p>
      <w:pPr>
        <w:pStyle w:val="ListParagraph"/>
        <w:numPr>
          <w:ilvl w:val="1"/>
          <w:numId w:val="57"/>
        </w:numPr>
        <w:tabs>
          <w:tab w:pos="1442" w:val="left" w:leader="none"/>
        </w:tabs>
        <w:spacing w:line="412" w:lineRule="exact" w:before="0" w:after="0"/>
        <w:ind w:left="1442" w:right="0" w:hanging="480"/>
        <w:jc w:val="both"/>
        <w:rPr>
          <w:sz w:val="24"/>
        </w:rPr>
      </w:pPr>
      <w:r>
        <w:rPr>
          <w:sz w:val="24"/>
        </w:rPr>
        <w:t>常見的副作用為注射處疼痛、肌肉僵硬。</w:t>
      </w:r>
    </w:p>
    <w:p>
      <w:pPr>
        <w:pStyle w:val="ListParagraph"/>
        <w:numPr>
          <w:ilvl w:val="1"/>
          <w:numId w:val="57"/>
        </w:numPr>
        <w:tabs>
          <w:tab w:pos="1442" w:val="left" w:leader="none"/>
        </w:tabs>
        <w:spacing w:line="412" w:lineRule="exact" w:before="0" w:after="0"/>
        <w:ind w:left="1442" w:right="0" w:hanging="480"/>
        <w:jc w:val="both"/>
        <w:rPr>
          <w:sz w:val="24"/>
        </w:rPr>
      </w:pPr>
      <w:r>
        <w:rPr>
          <w:sz w:val="24"/>
        </w:rPr>
        <w:t>耳毒性（ototoxity）、暈眩、聽力或平衡障礙可能發生。</w:t>
      </w:r>
    </w:p>
    <w:p>
      <w:pPr>
        <w:pStyle w:val="ListParagraph"/>
        <w:numPr>
          <w:ilvl w:val="1"/>
          <w:numId w:val="57"/>
        </w:numPr>
        <w:tabs>
          <w:tab w:pos="1442" w:val="left" w:leader="none"/>
        </w:tabs>
        <w:spacing w:line="223" w:lineRule="auto" w:before="8" w:after="0"/>
        <w:ind w:left="1442" w:right="1361" w:hanging="480"/>
        <w:jc w:val="both"/>
        <w:rPr>
          <w:sz w:val="24"/>
        </w:rPr>
      </w:pPr>
      <w:r>
        <w:rPr>
          <w:spacing w:val="-11"/>
          <w:sz w:val="24"/>
        </w:rPr>
        <w:t>腎毒性偶亦發生，對腎功能障礙或同時使用其他腎毒性藥物之病人，會增加其腎</w:t>
      </w:r>
      <w:r>
        <w:rPr>
          <w:sz w:val="24"/>
        </w:rPr>
        <w:t>毒性的機會。</w:t>
      </w:r>
    </w:p>
    <w:p>
      <w:pPr>
        <w:pStyle w:val="ListParagraph"/>
        <w:numPr>
          <w:ilvl w:val="1"/>
          <w:numId w:val="57"/>
        </w:numPr>
        <w:tabs>
          <w:tab w:pos="1442" w:val="left" w:leader="none"/>
        </w:tabs>
        <w:spacing w:line="223" w:lineRule="auto" w:before="3" w:after="0"/>
        <w:ind w:left="1442" w:right="1298" w:hanging="480"/>
        <w:jc w:val="both"/>
        <w:rPr>
          <w:sz w:val="24"/>
        </w:rPr>
      </w:pPr>
      <w:r>
        <w:rPr>
          <w:spacing w:val="-6"/>
          <w:sz w:val="24"/>
        </w:rPr>
        <w:t>耳毒性或腎毒性較易發生在高齡病人，且與累積劑量及最高血中藥物濃度有關。</w:t>
      </w:r>
      <w:r>
        <w:rPr>
          <w:spacing w:val="-11"/>
          <w:sz w:val="24"/>
        </w:rPr>
        <w:t>因此，用藥前最好先檢查一下聽力與平衡功能，除非不得已，累積劑量最好不超過 120</w:t>
      </w:r>
      <w:r>
        <w:rPr>
          <w:spacing w:val="-1"/>
          <w:sz w:val="24"/>
        </w:rPr>
        <w:t> </w:t>
      </w:r>
      <w:r>
        <w:rPr>
          <w:sz w:val="24"/>
        </w:rPr>
        <w:t>gm。</w:t>
      </w:r>
    </w:p>
    <w:p>
      <w:pPr>
        <w:pStyle w:val="ListParagraph"/>
        <w:numPr>
          <w:ilvl w:val="3"/>
          <w:numId w:val="43"/>
        </w:numPr>
        <w:tabs>
          <w:tab w:pos="964" w:val="left" w:leader="none"/>
        </w:tabs>
        <w:spacing w:line="409" w:lineRule="exact" w:before="0" w:after="0"/>
        <w:ind w:left="963" w:right="0" w:hanging="245"/>
        <w:jc w:val="both"/>
        <w:rPr>
          <w:sz w:val="24"/>
        </w:rPr>
      </w:pPr>
      <w:r>
        <w:rPr>
          <w:spacing w:val="2"/>
          <w:sz w:val="24"/>
        </w:rPr>
        <w:t>罕見不良反應：</w:t>
      </w:r>
    </w:p>
    <w:p>
      <w:pPr>
        <w:pStyle w:val="ListParagraph"/>
        <w:numPr>
          <w:ilvl w:val="1"/>
          <w:numId w:val="58"/>
        </w:numPr>
        <w:tabs>
          <w:tab w:pos="1450" w:val="left" w:leader="none"/>
        </w:tabs>
        <w:spacing w:line="223" w:lineRule="auto" w:before="8" w:after="0"/>
        <w:ind w:left="1449" w:right="1362" w:hanging="488"/>
        <w:jc w:val="both"/>
        <w:rPr>
          <w:sz w:val="24"/>
        </w:rPr>
      </w:pPr>
      <w:r>
        <w:rPr>
          <w:sz w:val="24"/>
        </w:rPr>
        <w:t>阻斷神經肌肉傳導，重症肌無力或使用肌肉鬆弛劑如箭毒類藥物（curare-like medications）</w:t>
      </w:r>
      <w:r>
        <w:rPr>
          <w:spacing w:val="3"/>
          <w:sz w:val="24"/>
        </w:rPr>
        <w:t>病人要特別小心。</w:t>
      </w:r>
    </w:p>
    <w:p>
      <w:pPr>
        <w:spacing w:after="0" w:line="223" w:lineRule="auto"/>
        <w:jc w:val="both"/>
        <w:rPr>
          <w:sz w:val="24"/>
        </w:rPr>
        <w:sectPr>
          <w:pgSz w:w="12250" w:h="17190"/>
          <w:pgMar w:header="0" w:footer="748" w:top="1460" w:bottom="1020" w:left="1180" w:right="0"/>
        </w:sectPr>
      </w:pPr>
    </w:p>
    <w:p>
      <w:pPr>
        <w:pStyle w:val="ListParagraph"/>
        <w:numPr>
          <w:ilvl w:val="1"/>
          <w:numId w:val="58"/>
        </w:numPr>
        <w:tabs>
          <w:tab w:pos="1450" w:val="left" w:leader="none"/>
        </w:tabs>
        <w:spacing w:line="220" w:lineRule="auto" w:before="44" w:after="0"/>
        <w:ind w:left="1449" w:right="1363" w:hanging="488"/>
        <w:jc w:val="both"/>
        <w:rPr>
          <w:sz w:val="24"/>
        </w:rPr>
      </w:pPr>
      <w:r>
        <w:rPr/>
        <w:pict>
          <v:group style="position:absolute;margin-left:571.5pt;margin-top:.69398pt;width:40.9pt;height:316.05pt;mso-position-horizontal-relative:page;mso-position-vertical-relative:paragraph;z-index:251740160" coordorigin="11430,14" coordsize="818,6321">
            <v:shape style="position:absolute;left:11430;top:13;width:818;height:6321" coordorigin="11430,14" coordsize="818,6321" path="m12247,14l11595,14,11531,27,11478,62,11443,115,11430,179,11430,6170,11443,6234,11478,6286,11531,6322,11595,6335,12247,6335,12247,14xe" filled="true" fillcolor="#a6a6a6" stroked="false">
              <v:path arrowok="t"/>
              <v:fill type="solid"/>
            </v:shape>
            <v:shape style="position:absolute;left:11430;top:13;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sz w:val="24"/>
        </w:rPr>
        <w:t>偶亦發生注射後頭暈或嘴周圍感覺異常(circumoral</w:t>
      </w:r>
      <w:r>
        <w:rPr>
          <w:spacing w:val="13"/>
          <w:sz w:val="24"/>
        </w:rPr>
        <w:t> </w:t>
      </w:r>
      <w:r>
        <w:rPr>
          <w:sz w:val="24"/>
        </w:rPr>
        <w:t>paresthesias</w:t>
      </w:r>
      <w:r>
        <w:rPr>
          <w:spacing w:val="3"/>
          <w:sz w:val="24"/>
        </w:rPr>
        <w:t>)，通常對身體無害。</w:t>
      </w:r>
    </w:p>
    <w:p>
      <w:pPr>
        <w:pStyle w:val="ListParagraph"/>
        <w:numPr>
          <w:ilvl w:val="3"/>
          <w:numId w:val="43"/>
        </w:numPr>
        <w:tabs>
          <w:tab w:pos="964" w:val="left" w:leader="none"/>
        </w:tabs>
        <w:spacing w:line="402" w:lineRule="exact" w:before="0" w:after="0"/>
        <w:ind w:left="963" w:right="0" w:hanging="245"/>
        <w:jc w:val="both"/>
        <w:rPr>
          <w:sz w:val="24"/>
        </w:rPr>
      </w:pPr>
      <w:r>
        <w:rPr>
          <w:spacing w:val="2"/>
          <w:sz w:val="24"/>
        </w:rPr>
        <w:t>藥物交互作用：</w:t>
      </w:r>
    </w:p>
    <w:p>
      <w:pPr>
        <w:pStyle w:val="ListParagraph"/>
        <w:numPr>
          <w:ilvl w:val="1"/>
          <w:numId w:val="59"/>
        </w:numPr>
        <w:tabs>
          <w:tab w:pos="1450" w:val="left" w:leader="none"/>
        </w:tabs>
        <w:spacing w:line="406" w:lineRule="exact" w:before="0" w:after="0"/>
        <w:ind w:left="1449" w:right="0" w:hanging="489"/>
        <w:jc w:val="both"/>
        <w:rPr>
          <w:sz w:val="24"/>
        </w:rPr>
      </w:pPr>
      <w:r>
        <w:rPr>
          <w:spacing w:val="3"/>
          <w:sz w:val="24"/>
        </w:rPr>
        <w:t>與 </w:t>
      </w:r>
      <w:r>
        <w:rPr>
          <w:sz w:val="24"/>
        </w:rPr>
        <w:t>loop</w:t>
      </w:r>
      <w:r>
        <w:rPr>
          <w:spacing w:val="4"/>
          <w:sz w:val="24"/>
        </w:rPr>
        <w:t> </w:t>
      </w:r>
      <w:r>
        <w:rPr>
          <w:sz w:val="24"/>
        </w:rPr>
        <w:t>diuretics</w:t>
      </w:r>
      <w:r>
        <w:rPr>
          <w:spacing w:val="2"/>
          <w:sz w:val="24"/>
        </w:rPr>
        <w:t> 利尿劑合併使用時，可能增加其耳毒性。</w:t>
      </w:r>
    </w:p>
    <w:p>
      <w:pPr>
        <w:pStyle w:val="ListParagraph"/>
        <w:numPr>
          <w:ilvl w:val="1"/>
          <w:numId w:val="59"/>
        </w:numPr>
        <w:tabs>
          <w:tab w:pos="1450" w:val="left" w:leader="none"/>
        </w:tabs>
        <w:spacing w:line="220" w:lineRule="auto" w:before="8" w:after="0"/>
        <w:ind w:left="1449" w:right="1363" w:hanging="488"/>
        <w:jc w:val="both"/>
        <w:rPr>
          <w:sz w:val="24"/>
        </w:rPr>
      </w:pPr>
      <w:r>
        <w:rPr>
          <w:spacing w:val="6"/>
          <w:sz w:val="24"/>
        </w:rPr>
        <w:t>與 </w:t>
      </w:r>
      <w:r>
        <w:rPr>
          <w:sz w:val="24"/>
        </w:rPr>
        <w:t>non-depolarizing</w:t>
      </w:r>
      <w:r>
        <w:rPr>
          <w:spacing w:val="30"/>
          <w:sz w:val="24"/>
        </w:rPr>
        <w:t> </w:t>
      </w:r>
      <w:r>
        <w:rPr>
          <w:sz w:val="24"/>
        </w:rPr>
        <w:t>muscle</w:t>
      </w:r>
      <w:r>
        <w:rPr>
          <w:spacing w:val="33"/>
          <w:sz w:val="24"/>
        </w:rPr>
        <w:t> </w:t>
      </w:r>
      <w:r>
        <w:rPr>
          <w:sz w:val="24"/>
        </w:rPr>
        <w:t>relaxants</w:t>
      </w:r>
      <w:r>
        <w:rPr>
          <w:spacing w:val="2"/>
          <w:sz w:val="24"/>
        </w:rPr>
        <w:t> 併用時可能造成呼吸抑制，需謹慎小</w:t>
      </w:r>
      <w:r>
        <w:rPr>
          <w:spacing w:val="4"/>
          <w:sz w:val="24"/>
        </w:rPr>
        <w:t>心。</w:t>
      </w:r>
    </w:p>
    <w:p>
      <w:pPr>
        <w:pStyle w:val="ListParagraph"/>
        <w:numPr>
          <w:ilvl w:val="1"/>
          <w:numId w:val="59"/>
        </w:numPr>
        <w:tabs>
          <w:tab w:pos="1450" w:val="left" w:leader="none"/>
        </w:tabs>
        <w:spacing w:line="220" w:lineRule="auto" w:before="0" w:after="0"/>
        <w:ind w:left="1449" w:right="1363" w:hanging="488"/>
        <w:jc w:val="both"/>
        <w:rPr>
          <w:sz w:val="24"/>
        </w:rPr>
      </w:pPr>
      <w:r>
        <w:rPr>
          <w:spacing w:val="9"/>
          <w:sz w:val="24"/>
        </w:rPr>
        <w:t>與 </w:t>
      </w:r>
      <w:r>
        <w:rPr>
          <w:sz w:val="24"/>
        </w:rPr>
        <w:t>amphotericin</w:t>
      </w:r>
      <w:r>
        <w:rPr>
          <w:spacing w:val="45"/>
          <w:sz w:val="24"/>
        </w:rPr>
        <w:t> </w:t>
      </w:r>
      <w:r>
        <w:rPr>
          <w:sz w:val="24"/>
        </w:rPr>
        <w:t>B</w:t>
      </w:r>
      <w:r>
        <w:rPr>
          <w:spacing w:val="4"/>
          <w:sz w:val="24"/>
        </w:rPr>
        <w:t>、</w:t>
      </w:r>
      <w:r>
        <w:rPr>
          <w:sz w:val="24"/>
        </w:rPr>
        <w:t>foscarnet</w:t>
      </w:r>
      <w:r>
        <w:rPr>
          <w:spacing w:val="4"/>
          <w:sz w:val="24"/>
        </w:rPr>
        <w:t>、</w:t>
      </w:r>
      <w:r>
        <w:rPr>
          <w:sz w:val="24"/>
        </w:rPr>
        <w:t>cidofovir</w:t>
      </w:r>
      <w:r>
        <w:rPr>
          <w:spacing w:val="3"/>
          <w:sz w:val="24"/>
        </w:rPr>
        <w:t> 等合併使用時，需密切監測腎功</w:t>
      </w:r>
      <w:r>
        <w:rPr>
          <w:spacing w:val="4"/>
          <w:sz w:val="24"/>
        </w:rPr>
        <w:t>能。</w:t>
      </w:r>
    </w:p>
    <w:p>
      <w:pPr>
        <w:pStyle w:val="Heading7"/>
        <w:numPr>
          <w:ilvl w:val="2"/>
          <w:numId w:val="43"/>
        </w:numPr>
        <w:tabs>
          <w:tab w:pos="973" w:val="left" w:leader="none"/>
        </w:tabs>
        <w:spacing w:line="240" w:lineRule="auto" w:before="209" w:after="0"/>
        <w:ind w:left="972" w:right="0" w:hanging="671"/>
        <w:jc w:val="both"/>
      </w:pPr>
      <w:r>
        <w:rPr/>
        <w:t>Rifabutin</w:t>
      </w:r>
      <w:r>
        <w:rPr>
          <w:spacing w:val="3"/>
        </w:rPr>
        <w:t> </w:t>
      </w:r>
      <w:r>
        <w:rPr/>
        <w:t>(RFB)</w:t>
      </w:r>
    </w:p>
    <w:p>
      <w:pPr>
        <w:pStyle w:val="ListParagraph"/>
        <w:numPr>
          <w:ilvl w:val="3"/>
          <w:numId w:val="43"/>
        </w:numPr>
        <w:tabs>
          <w:tab w:pos="964" w:val="left" w:leader="none"/>
        </w:tabs>
        <w:spacing w:line="218" w:lineRule="auto" w:before="30" w:after="0"/>
        <w:ind w:left="963" w:right="1302" w:hanging="244"/>
        <w:jc w:val="both"/>
        <w:rPr>
          <w:i/>
          <w:sz w:val="25"/>
        </w:rPr>
      </w:pPr>
      <w:r>
        <w:rPr/>
        <w:pict>
          <v:shape style="position:absolute;margin-left:574.289001pt;margin-top:12.822078pt;width:16.650pt;height:5.55pt;mso-position-horizontal-relative:page;mso-position-vertical-relative:paragraph;z-index:251742208"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2"/>
          <w:sz w:val="24"/>
        </w:rPr>
        <w:t>藥理作用：</w:t>
      </w:r>
      <w:r>
        <w:rPr>
          <w:sz w:val="24"/>
        </w:rPr>
        <w:t>RFB</w:t>
      </w:r>
      <w:r>
        <w:rPr>
          <w:spacing w:val="18"/>
          <w:sz w:val="24"/>
        </w:rPr>
        <w:t> 是 </w:t>
      </w:r>
      <w:r>
        <w:rPr>
          <w:sz w:val="24"/>
        </w:rPr>
        <w:t>rifamycin</w:t>
      </w:r>
      <w:r>
        <w:rPr>
          <w:spacing w:val="5"/>
          <w:sz w:val="24"/>
        </w:rPr>
        <w:t> 的一種衍生物，但 </w:t>
      </w:r>
      <w:r>
        <w:rPr>
          <w:sz w:val="24"/>
        </w:rPr>
        <w:t>RFB</w:t>
      </w:r>
      <w:r>
        <w:rPr>
          <w:spacing w:val="3"/>
          <w:sz w:val="24"/>
        </w:rPr>
        <w:t> 在不影響核糖核酸(</w:t>
      </w:r>
      <w:r>
        <w:rPr>
          <w:sz w:val="24"/>
        </w:rPr>
        <w:t>RNA</w:t>
      </w:r>
      <w:r>
        <w:rPr>
          <w:spacing w:val="3"/>
          <w:sz w:val="24"/>
        </w:rPr>
        <w:t>) 或</w:t>
      </w:r>
      <w:r>
        <w:rPr>
          <w:spacing w:val="2"/>
          <w:sz w:val="24"/>
        </w:rPr>
        <w:t>蛋白質合成的情形下能抑制胸腺嘧啶攝入至細菌的去氧核糖核酸(</w:t>
      </w:r>
      <w:r>
        <w:rPr>
          <w:sz w:val="24"/>
        </w:rPr>
        <w:t>DNA</w:t>
      </w:r>
      <w:r>
        <w:rPr>
          <w:spacing w:val="-1"/>
          <w:sz w:val="24"/>
        </w:rPr>
        <w:t>)內，其作用</w:t>
      </w:r>
      <w:r>
        <w:rPr>
          <w:spacing w:val="-5"/>
          <w:sz w:val="24"/>
        </w:rPr>
        <w:t>機轉與 </w:t>
      </w:r>
      <w:r>
        <w:rPr>
          <w:sz w:val="24"/>
        </w:rPr>
        <w:t>RMP</w:t>
      </w:r>
      <w:r>
        <w:rPr>
          <w:spacing w:val="-13"/>
          <w:sz w:val="24"/>
        </w:rPr>
        <w:t> 不完全相同。在體外及實驗動物中，對 </w:t>
      </w:r>
      <w:r>
        <w:rPr>
          <w:i/>
          <w:sz w:val="25"/>
        </w:rPr>
        <w:t>M</w:t>
      </w:r>
      <w:r>
        <w:rPr>
          <w:i/>
          <w:spacing w:val="-18"/>
          <w:sz w:val="25"/>
        </w:rPr>
        <w:t>. </w:t>
      </w:r>
      <w:r>
        <w:rPr>
          <w:i/>
          <w:sz w:val="25"/>
        </w:rPr>
        <w:t>tuberculosis</w:t>
      </w:r>
      <w:r>
        <w:rPr>
          <w:i/>
          <w:spacing w:val="-32"/>
          <w:sz w:val="25"/>
        </w:rPr>
        <w:t>、</w:t>
      </w:r>
      <w:r>
        <w:rPr>
          <w:i/>
          <w:sz w:val="25"/>
        </w:rPr>
        <w:t>M</w:t>
      </w:r>
      <w:r>
        <w:rPr>
          <w:i/>
          <w:spacing w:val="-18"/>
          <w:sz w:val="25"/>
        </w:rPr>
        <w:t>. </w:t>
      </w:r>
      <w:r>
        <w:rPr>
          <w:i/>
          <w:spacing w:val="-4"/>
          <w:sz w:val="25"/>
        </w:rPr>
        <w:t>kansasii</w:t>
      </w:r>
      <w:r>
        <w:rPr>
          <w:i/>
          <w:sz w:val="25"/>
        </w:rPr>
        <w:t>、</w:t>
      </w:r>
    </w:p>
    <w:p>
      <w:pPr>
        <w:spacing w:line="397" w:lineRule="exact" w:before="0"/>
        <w:ind w:left="963" w:right="0" w:firstLine="0"/>
        <w:jc w:val="both"/>
        <w:rPr>
          <w:sz w:val="24"/>
        </w:rPr>
      </w:pPr>
      <w:r>
        <w:rPr>
          <w:i/>
          <w:sz w:val="25"/>
        </w:rPr>
        <w:t>M. marinum、M. xenopi、M. haemophilum</w:t>
      </w:r>
      <w:r>
        <w:rPr>
          <w:sz w:val="24"/>
        </w:rPr>
        <w:t>、及 </w:t>
      </w:r>
      <w:r>
        <w:rPr>
          <w:i/>
          <w:sz w:val="25"/>
        </w:rPr>
        <w:t>M. avium </w:t>
      </w:r>
      <w:r>
        <w:rPr>
          <w:sz w:val="24"/>
        </w:rPr>
        <w:t>complex 比 RMP</w:t>
      </w:r>
    </w:p>
    <w:p>
      <w:pPr>
        <w:pStyle w:val="BodyText"/>
        <w:spacing w:line="220" w:lineRule="auto" w:before="6"/>
        <w:ind w:left="963" w:right="1302"/>
        <w:jc w:val="both"/>
      </w:pPr>
      <w:r>
        <w:rPr/>
        <w:pict>
          <v:shape style="position:absolute;margin-left:574.289001pt;margin-top:26.421671pt;width:16.650pt;height:5.55pt;mso-position-horizontal-relative:page;mso-position-vertical-relative:paragraph;z-index:251741184"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3"/>
        </w:rPr>
        <w:t>更有活性，也能作用於一些抗 </w:t>
      </w:r>
      <w:r>
        <w:rPr/>
        <w:t>RMP</w:t>
      </w:r>
      <w:r>
        <w:rPr>
          <w:spacing w:val="-2"/>
        </w:rPr>
        <w:t> 的菌株。口服 </w:t>
      </w:r>
      <w:r>
        <w:rPr/>
        <w:t>RFB 胃腸道吸收良好，</w:t>
      </w:r>
      <w:r>
        <w:rPr>
          <w:color w:val="FF0000"/>
        </w:rPr>
        <w:t>Rifabutin </w:t>
      </w:r>
      <w:r>
        <w:rPr>
          <w:color w:val="FF0000"/>
          <w:spacing w:val="-3"/>
        </w:rPr>
        <w:t>不太受食物影響，但高脂肪食物可能會降低 </w:t>
      </w:r>
      <w:r>
        <w:rPr>
          <w:color w:val="FF0000"/>
        </w:rPr>
        <w:t>RFB</w:t>
      </w:r>
      <w:r>
        <w:rPr>
          <w:color w:val="FF0000"/>
          <w:spacing w:val="3"/>
        </w:rPr>
        <w:t> 腸道吸收</w:t>
      </w:r>
      <w:r>
        <w:rPr>
          <w:spacing w:val="-6"/>
        </w:rPr>
        <w:t>，服藥後 </w:t>
      </w:r>
      <w:r>
        <w:rPr/>
        <w:t>6</w:t>
      </w:r>
      <w:r>
        <w:rPr>
          <w:spacing w:val="-5"/>
        </w:rPr>
        <w:t> 小時，肺中的</w:t>
      </w:r>
      <w:r>
        <w:rPr>
          <w:spacing w:val="1"/>
        </w:rPr>
        <w:t>濃度比血漿中的濃度高 </w:t>
      </w:r>
      <w:r>
        <w:rPr/>
        <w:t>5~10</w:t>
      </w:r>
      <w:r>
        <w:rPr>
          <w:spacing w:val="-11"/>
        </w:rPr>
        <w:t> 倍，血中最低抑菌濃度(</w:t>
      </w:r>
      <w:r>
        <w:rPr/>
        <w:t>MIC)約 0.06 µg/mL(agar and broth media</w:t>
      </w:r>
      <w:r>
        <w:rPr>
          <w:spacing w:val="-4"/>
        </w:rPr>
        <w:t>)。雖然它在肝內發生代謝作用，但對肝功能異常的病人仍能應用，不</w:t>
      </w:r>
      <w:r>
        <w:rPr>
          <w:spacing w:val="3"/>
        </w:rPr>
        <w:t>會加重 </w:t>
      </w:r>
      <w:r>
        <w:rPr/>
        <w:t>INH</w:t>
      </w:r>
      <w:r>
        <w:rPr>
          <w:spacing w:val="-4"/>
        </w:rPr>
        <w:t> 對肝的毒性。兩種主要的代謝產物，</w:t>
      </w:r>
      <w:r>
        <w:rPr/>
        <w:t>31-OH RFB</w:t>
      </w:r>
      <w:r>
        <w:rPr>
          <w:spacing w:val="4"/>
        </w:rPr>
        <w:t> 與 </w:t>
      </w:r>
      <w:r>
        <w:rPr/>
        <w:t>25-deacetyl </w:t>
      </w:r>
      <w:r>
        <w:rPr>
          <w:spacing w:val="-4"/>
        </w:rPr>
        <w:t>RFB， </w:t>
      </w:r>
      <w:r>
        <w:rPr>
          <w:spacing w:val="2"/>
        </w:rPr>
        <w:t>皆對結核分枝桿菌具有活性。半衰期約 </w:t>
      </w:r>
      <w:r>
        <w:rPr/>
        <w:t>12</w:t>
      </w:r>
      <w:r>
        <w:rPr>
          <w:spacing w:val="2"/>
        </w:rPr>
        <w:t> 至 </w:t>
      </w:r>
      <w:r>
        <w:rPr/>
        <w:t>18</w:t>
      </w:r>
      <w:r>
        <w:rPr>
          <w:spacing w:val="3"/>
        </w:rPr>
        <w:t> 小時，適合間歇式給藥。</w:t>
      </w:r>
    </w:p>
    <w:p>
      <w:pPr>
        <w:pStyle w:val="ListParagraph"/>
        <w:numPr>
          <w:ilvl w:val="3"/>
          <w:numId w:val="43"/>
        </w:numPr>
        <w:tabs>
          <w:tab w:pos="964" w:val="left" w:leader="none"/>
        </w:tabs>
        <w:spacing w:line="429" w:lineRule="exact" w:before="7" w:after="0"/>
        <w:ind w:left="963" w:right="0" w:hanging="245"/>
        <w:jc w:val="both"/>
        <w:rPr>
          <w:sz w:val="24"/>
        </w:rPr>
      </w:pPr>
      <w:r>
        <w:rPr>
          <w:spacing w:val="2"/>
          <w:sz w:val="24"/>
        </w:rPr>
        <w:t>治療劑量：</w:t>
      </w:r>
    </w:p>
    <w:p>
      <w:pPr>
        <w:pStyle w:val="ListParagraph"/>
        <w:numPr>
          <w:ilvl w:val="1"/>
          <w:numId w:val="60"/>
        </w:numPr>
        <w:tabs>
          <w:tab w:pos="1450" w:val="left" w:leader="none"/>
        </w:tabs>
        <w:spacing w:line="415" w:lineRule="exact" w:before="0" w:after="0"/>
        <w:ind w:left="1449" w:right="0" w:hanging="489"/>
        <w:jc w:val="both"/>
        <w:rPr>
          <w:sz w:val="24"/>
        </w:rPr>
      </w:pPr>
      <w:r>
        <w:rPr>
          <w:spacing w:val="3"/>
          <w:sz w:val="24"/>
        </w:rPr>
        <w:t>每日 </w:t>
      </w:r>
      <w:r>
        <w:rPr>
          <w:sz w:val="24"/>
        </w:rPr>
        <w:t>5</w:t>
      </w:r>
      <w:r>
        <w:rPr>
          <w:spacing w:val="-8"/>
          <w:sz w:val="24"/>
        </w:rPr>
        <w:t> </w:t>
      </w:r>
      <w:r>
        <w:rPr>
          <w:sz w:val="24"/>
        </w:rPr>
        <w:t>mg/kg</w:t>
      </w:r>
      <w:r>
        <w:rPr>
          <w:spacing w:val="1"/>
          <w:sz w:val="24"/>
        </w:rPr>
        <w:t> 劑量(最高劑量 </w:t>
      </w:r>
      <w:r>
        <w:rPr>
          <w:sz w:val="24"/>
        </w:rPr>
        <w:t>300</w:t>
      </w:r>
      <w:r>
        <w:rPr>
          <w:spacing w:val="-7"/>
          <w:sz w:val="24"/>
        </w:rPr>
        <w:t> </w:t>
      </w:r>
      <w:r>
        <w:rPr>
          <w:sz w:val="24"/>
        </w:rPr>
        <w:t>mg</w:t>
      </w:r>
      <w:r>
        <w:rPr>
          <w:spacing w:val="2"/>
          <w:sz w:val="24"/>
        </w:rPr>
        <w:t>)的 </w:t>
      </w:r>
      <w:r>
        <w:rPr>
          <w:sz w:val="24"/>
        </w:rPr>
        <w:t>RFB</w:t>
      </w:r>
      <w:r>
        <w:rPr>
          <w:spacing w:val="1"/>
          <w:sz w:val="24"/>
        </w:rPr>
        <w:t>，其療效和每天 </w:t>
      </w:r>
      <w:r>
        <w:rPr>
          <w:sz w:val="24"/>
        </w:rPr>
        <w:t>10</w:t>
      </w:r>
      <w:r>
        <w:rPr>
          <w:spacing w:val="-8"/>
          <w:sz w:val="24"/>
        </w:rPr>
        <w:t> </w:t>
      </w:r>
      <w:r>
        <w:rPr>
          <w:sz w:val="24"/>
        </w:rPr>
        <w:t>mg/kg</w:t>
      </w:r>
      <w:r>
        <w:rPr>
          <w:spacing w:val="3"/>
          <w:sz w:val="24"/>
        </w:rPr>
        <w:t> 劑量</w:t>
      </w:r>
    </w:p>
    <w:p>
      <w:pPr>
        <w:pStyle w:val="BodyText"/>
        <w:spacing w:line="412" w:lineRule="exact"/>
        <w:ind w:left="1449"/>
        <w:jc w:val="both"/>
      </w:pPr>
      <w:r>
        <w:rPr/>
        <w:t>(最高劑量 600 mg)的 RMP 相當。</w:t>
      </w:r>
    </w:p>
    <w:p>
      <w:pPr>
        <w:pStyle w:val="ListParagraph"/>
        <w:numPr>
          <w:ilvl w:val="1"/>
          <w:numId w:val="60"/>
        </w:numPr>
        <w:tabs>
          <w:tab w:pos="1450" w:val="left" w:leader="none"/>
        </w:tabs>
        <w:spacing w:line="412" w:lineRule="exact" w:before="0" w:after="0"/>
        <w:ind w:left="1449" w:right="0" w:hanging="489"/>
        <w:jc w:val="both"/>
        <w:rPr>
          <w:sz w:val="24"/>
        </w:rPr>
      </w:pPr>
      <w:r>
        <w:rPr>
          <w:spacing w:val="3"/>
          <w:sz w:val="24"/>
        </w:rPr>
        <w:t>兒童劑量請參閱本指引第八章，兒童及孕婦在劑量及安全性資料相對缺乏。</w:t>
      </w:r>
    </w:p>
    <w:p>
      <w:pPr>
        <w:pStyle w:val="ListParagraph"/>
        <w:numPr>
          <w:ilvl w:val="1"/>
          <w:numId w:val="60"/>
        </w:numPr>
        <w:tabs>
          <w:tab w:pos="1450" w:val="left" w:leader="none"/>
        </w:tabs>
        <w:spacing w:line="223" w:lineRule="auto" w:before="7" w:after="0"/>
        <w:ind w:left="1449" w:right="1363" w:hanging="488"/>
        <w:jc w:val="both"/>
        <w:rPr>
          <w:sz w:val="24"/>
        </w:rPr>
      </w:pPr>
      <w:r>
        <w:rPr>
          <w:spacing w:val="-14"/>
          <w:sz w:val="24"/>
        </w:rPr>
        <w:t>輕中度腎功能不全者，不需調整劑量。嚴重腎功能不全</w:t>
      </w:r>
      <w:r>
        <w:rPr>
          <w:spacing w:val="7"/>
          <w:sz w:val="24"/>
        </w:rPr>
        <w:t>（</w:t>
      </w:r>
      <w:r>
        <w:rPr>
          <w:spacing w:val="5"/>
          <w:sz w:val="24"/>
        </w:rPr>
        <w:t>肌酸酐廓清率 </w:t>
      </w:r>
      <w:r>
        <w:rPr>
          <w:spacing w:val="3"/>
          <w:sz w:val="24"/>
        </w:rPr>
        <w:t>Ccr&lt;30 </w:t>
      </w:r>
      <w:r>
        <w:rPr>
          <w:sz w:val="24"/>
        </w:rPr>
        <w:t>ml/min</w:t>
      </w:r>
      <w:r>
        <w:rPr>
          <w:spacing w:val="2"/>
          <w:sz w:val="24"/>
        </w:rPr>
        <w:t>，劑量須減半。</w:t>
      </w:r>
      <w:r>
        <w:rPr>
          <w:sz w:val="24"/>
        </w:rPr>
        <w:t>）</w:t>
      </w:r>
    </w:p>
    <w:p>
      <w:pPr>
        <w:pStyle w:val="ListParagraph"/>
        <w:numPr>
          <w:ilvl w:val="1"/>
          <w:numId w:val="60"/>
        </w:numPr>
        <w:tabs>
          <w:tab w:pos="1450" w:val="left" w:leader="none"/>
        </w:tabs>
        <w:spacing w:line="223" w:lineRule="auto" w:before="4" w:after="0"/>
        <w:ind w:left="1449" w:right="1361" w:hanging="488"/>
        <w:jc w:val="both"/>
        <w:rPr>
          <w:sz w:val="24"/>
        </w:rPr>
      </w:pPr>
      <w:r>
        <w:rPr>
          <w:spacing w:val="2"/>
          <w:sz w:val="24"/>
        </w:rPr>
        <w:t>使用抗病毒劑之 </w:t>
      </w:r>
      <w:r>
        <w:rPr>
          <w:sz w:val="24"/>
        </w:rPr>
        <w:t>HIV</w:t>
      </w:r>
      <w:r>
        <w:rPr>
          <w:spacing w:val="-3"/>
          <w:sz w:val="24"/>
        </w:rPr>
        <w:t> 感染者，若使用 </w:t>
      </w:r>
      <w:r>
        <w:rPr>
          <w:sz w:val="24"/>
        </w:rPr>
        <w:t>RFB</w:t>
      </w:r>
      <w:r>
        <w:rPr>
          <w:spacing w:val="3"/>
          <w:sz w:val="24"/>
        </w:rPr>
        <w:t> 取代 </w:t>
      </w:r>
      <w:r>
        <w:rPr>
          <w:sz w:val="24"/>
        </w:rPr>
        <w:t>RMP</w:t>
      </w:r>
      <w:r>
        <w:rPr>
          <w:spacing w:val="-4"/>
          <w:sz w:val="24"/>
        </w:rPr>
        <w:t> 時，其劑量請參考本書第</w:t>
      </w:r>
      <w:r>
        <w:rPr>
          <w:spacing w:val="3"/>
          <w:sz w:val="24"/>
        </w:rPr>
        <w:t>九章。</w:t>
      </w:r>
    </w:p>
    <w:p>
      <w:pPr>
        <w:pStyle w:val="ListParagraph"/>
        <w:numPr>
          <w:ilvl w:val="1"/>
          <w:numId w:val="60"/>
        </w:numPr>
        <w:tabs>
          <w:tab w:pos="1450" w:val="left" w:leader="none"/>
        </w:tabs>
        <w:spacing w:line="407" w:lineRule="exact" w:before="0" w:after="0"/>
        <w:ind w:left="1449" w:right="0" w:hanging="489"/>
        <w:jc w:val="both"/>
        <w:rPr>
          <w:sz w:val="24"/>
        </w:rPr>
      </w:pPr>
      <w:r>
        <w:rPr>
          <w:spacing w:val="3"/>
          <w:sz w:val="24"/>
        </w:rPr>
        <w:t>與 </w:t>
      </w:r>
      <w:r>
        <w:rPr>
          <w:sz w:val="24"/>
        </w:rPr>
        <w:t>RMP</w:t>
      </w:r>
      <w:r>
        <w:rPr>
          <w:spacing w:val="1"/>
          <w:sz w:val="24"/>
        </w:rPr>
        <w:t> 交叉抗藥雖高，在臺灣約 </w:t>
      </w:r>
      <w:r>
        <w:rPr>
          <w:sz w:val="24"/>
        </w:rPr>
        <w:t>13%RMP</w:t>
      </w:r>
      <w:r>
        <w:rPr>
          <w:spacing w:val="2"/>
          <w:sz w:val="24"/>
        </w:rPr>
        <w:t> 抗藥者，</w:t>
      </w:r>
      <w:r>
        <w:rPr>
          <w:sz w:val="24"/>
        </w:rPr>
        <w:t>RFB</w:t>
      </w:r>
      <w:r>
        <w:rPr>
          <w:spacing w:val="2"/>
          <w:sz w:val="24"/>
        </w:rPr>
        <w:t> 可能有效。</w:t>
      </w:r>
    </w:p>
    <w:p>
      <w:pPr>
        <w:pStyle w:val="ListParagraph"/>
        <w:numPr>
          <w:ilvl w:val="3"/>
          <w:numId w:val="43"/>
        </w:numPr>
        <w:tabs>
          <w:tab w:pos="964" w:val="left" w:leader="none"/>
        </w:tabs>
        <w:spacing w:line="412" w:lineRule="exact" w:before="0" w:after="0"/>
        <w:ind w:left="963" w:right="0" w:hanging="245"/>
        <w:jc w:val="both"/>
        <w:rPr>
          <w:sz w:val="24"/>
        </w:rPr>
      </w:pPr>
      <w:r>
        <w:rPr>
          <w:spacing w:val="2"/>
          <w:sz w:val="24"/>
        </w:rPr>
        <w:t>不良反應：</w:t>
      </w:r>
    </w:p>
    <w:p>
      <w:pPr>
        <w:pStyle w:val="ListParagraph"/>
        <w:numPr>
          <w:ilvl w:val="1"/>
          <w:numId w:val="61"/>
        </w:numPr>
        <w:tabs>
          <w:tab w:pos="1450" w:val="left" w:leader="none"/>
        </w:tabs>
        <w:spacing w:line="412" w:lineRule="exact" w:before="0" w:after="0"/>
        <w:ind w:left="1449" w:right="0" w:hanging="488"/>
        <w:jc w:val="both"/>
        <w:rPr>
          <w:sz w:val="24"/>
        </w:rPr>
      </w:pPr>
      <w:r>
        <w:rPr>
          <w:spacing w:val="2"/>
          <w:sz w:val="24"/>
        </w:rPr>
        <w:t>服用 </w:t>
      </w:r>
      <w:r>
        <w:rPr>
          <w:sz w:val="24"/>
        </w:rPr>
        <w:t>RFB</w:t>
      </w:r>
      <w:r>
        <w:rPr>
          <w:spacing w:val="3"/>
          <w:sz w:val="24"/>
        </w:rPr>
        <w:t> 時排尿、眼淚、咳痰均會變成橘紅色，需先告知病人。</w:t>
      </w:r>
    </w:p>
    <w:p>
      <w:pPr>
        <w:pStyle w:val="ListParagraph"/>
        <w:numPr>
          <w:ilvl w:val="1"/>
          <w:numId w:val="61"/>
        </w:numPr>
        <w:tabs>
          <w:tab w:pos="1450" w:val="left" w:leader="none"/>
        </w:tabs>
        <w:spacing w:line="225" w:lineRule="auto" w:before="4" w:after="0"/>
        <w:ind w:left="1449" w:right="1361" w:hanging="488"/>
        <w:jc w:val="both"/>
        <w:rPr>
          <w:sz w:val="24"/>
        </w:rPr>
      </w:pPr>
      <w:r>
        <w:rPr>
          <w:spacing w:val="4"/>
          <w:sz w:val="24"/>
        </w:rPr>
        <w:t>常見的副作用和 </w:t>
      </w:r>
      <w:r>
        <w:rPr>
          <w:sz w:val="24"/>
        </w:rPr>
        <w:t>RMP</w:t>
      </w:r>
      <w:r>
        <w:rPr>
          <w:spacing w:val="3"/>
          <w:sz w:val="24"/>
        </w:rPr>
        <w:t> 類似，有皮疹</w:t>
      </w:r>
      <w:r>
        <w:rPr>
          <w:sz w:val="24"/>
        </w:rPr>
        <w:t>/搔癢、腸胃不適、關節痛、肝毒性，RFB </w:t>
      </w:r>
      <w:r>
        <w:rPr>
          <w:spacing w:val="3"/>
          <w:sz w:val="24"/>
        </w:rPr>
        <w:t>可能較容易引起白血球減少</w:t>
      </w:r>
      <w:r>
        <w:rPr>
          <w:sz w:val="24"/>
        </w:rPr>
        <w:t>(5.9%，臺灣資料)等，須監測 CBC。</w:t>
      </w:r>
    </w:p>
    <w:p>
      <w:pPr>
        <w:pStyle w:val="ListParagraph"/>
        <w:numPr>
          <w:ilvl w:val="1"/>
          <w:numId w:val="61"/>
        </w:numPr>
        <w:tabs>
          <w:tab w:pos="1450" w:val="left" w:leader="none"/>
        </w:tabs>
        <w:spacing w:line="223" w:lineRule="auto" w:before="0" w:after="0"/>
        <w:ind w:left="1449" w:right="1361" w:hanging="488"/>
        <w:jc w:val="both"/>
        <w:rPr>
          <w:sz w:val="24"/>
        </w:rPr>
      </w:pPr>
      <w:r>
        <w:rPr>
          <w:spacing w:val="9"/>
          <w:sz w:val="24"/>
        </w:rPr>
        <w:t>高劑量 </w:t>
      </w:r>
      <w:r>
        <w:rPr>
          <w:sz w:val="24"/>
        </w:rPr>
        <w:t>RFB</w:t>
      </w:r>
      <w:r>
        <w:rPr>
          <w:spacing w:val="14"/>
          <w:sz w:val="24"/>
        </w:rPr>
        <w:t> 或與 </w:t>
      </w:r>
      <w:r>
        <w:rPr>
          <w:sz w:val="24"/>
        </w:rPr>
        <w:t>clarithromycin</w:t>
      </w:r>
      <w:r>
        <w:rPr>
          <w:spacing w:val="3"/>
          <w:sz w:val="24"/>
        </w:rPr>
        <w:t>、</w:t>
      </w:r>
      <w:r>
        <w:rPr>
          <w:sz w:val="24"/>
        </w:rPr>
        <w:t>fluconazole</w:t>
      </w:r>
      <w:r>
        <w:rPr>
          <w:spacing w:val="19"/>
          <w:sz w:val="24"/>
        </w:rPr>
        <w:t> 或 </w:t>
      </w:r>
      <w:r>
        <w:rPr>
          <w:sz w:val="24"/>
        </w:rPr>
        <w:t>protease</w:t>
      </w:r>
      <w:r>
        <w:rPr>
          <w:spacing w:val="44"/>
          <w:sz w:val="24"/>
        </w:rPr>
        <w:t> </w:t>
      </w:r>
      <w:r>
        <w:rPr>
          <w:sz w:val="24"/>
        </w:rPr>
        <w:t>inhibitors</w:t>
      </w:r>
      <w:r>
        <w:rPr>
          <w:spacing w:val="11"/>
          <w:sz w:val="24"/>
        </w:rPr>
        <w:t> 併用</w:t>
      </w:r>
      <w:r>
        <w:rPr>
          <w:spacing w:val="2"/>
          <w:sz w:val="24"/>
        </w:rPr>
        <w:t>時，易造成單側或雙側眼葡萄膜炎(</w:t>
      </w:r>
      <w:r>
        <w:rPr>
          <w:sz w:val="24"/>
        </w:rPr>
        <w:t>uveitis</w:t>
      </w:r>
      <w:r>
        <w:rPr>
          <w:spacing w:val="2"/>
          <w:sz w:val="24"/>
        </w:rPr>
        <w:t>, </w:t>
      </w:r>
      <w:r>
        <w:rPr>
          <w:sz w:val="24"/>
        </w:rPr>
        <w:t>8</w:t>
      </w:r>
      <w:r>
        <w:rPr>
          <w:spacing w:val="1"/>
          <w:sz w:val="24"/>
        </w:rPr>
        <w:t>%)，若立即停藥，可緩解。</w:t>
      </w:r>
    </w:p>
    <w:p>
      <w:pPr>
        <w:spacing w:after="0" w:line="223" w:lineRule="auto"/>
        <w:jc w:val="both"/>
        <w:rPr>
          <w:sz w:val="24"/>
        </w:rPr>
        <w:sectPr>
          <w:pgSz w:w="12250" w:h="17190"/>
          <w:pgMar w:header="0" w:footer="748" w:top="1460" w:bottom="1020" w:left="1180" w:right="0"/>
        </w:sectPr>
      </w:pPr>
    </w:p>
    <w:p>
      <w:pPr>
        <w:pStyle w:val="ListParagraph"/>
        <w:numPr>
          <w:ilvl w:val="3"/>
          <w:numId w:val="43"/>
        </w:numPr>
        <w:tabs>
          <w:tab w:pos="964" w:val="left" w:leader="none"/>
        </w:tabs>
        <w:spacing w:line="427" w:lineRule="exact" w:before="26" w:after="0"/>
        <w:ind w:left="963" w:right="0" w:hanging="245"/>
        <w:jc w:val="both"/>
        <w:rPr>
          <w:sz w:val="24"/>
        </w:rPr>
      </w:pPr>
      <w:r>
        <w:rPr>
          <w:spacing w:val="2"/>
          <w:sz w:val="24"/>
        </w:rPr>
        <w:t>罕見不良反應：</w:t>
      </w:r>
    </w:p>
    <w:p>
      <w:pPr>
        <w:pStyle w:val="ListParagraph"/>
        <w:numPr>
          <w:ilvl w:val="1"/>
          <w:numId w:val="62"/>
        </w:numPr>
        <w:tabs>
          <w:tab w:pos="1450" w:val="left" w:leader="none"/>
        </w:tabs>
        <w:spacing w:line="409" w:lineRule="exact" w:before="0" w:after="0"/>
        <w:ind w:left="1449" w:right="0" w:hanging="488"/>
        <w:jc w:val="both"/>
        <w:rPr>
          <w:sz w:val="24"/>
        </w:rPr>
      </w:pPr>
      <w:r>
        <w:rPr>
          <w:spacing w:val="2"/>
          <w:sz w:val="24"/>
        </w:rPr>
        <w:t>過敏反應：嗜伊紅血球增多、支氣管痙攣、休克。</w:t>
      </w:r>
    </w:p>
    <w:p>
      <w:pPr>
        <w:pStyle w:val="ListParagraph"/>
        <w:numPr>
          <w:ilvl w:val="1"/>
          <w:numId w:val="62"/>
        </w:numPr>
        <w:tabs>
          <w:tab w:pos="1450" w:val="left" w:leader="none"/>
        </w:tabs>
        <w:spacing w:line="419" w:lineRule="exact" w:before="0" w:after="0"/>
        <w:ind w:left="1449" w:right="0" w:hanging="488"/>
        <w:jc w:val="both"/>
        <w:rPr>
          <w:sz w:val="24"/>
        </w:rPr>
      </w:pPr>
      <w:r>
        <w:rPr>
          <w:spacing w:val="3"/>
          <w:sz w:val="24"/>
        </w:rPr>
        <w:t>眼角膜沈積物，不會損害視力。</w:t>
      </w:r>
    </w:p>
    <w:p>
      <w:pPr>
        <w:pStyle w:val="ListParagraph"/>
        <w:numPr>
          <w:ilvl w:val="3"/>
          <w:numId w:val="43"/>
        </w:numPr>
        <w:tabs>
          <w:tab w:pos="964" w:val="left" w:leader="none"/>
        </w:tabs>
        <w:spacing w:line="423" w:lineRule="exact" w:before="0" w:after="0"/>
        <w:ind w:left="963" w:right="0" w:hanging="245"/>
        <w:jc w:val="both"/>
        <w:rPr>
          <w:sz w:val="24"/>
        </w:rPr>
      </w:pPr>
      <w:r>
        <w:rPr>
          <w:spacing w:val="2"/>
          <w:sz w:val="24"/>
        </w:rPr>
        <w:t>藥物交互作用：</w:t>
      </w:r>
    </w:p>
    <w:p>
      <w:pPr>
        <w:pStyle w:val="ListParagraph"/>
        <w:numPr>
          <w:ilvl w:val="1"/>
          <w:numId w:val="63"/>
        </w:numPr>
        <w:tabs>
          <w:tab w:pos="1450" w:val="left" w:leader="none"/>
        </w:tabs>
        <w:spacing w:line="410" w:lineRule="exact" w:before="0" w:after="0"/>
        <w:ind w:left="1449" w:right="0" w:hanging="488"/>
        <w:jc w:val="both"/>
        <w:rPr>
          <w:sz w:val="24"/>
        </w:rPr>
      </w:pPr>
      <w:r>
        <w:rPr>
          <w:spacing w:val="3"/>
          <w:sz w:val="24"/>
        </w:rPr>
        <w:t>較 </w:t>
      </w:r>
      <w:r>
        <w:rPr>
          <w:sz w:val="24"/>
        </w:rPr>
        <w:t>RMP</w:t>
      </w:r>
      <w:r>
        <w:rPr>
          <w:spacing w:val="2"/>
          <w:sz w:val="24"/>
        </w:rPr>
        <w:t> 少，但仍需謹慎小心監測。</w:t>
      </w:r>
    </w:p>
    <w:p>
      <w:pPr>
        <w:pStyle w:val="ListParagraph"/>
        <w:numPr>
          <w:ilvl w:val="1"/>
          <w:numId w:val="63"/>
        </w:numPr>
        <w:tabs>
          <w:tab w:pos="1450" w:val="left" w:leader="none"/>
        </w:tabs>
        <w:spacing w:line="424" w:lineRule="exact" w:before="0" w:after="0"/>
        <w:ind w:left="1449" w:right="0" w:hanging="488"/>
        <w:jc w:val="both"/>
        <w:rPr>
          <w:color w:val="FF0000"/>
          <w:sz w:val="24"/>
        </w:rPr>
      </w:pPr>
      <w:r>
        <w:rPr>
          <w:color w:val="FF0000"/>
          <w:spacing w:val="2"/>
          <w:sz w:val="24"/>
        </w:rPr>
        <w:t>不太受食物影響，但高脂肪食物可能會降低 </w:t>
      </w:r>
      <w:r>
        <w:rPr>
          <w:color w:val="FF0000"/>
          <w:sz w:val="24"/>
        </w:rPr>
        <w:t>RFB</w:t>
      </w:r>
      <w:r>
        <w:rPr>
          <w:color w:val="FF0000"/>
          <w:spacing w:val="2"/>
          <w:sz w:val="24"/>
        </w:rPr>
        <w:t> 腸道吸收。</w:t>
      </w:r>
    </w:p>
    <w:p>
      <w:pPr>
        <w:pStyle w:val="Heading7"/>
        <w:numPr>
          <w:ilvl w:val="2"/>
          <w:numId w:val="43"/>
        </w:numPr>
        <w:tabs>
          <w:tab w:pos="973" w:val="left" w:leader="none"/>
        </w:tabs>
        <w:spacing w:line="240" w:lineRule="auto" w:before="200" w:after="0"/>
        <w:ind w:left="972" w:right="0" w:hanging="671"/>
        <w:jc w:val="both"/>
      </w:pPr>
      <w:r>
        <w:rPr/>
        <w:t>固定成分複方製劑 (表 6-2)</w:t>
      </w:r>
    </w:p>
    <w:p>
      <w:pPr>
        <w:pStyle w:val="BodyText"/>
        <w:spacing w:line="223" w:lineRule="auto" w:before="25"/>
        <w:ind w:left="972" w:right="1357" w:firstLine="488"/>
        <w:jc w:val="both"/>
      </w:pPr>
      <w:r>
        <w:rPr/>
        <w:t>治療結核病應儘可能採用固定成分複方製劑，此劑型使病人便於記憶，可杜絕病人選擇性服藥的情形，加強病人規律服藥的機會；且由尿液顏色監測病人服藥的順服性，減少發生任何抗藥性結核菌的機會。</w:t>
      </w:r>
    </w:p>
    <w:p>
      <w:pPr>
        <w:pStyle w:val="BodyText"/>
        <w:spacing w:line="426" w:lineRule="exact" w:before="76"/>
        <w:ind w:left="730"/>
      </w:pPr>
      <w:r>
        <w:rPr/>
        <w:t>【四合一劑型】</w:t>
      </w:r>
    </w:p>
    <w:p>
      <w:pPr>
        <w:pStyle w:val="ListParagraph"/>
        <w:numPr>
          <w:ilvl w:val="3"/>
          <w:numId w:val="43"/>
        </w:numPr>
        <w:tabs>
          <w:tab w:pos="1195" w:val="left" w:leader="none"/>
        </w:tabs>
        <w:spacing w:line="410" w:lineRule="exact" w:before="0" w:after="0"/>
        <w:ind w:left="1194" w:right="0" w:hanging="244"/>
        <w:jc w:val="left"/>
        <w:rPr>
          <w:sz w:val="24"/>
        </w:rPr>
      </w:pPr>
      <w:r>
        <w:rPr>
          <w:sz w:val="24"/>
        </w:rPr>
        <w:t>AKuriT-4 (AKT-4)/ Trac 4 tablets (Trac</w:t>
      </w:r>
      <w:r>
        <w:rPr>
          <w:spacing w:val="23"/>
          <w:sz w:val="24"/>
        </w:rPr>
        <w:t> </w:t>
      </w:r>
      <w:r>
        <w:rPr>
          <w:spacing w:val="2"/>
          <w:sz w:val="24"/>
        </w:rPr>
        <w:t>4):</w:t>
      </w:r>
    </w:p>
    <w:p>
      <w:pPr>
        <w:pStyle w:val="ListParagraph"/>
        <w:numPr>
          <w:ilvl w:val="1"/>
          <w:numId w:val="64"/>
        </w:numPr>
        <w:tabs>
          <w:tab w:pos="1660" w:val="left" w:leader="none"/>
        </w:tabs>
        <w:spacing w:line="410" w:lineRule="exact" w:before="0" w:after="0"/>
        <w:ind w:left="1659" w:right="0" w:hanging="490"/>
        <w:jc w:val="left"/>
        <w:rPr>
          <w:sz w:val="24"/>
        </w:rPr>
      </w:pPr>
      <w:r>
        <w:rPr>
          <w:spacing w:val="2"/>
          <w:sz w:val="24"/>
        </w:rPr>
        <w:t>每一錠中含 </w:t>
      </w:r>
      <w:r>
        <w:rPr>
          <w:sz w:val="24"/>
        </w:rPr>
        <w:t>INH</w:t>
      </w:r>
      <w:r>
        <w:rPr>
          <w:spacing w:val="5"/>
          <w:sz w:val="24"/>
        </w:rPr>
        <w:t> </w:t>
      </w:r>
      <w:r>
        <w:rPr>
          <w:sz w:val="24"/>
        </w:rPr>
        <w:t>75</w:t>
      </w:r>
      <w:r>
        <w:rPr>
          <w:spacing w:val="4"/>
          <w:sz w:val="24"/>
        </w:rPr>
        <w:t> </w:t>
      </w:r>
      <w:r>
        <w:rPr>
          <w:sz w:val="24"/>
        </w:rPr>
        <w:t>mg</w:t>
      </w:r>
      <w:r>
        <w:rPr>
          <w:spacing w:val="4"/>
          <w:sz w:val="24"/>
        </w:rPr>
        <w:t>、</w:t>
      </w:r>
      <w:r>
        <w:rPr>
          <w:sz w:val="24"/>
        </w:rPr>
        <w:t>RMP</w:t>
      </w:r>
      <w:r>
        <w:rPr>
          <w:spacing w:val="4"/>
          <w:sz w:val="24"/>
        </w:rPr>
        <w:t> </w:t>
      </w:r>
      <w:r>
        <w:rPr>
          <w:sz w:val="24"/>
        </w:rPr>
        <w:t>150</w:t>
      </w:r>
      <w:r>
        <w:rPr>
          <w:spacing w:val="4"/>
          <w:sz w:val="24"/>
        </w:rPr>
        <w:t> </w:t>
      </w:r>
      <w:r>
        <w:rPr>
          <w:sz w:val="24"/>
        </w:rPr>
        <w:t>mg</w:t>
      </w:r>
      <w:r>
        <w:rPr>
          <w:spacing w:val="3"/>
          <w:sz w:val="24"/>
        </w:rPr>
        <w:t>、</w:t>
      </w:r>
      <w:r>
        <w:rPr>
          <w:sz w:val="24"/>
        </w:rPr>
        <w:t>PZA</w:t>
      </w:r>
      <w:r>
        <w:rPr>
          <w:spacing w:val="6"/>
          <w:sz w:val="24"/>
        </w:rPr>
        <w:t> </w:t>
      </w:r>
      <w:r>
        <w:rPr>
          <w:sz w:val="24"/>
        </w:rPr>
        <w:t>400</w:t>
      </w:r>
      <w:r>
        <w:rPr>
          <w:spacing w:val="4"/>
          <w:sz w:val="24"/>
        </w:rPr>
        <w:t> </w:t>
      </w:r>
      <w:r>
        <w:rPr>
          <w:sz w:val="24"/>
        </w:rPr>
        <w:t>mg</w:t>
      </w:r>
      <w:r>
        <w:rPr>
          <w:spacing w:val="3"/>
          <w:sz w:val="24"/>
        </w:rPr>
        <w:t>、</w:t>
      </w:r>
      <w:r>
        <w:rPr>
          <w:sz w:val="24"/>
        </w:rPr>
        <w:t>EMB</w:t>
      </w:r>
      <w:r>
        <w:rPr>
          <w:spacing w:val="4"/>
          <w:sz w:val="24"/>
        </w:rPr>
        <w:t> </w:t>
      </w:r>
      <w:r>
        <w:rPr>
          <w:sz w:val="24"/>
        </w:rPr>
        <w:t>275</w:t>
      </w:r>
      <w:r>
        <w:rPr>
          <w:spacing w:val="4"/>
          <w:sz w:val="24"/>
        </w:rPr>
        <w:t> </w:t>
      </w:r>
      <w:r>
        <w:rPr>
          <w:sz w:val="24"/>
        </w:rPr>
        <w:t>mg。</w:t>
      </w:r>
    </w:p>
    <w:p>
      <w:pPr>
        <w:pStyle w:val="ListParagraph"/>
        <w:numPr>
          <w:ilvl w:val="1"/>
          <w:numId w:val="64"/>
        </w:numPr>
        <w:tabs>
          <w:tab w:pos="1660" w:val="left" w:leader="none"/>
        </w:tabs>
        <w:spacing w:line="410" w:lineRule="exact" w:before="0" w:after="0"/>
        <w:ind w:left="1659" w:right="0" w:hanging="490"/>
        <w:jc w:val="left"/>
        <w:rPr>
          <w:sz w:val="24"/>
        </w:rPr>
      </w:pPr>
      <w:r>
        <w:rPr>
          <w:spacing w:val="2"/>
          <w:sz w:val="24"/>
        </w:rPr>
        <w:t>成人依體重分級，</w:t>
      </w:r>
      <w:r>
        <w:rPr>
          <w:sz w:val="24"/>
        </w:rPr>
        <w:t>30-37Kg</w:t>
      </w:r>
      <w:r>
        <w:rPr>
          <w:spacing w:val="6"/>
          <w:sz w:val="24"/>
        </w:rPr>
        <w:t> 者每日口服 </w:t>
      </w:r>
      <w:r>
        <w:rPr>
          <w:sz w:val="24"/>
        </w:rPr>
        <w:t>2</w:t>
      </w:r>
      <w:r>
        <w:rPr>
          <w:spacing w:val="3"/>
          <w:sz w:val="24"/>
        </w:rPr>
        <w:t> 錠，</w:t>
      </w:r>
      <w:r>
        <w:rPr>
          <w:sz w:val="24"/>
        </w:rPr>
        <w:t>38-54Kg</w:t>
      </w:r>
      <w:r>
        <w:rPr>
          <w:spacing w:val="8"/>
          <w:sz w:val="24"/>
        </w:rPr>
        <w:t> 者每日 </w:t>
      </w:r>
      <w:r>
        <w:rPr>
          <w:sz w:val="24"/>
        </w:rPr>
        <w:t>3</w:t>
      </w:r>
      <w:r>
        <w:rPr>
          <w:spacing w:val="4"/>
          <w:sz w:val="24"/>
        </w:rPr>
        <w:t> 錠，</w:t>
      </w:r>
      <w:r>
        <w:rPr>
          <w:sz w:val="24"/>
        </w:rPr>
        <w:t>55-</w:t>
      </w:r>
    </w:p>
    <w:p>
      <w:pPr>
        <w:pStyle w:val="BodyText"/>
        <w:spacing w:line="410" w:lineRule="exact"/>
        <w:ind w:left="1659"/>
      </w:pPr>
      <w:r>
        <w:rPr/>
        <w:t>70Kg 者每日 4 錠，≧71Kg 者可考慮投與每日 5 錠。</w:t>
      </w:r>
    </w:p>
    <w:p>
      <w:pPr>
        <w:pStyle w:val="ListParagraph"/>
        <w:numPr>
          <w:ilvl w:val="1"/>
          <w:numId w:val="64"/>
        </w:numPr>
        <w:tabs>
          <w:tab w:pos="1660" w:val="left" w:leader="none"/>
        </w:tabs>
        <w:spacing w:line="223" w:lineRule="auto" w:before="7" w:after="0"/>
        <w:ind w:left="1659" w:right="1357" w:hanging="489"/>
        <w:jc w:val="left"/>
        <w:rPr>
          <w:sz w:val="24"/>
        </w:rPr>
      </w:pPr>
      <w:r>
        <w:rPr>
          <w:spacing w:val="3"/>
          <w:sz w:val="24"/>
        </w:rPr>
        <w:t>依體重每日劑量超過 </w:t>
      </w:r>
      <w:r>
        <w:rPr>
          <w:sz w:val="24"/>
        </w:rPr>
        <w:t>5</w:t>
      </w:r>
      <w:r>
        <w:rPr>
          <w:spacing w:val="5"/>
          <w:sz w:val="24"/>
        </w:rPr>
        <w:t> 錠或體重小於 </w:t>
      </w:r>
      <w:r>
        <w:rPr>
          <w:sz w:val="24"/>
        </w:rPr>
        <w:t>30</w:t>
      </w:r>
      <w:r>
        <w:rPr>
          <w:spacing w:val="3"/>
          <w:sz w:val="24"/>
        </w:rPr>
        <w:t> 公斤的病人不建議使用，須單方開</w:t>
      </w:r>
      <w:r>
        <w:rPr>
          <w:spacing w:val="2"/>
          <w:sz w:val="24"/>
        </w:rPr>
        <w:t>立並依體重調整劑量。</w:t>
      </w:r>
    </w:p>
    <w:p>
      <w:pPr>
        <w:pStyle w:val="ListParagraph"/>
        <w:numPr>
          <w:ilvl w:val="1"/>
          <w:numId w:val="64"/>
        </w:numPr>
        <w:tabs>
          <w:tab w:pos="1660" w:val="left" w:leader="none"/>
        </w:tabs>
        <w:spacing w:line="418" w:lineRule="exact" w:before="0" w:after="0"/>
        <w:ind w:left="1659" w:right="0" w:hanging="490"/>
        <w:jc w:val="left"/>
        <w:rPr>
          <w:sz w:val="24"/>
        </w:rPr>
      </w:pPr>
      <w:r>
        <w:rPr>
          <w:spacing w:val="2"/>
          <w:sz w:val="24"/>
        </w:rPr>
        <w:t>腎功能不全者，不應開立，以避免 </w:t>
      </w:r>
      <w:r>
        <w:rPr>
          <w:sz w:val="24"/>
        </w:rPr>
        <w:t>PZA</w:t>
      </w:r>
      <w:r>
        <w:rPr>
          <w:spacing w:val="2"/>
          <w:sz w:val="24"/>
        </w:rPr>
        <w:t> 過量。</w:t>
      </w:r>
    </w:p>
    <w:p>
      <w:pPr>
        <w:pStyle w:val="BodyText"/>
        <w:spacing w:line="437" w:lineRule="exact" w:before="173"/>
        <w:ind w:left="730"/>
      </w:pPr>
      <w:r>
        <w:rPr/>
        <w:t>【三合一劑型】</w:t>
      </w:r>
    </w:p>
    <w:p>
      <w:pPr>
        <w:pStyle w:val="ListParagraph"/>
        <w:numPr>
          <w:ilvl w:val="0"/>
          <w:numId w:val="65"/>
        </w:numPr>
        <w:tabs>
          <w:tab w:pos="1195" w:val="left" w:leader="none"/>
        </w:tabs>
        <w:spacing w:line="425" w:lineRule="exact" w:before="0" w:after="0"/>
        <w:ind w:left="1194" w:right="0" w:hanging="244"/>
        <w:jc w:val="left"/>
        <w:rPr>
          <w:sz w:val="24"/>
        </w:rPr>
      </w:pPr>
      <w:r>
        <w:rPr>
          <w:sz w:val="24"/>
        </w:rPr>
        <w:t>Rifater</w:t>
      </w:r>
      <w:r>
        <w:rPr>
          <w:spacing w:val="2"/>
          <w:sz w:val="24"/>
        </w:rPr>
        <w:t> ( </w:t>
      </w:r>
      <w:r>
        <w:rPr>
          <w:sz w:val="24"/>
        </w:rPr>
        <w:t>RFT</w:t>
      </w:r>
      <w:r>
        <w:rPr>
          <w:spacing w:val="1"/>
          <w:sz w:val="24"/>
        </w:rPr>
        <w:t> )︰</w:t>
      </w:r>
    </w:p>
    <w:p>
      <w:pPr>
        <w:pStyle w:val="ListParagraph"/>
        <w:numPr>
          <w:ilvl w:val="1"/>
          <w:numId w:val="65"/>
        </w:numPr>
        <w:tabs>
          <w:tab w:pos="1660" w:val="left" w:leader="none"/>
        </w:tabs>
        <w:spacing w:line="413" w:lineRule="exact" w:before="0" w:after="0"/>
        <w:ind w:left="1659" w:right="0" w:hanging="490"/>
        <w:jc w:val="left"/>
        <w:rPr>
          <w:sz w:val="24"/>
        </w:rPr>
      </w:pPr>
      <w:r>
        <w:rPr>
          <w:spacing w:val="2"/>
          <w:sz w:val="24"/>
        </w:rPr>
        <w:t>每一錠中含 </w:t>
      </w:r>
      <w:r>
        <w:rPr>
          <w:sz w:val="24"/>
        </w:rPr>
        <w:t>INH</w:t>
      </w:r>
      <w:r>
        <w:rPr>
          <w:spacing w:val="4"/>
          <w:sz w:val="24"/>
        </w:rPr>
        <w:t> </w:t>
      </w:r>
      <w:r>
        <w:rPr>
          <w:sz w:val="24"/>
        </w:rPr>
        <w:t>80</w:t>
      </w:r>
      <w:r>
        <w:rPr>
          <w:spacing w:val="4"/>
          <w:sz w:val="24"/>
        </w:rPr>
        <w:t> </w:t>
      </w:r>
      <w:r>
        <w:rPr>
          <w:sz w:val="24"/>
        </w:rPr>
        <w:t>mg</w:t>
      </w:r>
      <w:r>
        <w:rPr>
          <w:spacing w:val="4"/>
          <w:sz w:val="24"/>
        </w:rPr>
        <w:t>、</w:t>
      </w:r>
      <w:r>
        <w:rPr>
          <w:sz w:val="24"/>
        </w:rPr>
        <w:t>RMP</w:t>
      </w:r>
      <w:r>
        <w:rPr>
          <w:spacing w:val="3"/>
          <w:sz w:val="24"/>
        </w:rPr>
        <w:t> </w:t>
      </w:r>
      <w:r>
        <w:rPr>
          <w:sz w:val="24"/>
        </w:rPr>
        <w:t>120</w:t>
      </w:r>
      <w:r>
        <w:rPr>
          <w:spacing w:val="4"/>
          <w:sz w:val="24"/>
        </w:rPr>
        <w:t> </w:t>
      </w:r>
      <w:r>
        <w:rPr>
          <w:sz w:val="24"/>
        </w:rPr>
        <w:t>mg</w:t>
      </w:r>
      <w:r>
        <w:rPr>
          <w:spacing w:val="3"/>
          <w:sz w:val="24"/>
        </w:rPr>
        <w:t>、</w:t>
      </w:r>
      <w:r>
        <w:rPr>
          <w:sz w:val="24"/>
        </w:rPr>
        <w:t>PZA</w:t>
      </w:r>
      <w:r>
        <w:rPr>
          <w:spacing w:val="5"/>
          <w:sz w:val="24"/>
        </w:rPr>
        <w:t> </w:t>
      </w:r>
      <w:r>
        <w:rPr>
          <w:sz w:val="24"/>
        </w:rPr>
        <w:t>250</w:t>
      </w:r>
      <w:r>
        <w:rPr>
          <w:spacing w:val="4"/>
          <w:sz w:val="24"/>
        </w:rPr>
        <w:t> </w:t>
      </w:r>
      <w:r>
        <w:rPr>
          <w:sz w:val="24"/>
        </w:rPr>
        <w:t>mg。</w:t>
      </w:r>
    </w:p>
    <w:p>
      <w:pPr>
        <w:pStyle w:val="ListParagraph"/>
        <w:numPr>
          <w:ilvl w:val="1"/>
          <w:numId w:val="65"/>
        </w:numPr>
        <w:tabs>
          <w:tab w:pos="1660" w:val="left" w:leader="none"/>
        </w:tabs>
        <w:spacing w:line="410" w:lineRule="exact" w:before="0" w:after="0"/>
        <w:ind w:left="1659" w:right="0" w:hanging="490"/>
        <w:jc w:val="left"/>
        <w:rPr>
          <w:sz w:val="24"/>
        </w:rPr>
      </w:pPr>
      <w:r>
        <w:rPr>
          <w:spacing w:val="3"/>
          <w:sz w:val="24"/>
        </w:rPr>
        <w:t>成人依體重每十公斤服用一錠，每日最多五錠。</w:t>
      </w:r>
    </w:p>
    <w:p>
      <w:pPr>
        <w:pStyle w:val="ListParagraph"/>
        <w:numPr>
          <w:ilvl w:val="1"/>
          <w:numId w:val="65"/>
        </w:numPr>
        <w:tabs>
          <w:tab w:pos="1660" w:val="left" w:leader="none"/>
        </w:tabs>
        <w:spacing w:line="223" w:lineRule="auto" w:before="6" w:after="0"/>
        <w:ind w:left="1659" w:right="1363" w:hanging="489"/>
        <w:jc w:val="left"/>
        <w:rPr>
          <w:sz w:val="24"/>
        </w:rPr>
      </w:pPr>
      <w:r>
        <w:rPr>
          <w:spacing w:val="2"/>
          <w:sz w:val="24"/>
        </w:rPr>
        <w:t>依體重每日劑量超過 </w:t>
      </w:r>
      <w:r>
        <w:rPr>
          <w:sz w:val="24"/>
        </w:rPr>
        <w:t>5</w:t>
      </w:r>
      <w:r>
        <w:rPr>
          <w:spacing w:val="4"/>
          <w:sz w:val="24"/>
        </w:rPr>
        <w:t> 錠 </w:t>
      </w:r>
      <w:r>
        <w:rPr>
          <w:sz w:val="24"/>
        </w:rPr>
        <w:t>RFT</w:t>
      </w:r>
      <w:r>
        <w:rPr>
          <w:spacing w:val="2"/>
          <w:sz w:val="24"/>
        </w:rPr>
        <w:t> 或體重小於 </w:t>
      </w:r>
      <w:r>
        <w:rPr>
          <w:sz w:val="24"/>
        </w:rPr>
        <w:t>40</w:t>
      </w:r>
      <w:r>
        <w:rPr>
          <w:spacing w:val="2"/>
          <w:sz w:val="24"/>
        </w:rPr>
        <w:t> 公斤的病人不建議使用 </w:t>
      </w:r>
      <w:r>
        <w:rPr>
          <w:sz w:val="24"/>
        </w:rPr>
        <w:t>RFT， </w:t>
      </w:r>
      <w:r>
        <w:rPr>
          <w:spacing w:val="3"/>
          <w:sz w:val="24"/>
        </w:rPr>
        <w:t>須單方開並依體重調整劑量。</w:t>
      </w:r>
    </w:p>
    <w:p>
      <w:pPr>
        <w:pStyle w:val="ListParagraph"/>
        <w:numPr>
          <w:ilvl w:val="1"/>
          <w:numId w:val="65"/>
        </w:numPr>
        <w:tabs>
          <w:tab w:pos="1660" w:val="left" w:leader="none"/>
        </w:tabs>
        <w:spacing w:line="415" w:lineRule="exact" w:before="0" w:after="0"/>
        <w:ind w:left="1659" w:right="0" w:hanging="490"/>
        <w:jc w:val="left"/>
        <w:rPr>
          <w:sz w:val="24"/>
        </w:rPr>
      </w:pPr>
      <w:r>
        <w:rPr>
          <w:spacing w:val="2"/>
          <w:sz w:val="24"/>
        </w:rPr>
        <w:t>腎功能不全者，不應開立 </w:t>
      </w:r>
      <w:r>
        <w:rPr>
          <w:sz w:val="24"/>
        </w:rPr>
        <w:t>RFT</w:t>
      </w:r>
      <w:r>
        <w:rPr>
          <w:spacing w:val="1"/>
          <w:sz w:val="24"/>
        </w:rPr>
        <w:t>，以避免 </w:t>
      </w:r>
      <w:r>
        <w:rPr>
          <w:sz w:val="24"/>
        </w:rPr>
        <w:t>PZA</w:t>
      </w:r>
      <w:r>
        <w:rPr>
          <w:spacing w:val="3"/>
          <w:sz w:val="24"/>
        </w:rPr>
        <w:t> 過量。</w:t>
      </w:r>
    </w:p>
    <w:p>
      <w:pPr>
        <w:pStyle w:val="ListParagraph"/>
        <w:numPr>
          <w:ilvl w:val="0"/>
          <w:numId w:val="65"/>
        </w:numPr>
        <w:tabs>
          <w:tab w:pos="1195" w:val="left" w:leader="none"/>
        </w:tabs>
        <w:spacing w:line="425" w:lineRule="exact" w:before="0" w:after="0"/>
        <w:ind w:left="1194" w:right="0" w:hanging="244"/>
        <w:jc w:val="left"/>
        <w:rPr>
          <w:sz w:val="24"/>
        </w:rPr>
      </w:pPr>
      <w:r>
        <w:rPr>
          <w:sz w:val="24"/>
        </w:rPr>
        <w:t>AKuriT-3 (AKT-3)/ Trac 3 tablets (Trac 3)</w:t>
      </w:r>
      <w:r>
        <w:rPr>
          <w:spacing w:val="27"/>
          <w:sz w:val="24"/>
        </w:rPr>
        <w:t> </w:t>
      </w:r>
      <w:r>
        <w:rPr>
          <w:sz w:val="24"/>
        </w:rPr>
        <w:t>:</w:t>
      </w:r>
    </w:p>
    <w:p>
      <w:pPr>
        <w:pStyle w:val="ListParagraph"/>
        <w:numPr>
          <w:ilvl w:val="1"/>
          <w:numId w:val="66"/>
        </w:numPr>
        <w:tabs>
          <w:tab w:pos="1660" w:val="left" w:leader="none"/>
        </w:tabs>
        <w:spacing w:line="413" w:lineRule="exact" w:before="0" w:after="0"/>
        <w:ind w:left="1659" w:right="0" w:hanging="490"/>
        <w:jc w:val="left"/>
        <w:rPr>
          <w:sz w:val="24"/>
        </w:rPr>
      </w:pPr>
      <w:r>
        <w:rPr>
          <w:spacing w:val="2"/>
          <w:sz w:val="24"/>
        </w:rPr>
        <w:t>每一錠中含 </w:t>
      </w:r>
      <w:r>
        <w:rPr>
          <w:sz w:val="24"/>
        </w:rPr>
        <w:t>INH</w:t>
      </w:r>
      <w:r>
        <w:rPr>
          <w:spacing w:val="4"/>
          <w:sz w:val="24"/>
        </w:rPr>
        <w:t> </w:t>
      </w:r>
      <w:r>
        <w:rPr>
          <w:sz w:val="24"/>
        </w:rPr>
        <w:t>75</w:t>
      </w:r>
      <w:r>
        <w:rPr>
          <w:spacing w:val="4"/>
          <w:sz w:val="24"/>
        </w:rPr>
        <w:t> </w:t>
      </w:r>
      <w:r>
        <w:rPr>
          <w:sz w:val="24"/>
        </w:rPr>
        <w:t>mg</w:t>
      </w:r>
      <w:r>
        <w:rPr>
          <w:spacing w:val="4"/>
          <w:sz w:val="24"/>
        </w:rPr>
        <w:t>、</w:t>
      </w:r>
      <w:r>
        <w:rPr>
          <w:sz w:val="24"/>
        </w:rPr>
        <w:t>RMP</w:t>
      </w:r>
      <w:r>
        <w:rPr>
          <w:spacing w:val="3"/>
          <w:sz w:val="24"/>
        </w:rPr>
        <w:t> </w:t>
      </w:r>
      <w:r>
        <w:rPr>
          <w:sz w:val="24"/>
        </w:rPr>
        <w:t>150</w:t>
      </w:r>
      <w:r>
        <w:rPr>
          <w:spacing w:val="4"/>
          <w:sz w:val="24"/>
        </w:rPr>
        <w:t> </w:t>
      </w:r>
      <w:r>
        <w:rPr>
          <w:sz w:val="24"/>
        </w:rPr>
        <w:t>mg</w:t>
      </w:r>
      <w:r>
        <w:rPr>
          <w:spacing w:val="3"/>
          <w:sz w:val="24"/>
        </w:rPr>
        <w:t>、</w:t>
      </w:r>
      <w:r>
        <w:rPr>
          <w:sz w:val="24"/>
        </w:rPr>
        <w:t>EMB</w:t>
      </w:r>
      <w:r>
        <w:rPr>
          <w:spacing w:val="3"/>
          <w:sz w:val="24"/>
        </w:rPr>
        <w:t> </w:t>
      </w:r>
      <w:r>
        <w:rPr>
          <w:sz w:val="24"/>
        </w:rPr>
        <w:t>275</w:t>
      </w:r>
      <w:r>
        <w:rPr>
          <w:spacing w:val="4"/>
          <w:sz w:val="24"/>
        </w:rPr>
        <w:t> </w:t>
      </w:r>
      <w:r>
        <w:rPr>
          <w:sz w:val="24"/>
        </w:rPr>
        <w:t>mg。</w:t>
      </w:r>
    </w:p>
    <w:p>
      <w:pPr>
        <w:pStyle w:val="ListParagraph"/>
        <w:numPr>
          <w:ilvl w:val="1"/>
          <w:numId w:val="66"/>
        </w:numPr>
        <w:tabs>
          <w:tab w:pos="1660" w:val="left" w:leader="none"/>
        </w:tabs>
        <w:spacing w:line="410" w:lineRule="exact" w:before="0" w:after="0"/>
        <w:ind w:left="1659" w:right="0" w:hanging="490"/>
        <w:jc w:val="left"/>
        <w:rPr>
          <w:sz w:val="24"/>
        </w:rPr>
      </w:pPr>
      <w:r>
        <w:rPr>
          <w:spacing w:val="3"/>
          <w:sz w:val="24"/>
        </w:rPr>
        <w:t>成人依體重分級，30-37Kg</w:t>
      </w:r>
      <w:r>
        <w:rPr>
          <w:spacing w:val="9"/>
          <w:sz w:val="24"/>
        </w:rPr>
        <w:t> 者每日口服 </w:t>
      </w:r>
      <w:r>
        <w:rPr>
          <w:sz w:val="24"/>
        </w:rPr>
        <w:t>2</w:t>
      </w:r>
      <w:r>
        <w:rPr>
          <w:spacing w:val="9"/>
          <w:sz w:val="24"/>
        </w:rPr>
        <w:t> 錠，</w:t>
      </w:r>
      <w:r>
        <w:rPr>
          <w:spacing w:val="3"/>
          <w:sz w:val="24"/>
        </w:rPr>
        <w:t>38-54Kg</w:t>
      </w:r>
      <w:r>
        <w:rPr>
          <w:spacing w:val="10"/>
          <w:sz w:val="24"/>
        </w:rPr>
        <w:t> 者每日 </w:t>
      </w:r>
      <w:r>
        <w:rPr>
          <w:sz w:val="24"/>
        </w:rPr>
        <w:t>3</w:t>
      </w:r>
      <w:r>
        <w:rPr>
          <w:spacing w:val="9"/>
          <w:sz w:val="24"/>
        </w:rPr>
        <w:t> 錠，</w:t>
      </w:r>
      <w:r>
        <w:rPr>
          <w:spacing w:val="3"/>
          <w:sz w:val="24"/>
        </w:rPr>
        <w:t>55-</w:t>
      </w:r>
    </w:p>
    <w:p>
      <w:pPr>
        <w:pStyle w:val="BodyText"/>
        <w:spacing w:line="410" w:lineRule="exact"/>
        <w:ind w:left="1659"/>
      </w:pPr>
      <w:r>
        <w:rPr/>
        <w:t>70Kg 者每日 4 錠，≧71Kg 者可考慮投與每日 5 錠。</w:t>
      </w:r>
    </w:p>
    <w:p>
      <w:pPr>
        <w:pStyle w:val="ListParagraph"/>
        <w:numPr>
          <w:ilvl w:val="1"/>
          <w:numId w:val="66"/>
        </w:numPr>
        <w:tabs>
          <w:tab w:pos="1660" w:val="left" w:leader="none"/>
        </w:tabs>
        <w:spacing w:line="223" w:lineRule="auto" w:before="7" w:after="0"/>
        <w:ind w:left="1659" w:right="1361" w:hanging="489"/>
        <w:jc w:val="left"/>
        <w:rPr>
          <w:sz w:val="24"/>
        </w:rPr>
      </w:pPr>
      <w:r>
        <w:rPr>
          <w:spacing w:val="4"/>
          <w:sz w:val="24"/>
        </w:rPr>
        <w:t>體重每日劑超過 </w:t>
      </w:r>
      <w:r>
        <w:rPr>
          <w:sz w:val="24"/>
        </w:rPr>
        <w:t>5</w:t>
      </w:r>
      <w:r>
        <w:rPr>
          <w:spacing w:val="5"/>
          <w:sz w:val="24"/>
        </w:rPr>
        <w:t> 錠或體重小於 </w:t>
      </w:r>
      <w:r>
        <w:rPr>
          <w:sz w:val="24"/>
        </w:rPr>
        <w:t>30</w:t>
      </w:r>
      <w:r>
        <w:rPr>
          <w:spacing w:val="2"/>
          <w:sz w:val="24"/>
        </w:rPr>
        <w:t> 公斤的病人不建議使用，須單方開立並</w:t>
      </w:r>
      <w:r>
        <w:rPr>
          <w:spacing w:val="3"/>
          <w:sz w:val="24"/>
        </w:rPr>
        <w:t>依體重調整劑量。</w:t>
      </w:r>
    </w:p>
    <w:p>
      <w:pPr>
        <w:pStyle w:val="BodyText"/>
        <w:spacing w:line="438" w:lineRule="exact" w:before="144"/>
        <w:ind w:left="730"/>
      </w:pPr>
      <w:r>
        <w:rPr/>
        <w:t>【二合一劑型】</w:t>
      </w:r>
    </w:p>
    <w:p>
      <w:pPr>
        <w:pStyle w:val="ListParagraph"/>
        <w:numPr>
          <w:ilvl w:val="0"/>
          <w:numId w:val="67"/>
        </w:numPr>
        <w:tabs>
          <w:tab w:pos="1195" w:val="left" w:leader="none"/>
        </w:tabs>
        <w:spacing w:line="438" w:lineRule="exact" w:before="0" w:after="0"/>
        <w:ind w:left="1194" w:right="0" w:hanging="244"/>
        <w:jc w:val="left"/>
        <w:rPr>
          <w:sz w:val="24"/>
        </w:rPr>
      </w:pPr>
      <w:r>
        <w:rPr>
          <w:sz w:val="24"/>
        </w:rPr>
        <w:t>Rifinah</w:t>
      </w:r>
      <w:r>
        <w:rPr>
          <w:spacing w:val="2"/>
          <w:sz w:val="24"/>
        </w:rPr>
        <w:t> (</w:t>
      </w:r>
      <w:r>
        <w:rPr>
          <w:sz w:val="24"/>
        </w:rPr>
        <w:t>RFN)/RINA/Macox</w:t>
      </w:r>
      <w:r>
        <w:rPr>
          <w:spacing w:val="5"/>
          <w:sz w:val="24"/>
        </w:rPr>
        <w:t> </w:t>
      </w:r>
      <w:r>
        <w:rPr>
          <w:sz w:val="24"/>
        </w:rPr>
        <w:t>Plus︰</w:t>
      </w:r>
    </w:p>
    <w:p>
      <w:pPr>
        <w:spacing w:after="0" w:line="438" w:lineRule="exact"/>
        <w:jc w:val="left"/>
        <w:rPr>
          <w:sz w:val="24"/>
        </w:rPr>
        <w:sectPr>
          <w:pgSz w:w="12250" w:h="17190"/>
          <w:pgMar w:header="0" w:footer="748" w:top="1480" w:bottom="1020" w:left="1180" w:right="0"/>
        </w:sectPr>
      </w:pPr>
    </w:p>
    <w:p>
      <w:pPr>
        <w:pStyle w:val="ListParagraph"/>
        <w:numPr>
          <w:ilvl w:val="1"/>
          <w:numId w:val="67"/>
        </w:numPr>
        <w:tabs>
          <w:tab w:pos="1660" w:val="left" w:leader="none"/>
        </w:tabs>
        <w:spacing w:line="424" w:lineRule="exact" w:before="19" w:after="0"/>
        <w:ind w:left="1659" w:right="0" w:hanging="490"/>
        <w:jc w:val="left"/>
        <w:rPr>
          <w:sz w:val="24"/>
        </w:rPr>
      </w:pPr>
      <w:r>
        <w:rPr/>
        <w:pict>
          <v:group style="position:absolute;margin-left:571.5pt;margin-top:.720855pt;width:40.9pt;height:316.05pt;mso-position-horizontal-relative:page;mso-position-vertical-relative:paragraph;z-index:251744256" coordorigin="11430,14" coordsize="818,6321">
            <v:shape style="position:absolute;left:11430;top:14;width:818;height:6321" coordorigin="11430,14" coordsize="818,6321" path="m12247,14l11595,14,11531,27,11478,63,11443,115,11430,180,11430,6170,11443,6234,11478,6287,11531,6322,11595,6335,12247,6335,12247,14xe" filled="true" fillcolor="#a6a6a6" stroked="false">
              <v:path arrowok="t"/>
              <v:fill type="solid"/>
            </v:shape>
            <v:shape style="position:absolute;left:11430;top:14;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spacing w:val="2"/>
          <w:sz w:val="24"/>
        </w:rPr>
        <w:t>每一錠[</w:t>
      </w:r>
      <w:r>
        <w:rPr>
          <w:sz w:val="24"/>
        </w:rPr>
        <w:t>RFN300]</w:t>
      </w:r>
      <w:r>
        <w:rPr>
          <w:spacing w:val="4"/>
          <w:sz w:val="24"/>
        </w:rPr>
        <w:t>中含 </w:t>
      </w:r>
      <w:r>
        <w:rPr>
          <w:sz w:val="24"/>
        </w:rPr>
        <w:t>INH</w:t>
      </w:r>
      <w:r>
        <w:rPr>
          <w:spacing w:val="9"/>
          <w:sz w:val="24"/>
        </w:rPr>
        <w:t> </w:t>
      </w:r>
      <w:r>
        <w:rPr>
          <w:sz w:val="24"/>
        </w:rPr>
        <w:t>150</w:t>
      </w:r>
      <w:r>
        <w:rPr>
          <w:spacing w:val="10"/>
          <w:sz w:val="24"/>
        </w:rPr>
        <w:t> </w:t>
      </w:r>
      <w:r>
        <w:rPr>
          <w:sz w:val="24"/>
        </w:rPr>
        <w:t>mg</w:t>
      </w:r>
      <w:r>
        <w:rPr>
          <w:spacing w:val="4"/>
          <w:sz w:val="24"/>
        </w:rPr>
        <w:t>、</w:t>
      </w:r>
      <w:r>
        <w:rPr>
          <w:sz w:val="24"/>
        </w:rPr>
        <w:t>RMP</w:t>
      </w:r>
      <w:r>
        <w:rPr>
          <w:spacing w:val="9"/>
          <w:sz w:val="24"/>
        </w:rPr>
        <w:t> </w:t>
      </w:r>
      <w:r>
        <w:rPr>
          <w:sz w:val="24"/>
        </w:rPr>
        <w:t>300</w:t>
      </w:r>
      <w:r>
        <w:rPr>
          <w:spacing w:val="10"/>
          <w:sz w:val="24"/>
        </w:rPr>
        <w:t> </w:t>
      </w:r>
      <w:r>
        <w:rPr>
          <w:sz w:val="24"/>
        </w:rPr>
        <w:t>mg。</w:t>
      </w:r>
    </w:p>
    <w:p>
      <w:pPr>
        <w:pStyle w:val="ListParagraph"/>
        <w:numPr>
          <w:ilvl w:val="1"/>
          <w:numId w:val="67"/>
        </w:numPr>
        <w:tabs>
          <w:tab w:pos="1660" w:val="left" w:leader="none"/>
        </w:tabs>
        <w:spacing w:line="406" w:lineRule="exact" w:before="0" w:after="0"/>
        <w:ind w:left="1659" w:right="0" w:hanging="490"/>
        <w:jc w:val="left"/>
        <w:rPr>
          <w:sz w:val="24"/>
        </w:rPr>
      </w:pPr>
      <w:r>
        <w:rPr>
          <w:spacing w:val="2"/>
          <w:sz w:val="24"/>
        </w:rPr>
        <w:t>每一錠[</w:t>
      </w:r>
      <w:r>
        <w:rPr>
          <w:sz w:val="24"/>
        </w:rPr>
        <w:t>RFN150]</w:t>
      </w:r>
      <w:r>
        <w:rPr>
          <w:spacing w:val="4"/>
          <w:sz w:val="24"/>
        </w:rPr>
        <w:t>中含 </w:t>
      </w:r>
      <w:r>
        <w:rPr>
          <w:sz w:val="24"/>
        </w:rPr>
        <w:t>INH</w:t>
      </w:r>
      <w:r>
        <w:rPr>
          <w:spacing w:val="9"/>
          <w:sz w:val="24"/>
        </w:rPr>
        <w:t> </w:t>
      </w:r>
      <w:r>
        <w:rPr>
          <w:sz w:val="24"/>
        </w:rPr>
        <w:t>100</w:t>
      </w:r>
      <w:r>
        <w:rPr>
          <w:spacing w:val="10"/>
          <w:sz w:val="24"/>
        </w:rPr>
        <w:t> </w:t>
      </w:r>
      <w:r>
        <w:rPr>
          <w:sz w:val="24"/>
        </w:rPr>
        <w:t>mg</w:t>
      </w:r>
      <w:r>
        <w:rPr>
          <w:spacing w:val="4"/>
          <w:sz w:val="24"/>
        </w:rPr>
        <w:t>、</w:t>
      </w:r>
      <w:r>
        <w:rPr>
          <w:sz w:val="24"/>
        </w:rPr>
        <w:t>RMP</w:t>
      </w:r>
      <w:r>
        <w:rPr>
          <w:spacing w:val="9"/>
          <w:sz w:val="24"/>
        </w:rPr>
        <w:t> </w:t>
      </w:r>
      <w:r>
        <w:rPr>
          <w:sz w:val="24"/>
        </w:rPr>
        <w:t>150</w:t>
      </w:r>
      <w:r>
        <w:rPr>
          <w:spacing w:val="10"/>
          <w:sz w:val="24"/>
        </w:rPr>
        <w:t> </w:t>
      </w:r>
      <w:r>
        <w:rPr>
          <w:sz w:val="24"/>
        </w:rPr>
        <w:t>mg。</w:t>
      </w:r>
    </w:p>
    <w:p>
      <w:pPr>
        <w:pStyle w:val="ListParagraph"/>
        <w:numPr>
          <w:ilvl w:val="1"/>
          <w:numId w:val="67"/>
        </w:numPr>
        <w:tabs>
          <w:tab w:pos="1660" w:val="left" w:leader="none"/>
        </w:tabs>
        <w:spacing w:line="406" w:lineRule="exact" w:before="0" w:after="0"/>
        <w:ind w:left="1659" w:right="0" w:hanging="490"/>
        <w:jc w:val="left"/>
        <w:rPr>
          <w:sz w:val="24"/>
        </w:rPr>
      </w:pPr>
      <w:r>
        <w:rPr>
          <w:spacing w:val="8"/>
          <w:sz w:val="24"/>
        </w:rPr>
        <w:t>體重 </w:t>
      </w:r>
      <w:r>
        <w:rPr>
          <w:sz w:val="24"/>
        </w:rPr>
        <w:t>50</w:t>
      </w:r>
      <w:r>
        <w:rPr>
          <w:spacing w:val="2"/>
          <w:sz w:val="24"/>
        </w:rPr>
        <w:t> 公斤以上者，每日服[</w:t>
      </w:r>
      <w:r>
        <w:rPr>
          <w:sz w:val="24"/>
        </w:rPr>
        <w:t>RFN300</w:t>
      </w:r>
      <w:r>
        <w:rPr>
          <w:spacing w:val="18"/>
          <w:sz w:val="24"/>
        </w:rPr>
        <w:t>] </w:t>
      </w:r>
      <w:r>
        <w:rPr>
          <w:sz w:val="24"/>
        </w:rPr>
        <w:t>/RINA/Macox</w:t>
      </w:r>
      <w:r>
        <w:rPr>
          <w:spacing w:val="36"/>
          <w:sz w:val="24"/>
        </w:rPr>
        <w:t> </w:t>
      </w:r>
      <w:r>
        <w:rPr>
          <w:sz w:val="24"/>
        </w:rPr>
        <w:t>Plus</w:t>
      </w:r>
      <w:r>
        <w:rPr>
          <w:spacing w:val="7"/>
          <w:sz w:val="24"/>
        </w:rPr>
        <w:t> 二錠；未滿 </w:t>
      </w:r>
      <w:r>
        <w:rPr>
          <w:sz w:val="24"/>
        </w:rPr>
        <w:t>50</w:t>
      </w:r>
    </w:p>
    <w:p>
      <w:pPr>
        <w:pStyle w:val="BodyText"/>
        <w:spacing w:line="406" w:lineRule="exact"/>
        <w:ind w:left="1659"/>
      </w:pPr>
      <w:r>
        <w:rPr/>
        <w:t>公斤者每日服[RFN150]三錠。</w:t>
      </w:r>
    </w:p>
    <w:p>
      <w:pPr>
        <w:pStyle w:val="ListParagraph"/>
        <w:numPr>
          <w:ilvl w:val="1"/>
          <w:numId w:val="67"/>
        </w:numPr>
        <w:tabs>
          <w:tab w:pos="1660" w:val="left" w:leader="none"/>
        </w:tabs>
        <w:spacing w:line="424" w:lineRule="exact" w:before="0" w:after="0"/>
        <w:ind w:left="1659" w:right="0" w:hanging="490"/>
        <w:jc w:val="left"/>
        <w:rPr>
          <w:sz w:val="24"/>
        </w:rPr>
      </w:pPr>
      <w:r>
        <w:rPr>
          <w:spacing w:val="2"/>
          <w:sz w:val="24"/>
        </w:rPr>
        <w:t>腎功能不全者，劑量相同。</w:t>
      </w:r>
    </w:p>
    <w:p>
      <w:pPr>
        <w:pStyle w:val="BodyText"/>
        <w:spacing w:before="7"/>
        <w:rPr>
          <w:sz w:val="16"/>
        </w:rPr>
      </w:pPr>
    </w:p>
    <w:p>
      <w:pPr>
        <w:pStyle w:val="Heading6"/>
        <w:numPr>
          <w:ilvl w:val="1"/>
          <w:numId w:val="43"/>
        </w:numPr>
        <w:tabs>
          <w:tab w:pos="664" w:val="left" w:leader="none"/>
        </w:tabs>
        <w:spacing w:line="455" w:lineRule="exact" w:before="0" w:after="0"/>
        <w:ind w:left="663" w:right="0" w:hanging="484"/>
        <w:jc w:val="both"/>
      </w:pPr>
      <w:bookmarkStart w:name="6.2 第二線抗結核藥物 (表 6-3)" w:id="57"/>
      <w:bookmarkEnd w:id="57"/>
      <w:r>
        <w:rPr>
          <w:b w:val="0"/>
        </w:rPr>
      </w:r>
      <w:bookmarkStart w:name="6.2 第二線抗結核藥物 (表 6-3)" w:id="58"/>
      <w:bookmarkEnd w:id="58"/>
      <w:r>
        <w:rPr/>
        <w:t>第二線抗結核藥物 (表 </w:t>
      </w:r>
      <w:r>
        <w:rPr/>
        <w:t>6-3)</w:t>
      </w:r>
    </w:p>
    <w:p>
      <w:pPr>
        <w:pStyle w:val="BodyText"/>
        <w:spacing w:line="223" w:lineRule="auto" w:before="18"/>
        <w:ind w:left="676" w:right="1362" w:firstLine="487"/>
        <w:jc w:val="both"/>
      </w:pPr>
      <w:r>
        <w:rPr/>
        <w:t>基本上治療結核病之第二線用藥，藥效比第一線用藥差，毒性比第一線用藥大， 用法比第一線用藥不方便，價格比第一線用藥高。所以只用在對第一線藥物具抗藥性、出現副作用、或治療無效之結核病人。目前需向疾病管制署申請使用。</w:t>
      </w:r>
    </w:p>
    <w:p>
      <w:pPr>
        <w:pStyle w:val="Heading7"/>
        <w:numPr>
          <w:ilvl w:val="2"/>
          <w:numId w:val="43"/>
        </w:numPr>
        <w:tabs>
          <w:tab w:pos="985" w:val="left" w:leader="none"/>
        </w:tabs>
        <w:spacing w:line="240" w:lineRule="auto" w:before="168" w:after="0"/>
        <w:ind w:left="984" w:right="0" w:hanging="683"/>
        <w:jc w:val="both"/>
      </w:pPr>
      <w:r>
        <w:rPr/>
        <w:pict>
          <v:shape style="position:absolute;margin-left:574.289001pt;margin-top:5.67852pt;width:16.650pt;height:5.55pt;mso-position-horizontal-relative:page;mso-position-vertical-relative:paragraph;z-index:251746304"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bookmarkStart w:name="6.2.1 Levofloxacin(LFX)/Moxifloxacin(MFX" w:id="59"/>
      <w:bookmarkEnd w:id="59"/>
      <w:r>
        <w:rPr>
          <w:b w:val="0"/>
        </w:rPr>
      </w:r>
      <w:bookmarkStart w:name="6.2.1 Levofloxacin(LFX)/Moxifloxacin(MFX" w:id="60"/>
      <w:bookmarkEnd w:id="60"/>
      <w:r>
        <w:rPr/>
        <w:t>L</w:t>
      </w:r>
      <w:r>
        <w:rPr/>
        <w:t>evofloxacin(LFX)/Moxifloxacin(MFX)</w:t>
      </w:r>
    </w:p>
    <w:p>
      <w:pPr>
        <w:pStyle w:val="ListParagraph"/>
        <w:numPr>
          <w:ilvl w:val="3"/>
          <w:numId w:val="43"/>
        </w:numPr>
        <w:tabs>
          <w:tab w:pos="965" w:val="left" w:leader="none"/>
        </w:tabs>
        <w:spacing w:line="218" w:lineRule="auto" w:before="36" w:after="0"/>
        <w:ind w:left="964" w:right="1357" w:hanging="256"/>
        <w:jc w:val="both"/>
        <w:rPr>
          <w:sz w:val="24"/>
        </w:rPr>
      </w:pPr>
      <w:r>
        <w:rPr/>
        <w:pict>
          <v:shape style="position:absolute;margin-left:574.289001pt;margin-top:71.202034pt;width:16.650pt;height:5.55pt;mso-position-horizontal-relative:page;mso-position-vertical-relative:paragraph;z-index:251745280"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4"/>
          <w:sz w:val="24"/>
        </w:rPr>
        <w:t>藥理作用：屬於新一代 </w:t>
      </w:r>
      <w:r>
        <w:rPr>
          <w:sz w:val="24"/>
        </w:rPr>
        <w:t>fluoroquinolone</w:t>
      </w:r>
      <w:r>
        <w:rPr>
          <w:spacing w:val="3"/>
          <w:sz w:val="24"/>
        </w:rPr>
        <w:t> 類，能在巨噬細胞內聚集，抑制結核分</w:t>
      </w:r>
      <w:r>
        <w:rPr>
          <w:spacing w:val="2"/>
          <w:sz w:val="24"/>
        </w:rPr>
        <w:t>枝桿菌的 </w:t>
      </w:r>
      <w:r>
        <w:rPr>
          <w:sz w:val="24"/>
        </w:rPr>
        <w:t>DNA</w:t>
      </w:r>
      <w:r>
        <w:rPr>
          <w:spacing w:val="28"/>
          <w:sz w:val="24"/>
        </w:rPr>
        <w:t> </w:t>
      </w:r>
      <w:r>
        <w:rPr>
          <w:spacing w:val="2"/>
          <w:sz w:val="24"/>
        </w:rPr>
        <w:t>gyrase</w:t>
      </w:r>
      <w:r>
        <w:rPr>
          <w:i/>
          <w:spacing w:val="2"/>
          <w:sz w:val="25"/>
        </w:rPr>
        <w:t>(gyrA</w:t>
      </w:r>
      <w:r>
        <w:rPr>
          <w:i/>
          <w:spacing w:val="16"/>
          <w:sz w:val="25"/>
        </w:rPr>
        <w:t>, </w:t>
      </w:r>
      <w:r>
        <w:rPr>
          <w:i/>
          <w:spacing w:val="3"/>
          <w:sz w:val="25"/>
        </w:rPr>
        <w:t>gyrB)</w:t>
      </w:r>
      <w:r>
        <w:rPr>
          <w:spacing w:val="2"/>
          <w:sz w:val="24"/>
        </w:rPr>
        <w:t>，與 </w:t>
      </w:r>
      <w:r>
        <w:rPr>
          <w:sz w:val="24"/>
        </w:rPr>
        <w:t>RMP</w:t>
      </w:r>
      <w:r>
        <w:rPr>
          <w:spacing w:val="3"/>
          <w:sz w:val="24"/>
        </w:rPr>
        <w:t> 及 </w:t>
      </w:r>
      <w:r>
        <w:rPr>
          <w:sz w:val="24"/>
        </w:rPr>
        <w:t>INH</w:t>
      </w:r>
      <w:r>
        <w:rPr>
          <w:spacing w:val="2"/>
          <w:sz w:val="24"/>
        </w:rPr>
        <w:t> 有協同作用，具殺菌與滅菌力。血中最高濃度(</w:t>
      </w:r>
      <w:r>
        <w:rPr>
          <w:sz w:val="24"/>
        </w:rPr>
        <w:t>Cmax</w:t>
      </w:r>
      <w:r>
        <w:rPr>
          <w:spacing w:val="-3"/>
          <w:sz w:val="24"/>
        </w:rPr>
        <w:t>) </w:t>
      </w:r>
      <w:r>
        <w:rPr>
          <w:sz w:val="24"/>
        </w:rPr>
        <w:t>15.6</w:t>
      </w:r>
      <w:r>
        <w:rPr>
          <w:spacing w:val="-4"/>
          <w:sz w:val="24"/>
        </w:rPr>
        <w:t> </w:t>
      </w:r>
      <w:r>
        <w:rPr>
          <w:sz w:val="24"/>
        </w:rPr>
        <w:t>µg/mL</w:t>
      </w:r>
      <w:r>
        <w:rPr>
          <w:spacing w:val="-2"/>
          <w:sz w:val="24"/>
        </w:rPr>
        <w:t> (</w:t>
      </w:r>
      <w:r>
        <w:rPr>
          <w:sz w:val="24"/>
        </w:rPr>
        <w:t>LFX</w:t>
      </w:r>
      <w:r>
        <w:rPr>
          <w:spacing w:val="-4"/>
          <w:sz w:val="24"/>
        </w:rPr>
        <w:t> </w:t>
      </w:r>
      <w:r>
        <w:rPr>
          <w:sz w:val="24"/>
        </w:rPr>
        <w:t>1000</w:t>
      </w:r>
      <w:r>
        <w:rPr>
          <w:spacing w:val="-5"/>
          <w:sz w:val="24"/>
        </w:rPr>
        <w:t> </w:t>
      </w:r>
      <w:r>
        <w:rPr>
          <w:sz w:val="24"/>
        </w:rPr>
        <w:t>mg</w:t>
      </w:r>
      <w:r>
        <w:rPr>
          <w:spacing w:val="1"/>
          <w:sz w:val="24"/>
        </w:rPr>
        <w:t>)、</w:t>
      </w:r>
      <w:r>
        <w:rPr>
          <w:sz w:val="24"/>
        </w:rPr>
        <w:t>6.1</w:t>
      </w:r>
      <w:r>
        <w:rPr>
          <w:spacing w:val="-5"/>
          <w:sz w:val="24"/>
        </w:rPr>
        <w:t> </w:t>
      </w:r>
      <w:r>
        <w:rPr>
          <w:sz w:val="24"/>
        </w:rPr>
        <w:t>µg/mL</w:t>
      </w:r>
      <w:r>
        <w:rPr>
          <w:spacing w:val="-5"/>
          <w:sz w:val="24"/>
        </w:rPr>
        <w:t> </w:t>
      </w:r>
      <w:r>
        <w:rPr>
          <w:sz w:val="24"/>
        </w:rPr>
        <w:t>(MFX</w:t>
      </w:r>
      <w:r>
        <w:rPr>
          <w:spacing w:val="-4"/>
          <w:sz w:val="24"/>
        </w:rPr>
        <w:t> </w:t>
      </w:r>
      <w:r>
        <w:rPr>
          <w:sz w:val="24"/>
        </w:rPr>
        <w:t>400</w:t>
      </w:r>
      <w:r>
        <w:rPr>
          <w:spacing w:val="-6"/>
          <w:sz w:val="24"/>
        </w:rPr>
        <w:t> </w:t>
      </w:r>
      <w:r>
        <w:rPr>
          <w:sz w:val="24"/>
        </w:rPr>
        <w:t>mg) </w:t>
      </w:r>
      <w:r>
        <w:rPr>
          <w:spacing w:val="21"/>
          <w:sz w:val="24"/>
        </w:rPr>
        <w:t>可達 </w:t>
      </w:r>
      <w:r>
        <w:rPr>
          <w:sz w:val="24"/>
        </w:rPr>
        <w:t>1-2</w:t>
      </w:r>
      <w:r>
        <w:rPr>
          <w:spacing w:val="36"/>
          <w:sz w:val="24"/>
        </w:rPr>
        <w:t> 小時，血中最低抑菌濃度(</w:t>
      </w:r>
      <w:r>
        <w:rPr>
          <w:sz w:val="24"/>
        </w:rPr>
        <w:t>MIC) 約 0.5-0.125</w:t>
      </w:r>
      <w:r>
        <w:rPr>
          <w:spacing w:val="13"/>
          <w:sz w:val="24"/>
        </w:rPr>
        <w:t> </w:t>
      </w:r>
      <w:r>
        <w:rPr>
          <w:sz w:val="24"/>
        </w:rPr>
        <w:t>µg/mL(7H11</w:t>
      </w:r>
      <w:r>
        <w:rPr>
          <w:spacing w:val="14"/>
          <w:sz w:val="24"/>
        </w:rPr>
        <w:t> </w:t>
      </w:r>
      <w:r>
        <w:rPr>
          <w:sz w:val="24"/>
        </w:rPr>
        <w:t>solid </w:t>
      </w:r>
      <w:r>
        <w:rPr>
          <w:spacing w:val="-6"/>
          <w:sz w:val="24"/>
        </w:rPr>
        <w:t>media</w:t>
      </w:r>
      <w:r>
        <w:rPr>
          <w:spacing w:val="-4"/>
          <w:sz w:val="24"/>
        </w:rPr>
        <w:t>)，與其他抗結核的主要藥物無交叉抗藥性。必須搭配多種其他抗結核藥才能奏效，若單獨使用於治療結核病，很快就會引發抗藥性。應避免單獨使用於治療復</w:t>
      </w:r>
      <w:r>
        <w:rPr>
          <w:spacing w:val="2"/>
          <w:sz w:val="24"/>
        </w:rPr>
        <w:t>發或疑似失敗之病人。</w:t>
      </w:r>
    </w:p>
    <w:p>
      <w:pPr>
        <w:pStyle w:val="ListParagraph"/>
        <w:numPr>
          <w:ilvl w:val="3"/>
          <w:numId w:val="43"/>
        </w:numPr>
        <w:tabs>
          <w:tab w:pos="965" w:val="left" w:leader="none"/>
        </w:tabs>
        <w:spacing w:line="410" w:lineRule="exact" w:before="0" w:after="0"/>
        <w:ind w:left="964" w:right="0" w:hanging="257"/>
        <w:jc w:val="both"/>
        <w:rPr>
          <w:sz w:val="24"/>
        </w:rPr>
      </w:pPr>
      <w:r>
        <w:rPr>
          <w:sz w:val="24"/>
        </w:rPr>
        <w:t>Quinolones</w:t>
      </w:r>
      <w:r>
        <w:rPr>
          <w:spacing w:val="9"/>
          <w:sz w:val="24"/>
        </w:rPr>
        <w:t> 抗藥與結核分枝桿菌 </w:t>
      </w:r>
      <w:r>
        <w:rPr>
          <w:i/>
          <w:sz w:val="25"/>
        </w:rPr>
        <w:t>gyrA</w:t>
      </w:r>
      <w:r>
        <w:rPr>
          <w:i/>
          <w:spacing w:val="18"/>
          <w:sz w:val="25"/>
        </w:rPr>
        <w:t>, </w:t>
      </w:r>
      <w:r>
        <w:rPr>
          <w:i/>
          <w:sz w:val="25"/>
        </w:rPr>
        <w:t>gyrB</w:t>
      </w:r>
      <w:r>
        <w:rPr>
          <w:i/>
          <w:spacing w:val="4"/>
          <w:sz w:val="25"/>
        </w:rPr>
        <w:t> </w:t>
      </w:r>
      <w:r>
        <w:rPr>
          <w:spacing w:val="12"/>
          <w:sz w:val="24"/>
        </w:rPr>
        <w:t>基因突變有關。基因突變機率約</w:t>
      </w:r>
    </w:p>
    <w:p>
      <w:pPr>
        <w:spacing w:line="407" w:lineRule="exact" w:before="0"/>
        <w:ind w:left="964" w:right="0" w:firstLine="0"/>
        <w:jc w:val="both"/>
        <w:rPr>
          <w:sz w:val="24"/>
        </w:rPr>
      </w:pPr>
      <w:r>
        <w:rPr>
          <w:sz w:val="24"/>
        </w:rPr>
        <w:t>2×10</w:t>
      </w:r>
      <w:r>
        <w:rPr>
          <w:position w:val="11"/>
          <w:sz w:val="16"/>
        </w:rPr>
        <w:t>-6 </w:t>
      </w:r>
      <w:r>
        <w:rPr>
          <w:sz w:val="24"/>
        </w:rPr>
        <w:t>- 1×10</w:t>
      </w:r>
      <w:r>
        <w:rPr>
          <w:position w:val="11"/>
          <w:sz w:val="16"/>
        </w:rPr>
        <w:t>-8 </w:t>
      </w:r>
      <w:r>
        <w:rPr>
          <w:sz w:val="24"/>
        </w:rPr>
        <w:t>。</w:t>
      </w:r>
    </w:p>
    <w:p>
      <w:pPr>
        <w:pStyle w:val="ListParagraph"/>
        <w:numPr>
          <w:ilvl w:val="3"/>
          <w:numId w:val="43"/>
        </w:numPr>
        <w:tabs>
          <w:tab w:pos="965" w:val="left" w:leader="none"/>
        </w:tabs>
        <w:spacing w:line="408" w:lineRule="exact" w:before="0" w:after="0"/>
        <w:ind w:left="964" w:right="0" w:hanging="257"/>
        <w:jc w:val="both"/>
        <w:rPr>
          <w:sz w:val="24"/>
        </w:rPr>
      </w:pPr>
      <w:r>
        <w:rPr>
          <w:spacing w:val="2"/>
          <w:sz w:val="24"/>
        </w:rPr>
        <w:t>治療劑量：</w:t>
      </w:r>
    </w:p>
    <w:p>
      <w:pPr>
        <w:pStyle w:val="BodyText"/>
        <w:spacing w:line="220" w:lineRule="auto" w:before="8"/>
        <w:ind w:left="972" w:right="1545"/>
        <w:jc w:val="both"/>
      </w:pPr>
      <w:r>
        <w:rPr/>
        <w:t>3-1 LFX 為 500~1000 mg/day，通常給予 750 mg/day；MFX 為 400 mg/day 3-2 兒童劑量請參閱本指引第八章。</w:t>
      </w:r>
    </w:p>
    <w:p>
      <w:pPr>
        <w:pStyle w:val="ListParagraph"/>
        <w:numPr>
          <w:ilvl w:val="1"/>
          <w:numId w:val="68"/>
        </w:numPr>
        <w:tabs>
          <w:tab w:pos="1462" w:val="left" w:leader="none"/>
        </w:tabs>
        <w:spacing w:line="398" w:lineRule="exact" w:before="0" w:after="0"/>
        <w:ind w:left="1461" w:right="0" w:hanging="490"/>
        <w:jc w:val="both"/>
        <w:rPr>
          <w:sz w:val="24"/>
        </w:rPr>
      </w:pPr>
      <w:r>
        <w:rPr>
          <w:spacing w:val="2"/>
          <w:sz w:val="24"/>
        </w:rPr>
        <w:t>哺乳婦女因考慮幼兒可能會有關節病變，除非必要否則不建議使用。</w:t>
      </w:r>
    </w:p>
    <w:p>
      <w:pPr>
        <w:pStyle w:val="ListParagraph"/>
        <w:numPr>
          <w:ilvl w:val="1"/>
          <w:numId w:val="68"/>
        </w:numPr>
        <w:tabs>
          <w:tab w:pos="1462" w:val="left" w:leader="none"/>
        </w:tabs>
        <w:spacing w:line="220" w:lineRule="auto" w:before="9" w:after="0"/>
        <w:ind w:left="1461" w:right="1302" w:hanging="489"/>
        <w:jc w:val="both"/>
        <w:rPr>
          <w:sz w:val="24"/>
        </w:rPr>
      </w:pPr>
      <w:r>
        <w:rPr>
          <w:spacing w:val="4"/>
          <w:sz w:val="24"/>
        </w:rPr>
        <w:t>當 </w:t>
      </w:r>
      <w:r>
        <w:rPr>
          <w:sz w:val="24"/>
        </w:rPr>
        <w:t>Ccr&lt;30mL/minute</w:t>
      </w:r>
      <w:r>
        <w:rPr>
          <w:spacing w:val="-15"/>
          <w:sz w:val="24"/>
        </w:rPr>
        <w:t> 時，</w:t>
      </w:r>
      <w:r>
        <w:rPr>
          <w:spacing w:val="-10"/>
          <w:sz w:val="24"/>
        </w:rPr>
        <w:t>LFX</w:t>
      </w:r>
      <w:r>
        <w:rPr>
          <w:spacing w:val="3"/>
          <w:sz w:val="24"/>
        </w:rPr>
        <w:t> 應改為每週 </w:t>
      </w:r>
      <w:r>
        <w:rPr>
          <w:sz w:val="24"/>
        </w:rPr>
        <w:t>3</w:t>
      </w:r>
      <w:r>
        <w:rPr>
          <w:spacing w:val="-10"/>
          <w:sz w:val="24"/>
        </w:rPr>
        <w:t> 次，劑量為 </w:t>
      </w:r>
      <w:r>
        <w:rPr>
          <w:sz w:val="24"/>
        </w:rPr>
        <w:t>750~1000</w:t>
      </w:r>
      <w:r>
        <w:rPr>
          <w:spacing w:val="-8"/>
          <w:sz w:val="24"/>
        </w:rPr>
        <w:t> </w:t>
      </w:r>
      <w:r>
        <w:rPr>
          <w:spacing w:val="-6"/>
          <w:sz w:val="24"/>
        </w:rPr>
        <w:t>mg/day， </w:t>
      </w:r>
      <w:r>
        <w:rPr>
          <w:spacing w:val="3"/>
          <w:sz w:val="24"/>
        </w:rPr>
        <w:t>但 </w:t>
      </w:r>
      <w:r>
        <w:rPr>
          <w:sz w:val="24"/>
        </w:rPr>
        <w:t>MFX</w:t>
      </w:r>
      <w:r>
        <w:rPr>
          <w:spacing w:val="1"/>
          <w:sz w:val="24"/>
        </w:rPr>
        <w:t> 則不需因腎功能而調整給藥頻率及劑量。</w:t>
      </w:r>
    </w:p>
    <w:p>
      <w:pPr>
        <w:pStyle w:val="ListParagraph"/>
        <w:numPr>
          <w:ilvl w:val="3"/>
          <w:numId w:val="43"/>
        </w:numPr>
        <w:tabs>
          <w:tab w:pos="965" w:val="left" w:leader="none"/>
        </w:tabs>
        <w:spacing w:line="220" w:lineRule="auto" w:before="0" w:after="0"/>
        <w:ind w:left="964" w:right="1363" w:hanging="256"/>
        <w:jc w:val="both"/>
        <w:rPr>
          <w:sz w:val="24"/>
        </w:rPr>
      </w:pPr>
      <w:r>
        <w:rPr>
          <w:sz w:val="24"/>
        </w:rPr>
        <w:t>不良反應：腸胃不適、全身倦怠、頭痛、頭暈，失眠、過敏性反應、皮膚炎、皮膚</w:t>
      </w:r>
      <w:r>
        <w:rPr>
          <w:spacing w:val="2"/>
          <w:sz w:val="24"/>
        </w:rPr>
        <w:t>搔癢、光照敏感(</w:t>
      </w:r>
      <w:r>
        <w:rPr>
          <w:sz w:val="24"/>
        </w:rPr>
        <w:t>phototoxicity</w:t>
      </w:r>
      <w:r>
        <w:rPr>
          <w:spacing w:val="2"/>
          <w:sz w:val="24"/>
        </w:rPr>
        <w:t>)等。</w:t>
      </w:r>
    </w:p>
    <w:p>
      <w:pPr>
        <w:pStyle w:val="ListParagraph"/>
        <w:numPr>
          <w:ilvl w:val="3"/>
          <w:numId w:val="43"/>
        </w:numPr>
        <w:tabs>
          <w:tab w:pos="965" w:val="left" w:leader="none"/>
        </w:tabs>
        <w:spacing w:line="402" w:lineRule="exact" w:before="0" w:after="0"/>
        <w:ind w:left="964" w:right="0" w:hanging="257"/>
        <w:jc w:val="both"/>
        <w:rPr>
          <w:sz w:val="24"/>
        </w:rPr>
      </w:pPr>
      <w:r>
        <w:rPr>
          <w:spacing w:val="2"/>
          <w:sz w:val="24"/>
        </w:rPr>
        <w:t>罕見不良反應：</w:t>
      </w:r>
    </w:p>
    <w:p>
      <w:pPr>
        <w:pStyle w:val="ListParagraph"/>
        <w:numPr>
          <w:ilvl w:val="1"/>
          <w:numId w:val="69"/>
        </w:numPr>
        <w:tabs>
          <w:tab w:pos="1462" w:val="left" w:leader="none"/>
        </w:tabs>
        <w:spacing w:line="406" w:lineRule="exact" w:before="0" w:after="0"/>
        <w:ind w:left="1461" w:right="0" w:hanging="490"/>
        <w:jc w:val="left"/>
        <w:rPr>
          <w:sz w:val="24"/>
        </w:rPr>
      </w:pPr>
      <w:r>
        <w:rPr>
          <w:spacing w:val="2"/>
          <w:sz w:val="24"/>
        </w:rPr>
        <w:t>肌腱斷裂 (</w:t>
      </w:r>
      <w:r>
        <w:rPr>
          <w:sz w:val="24"/>
        </w:rPr>
        <w:t>Tendon</w:t>
      </w:r>
      <w:r>
        <w:rPr>
          <w:spacing w:val="5"/>
          <w:sz w:val="24"/>
        </w:rPr>
        <w:t> </w:t>
      </w:r>
      <w:r>
        <w:rPr>
          <w:sz w:val="24"/>
        </w:rPr>
        <w:t>rupture)</w:t>
      </w:r>
    </w:p>
    <w:p>
      <w:pPr>
        <w:pStyle w:val="ListParagraph"/>
        <w:numPr>
          <w:ilvl w:val="1"/>
          <w:numId w:val="69"/>
        </w:numPr>
        <w:tabs>
          <w:tab w:pos="1462" w:val="left" w:leader="none"/>
        </w:tabs>
        <w:spacing w:line="220" w:lineRule="auto" w:before="6" w:after="0"/>
        <w:ind w:left="972" w:right="4416" w:firstLine="0"/>
        <w:jc w:val="left"/>
        <w:rPr>
          <w:sz w:val="24"/>
        </w:rPr>
      </w:pPr>
      <w:r>
        <w:rPr>
          <w:spacing w:val="5"/>
          <w:sz w:val="24"/>
        </w:rPr>
        <w:t>關節痛 (</w:t>
      </w:r>
      <w:r>
        <w:rPr>
          <w:sz w:val="24"/>
        </w:rPr>
        <w:t>Arthralgias)，通常症狀治療即可緩解。5-3</w:t>
      </w:r>
      <w:r>
        <w:rPr>
          <w:spacing w:val="8"/>
          <w:sz w:val="24"/>
        </w:rPr>
        <w:t> 心律不整 (</w:t>
      </w:r>
      <w:r>
        <w:rPr>
          <w:sz w:val="24"/>
        </w:rPr>
        <w:t>QT</w:t>
      </w:r>
      <w:r>
        <w:rPr>
          <w:spacing w:val="5"/>
          <w:sz w:val="24"/>
        </w:rPr>
        <w:t> </w:t>
      </w:r>
      <w:r>
        <w:rPr>
          <w:sz w:val="24"/>
        </w:rPr>
        <w:t>interval</w:t>
      </w:r>
      <w:r>
        <w:rPr>
          <w:spacing w:val="6"/>
          <w:sz w:val="24"/>
        </w:rPr>
        <w:t> </w:t>
      </w:r>
      <w:r>
        <w:rPr>
          <w:sz w:val="24"/>
        </w:rPr>
        <w:t>prolongation)</w:t>
      </w:r>
    </w:p>
    <w:p>
      <w:pPr>
        <w:pStyle w:val="ListParagraph"/>
        <w:numPr>
          <w:ilvl w:val="1"/>
          <w:numId w:val="70"/>
        </w:numPr>
        <w:tabs>
          <w:tab w:pos="1462" w:val="left" w:leader="none"/>
        </w:tabs>
        <w:spacing w:line="398" w:lineRule="exact" w:before="0" w:after="0"/>
        <w:ind w:left="1461" w:right="0" w:hanging="490"/>
        <w:jc w:val="left"/>
        <w:rPr>
          <w:sz w:val="24"/>
        </w:rPr>
      </w:pPr>
      <w:r>
        <w:rPr>
          <w:spacing w:val="2"/>
          <w:sz w:val="24"/>
        </w:rPr>
        <w:t>低血糖症 (</w:t>
      </w:r>
      <w:r>
        <w:rPr>
          <w:sz w:val="24"/>
        </w:rPr>
        <w:t>hypoglycemia)</w:t>
      </w:r>
    </w:p>
    <w:p>
      <w:pPr>
        <w:pStyle w:val="ListParagraph"/>
        <w:numPr>
          <w:ilvl w:val="1"/>
          <w:numId w:val="70"/>
        </w:numPr>
        <w:tabs>
          <w:tab w:pos="1462" w:val="left" w:leader="none"/>
        </w:tabs>
        <w:spacing w:line="223" w:lineRule="auto" w:before="5" w:after="0"/>
        <w:ind w:left="972" w:right="6195" w:firstLine="0"/>
        <w:jc w:val="left"/>
        <w:rPr>
          <w:color w:val="FF0000"/>
          <w:sz w:val="24"/>
        </w:rPr>
      </w:pPr>
      <w:r>
        <w:rPr>
          <w:color w:val="FF0000"/>
          <w:spacing w:val="4"/>
          <w:sz w:val="24"/>
        </w:rPr>
        <w:t>主動脈剝離 (</w:t>
      </w:r>
      <w:r>
        <w:rPr>
          <w:color w:val="FF0000"/>
          <w:sz w:val="24"/>
        </w:rPr>
        <w:t>Aortic</w:t>
      </w:r>
      <w:r>
        <w:rPr>
          <w:color w:val="FF0000"/>
          <w:spacing w:val="12"/>
          <w:sz w:val="24"/>
        </w:rPr>
        <w:t> </w:t>
      </w:r>
      <w:r>
        <w:rPr>
          <w:color w:val="FF0000"/>
          <w:sz w:val="24"/>
        </w:rPr>
        <w:t>dissection) 5-6</w:t>
      </w:r>
      <w:r>
        <w:rPr>
          <w:color w:val="FF0000"/>
          <w:spacing w:val="8"/>
          <w:sz w:val="24"/>
        </w:rPr>
        <w:t> 主動脈瘤 (</w:t>
      </w:r>
      <w:r>
        <w:rPr>
          <w:color w:val="FF0000"/>
          <w:sz w:val="24"/>
        </w:rPr>
        <w:t>Aortic</w:t>
      </w:r>
      <w:r>
        <w:rPr>
          <w:color w:val="FF0000"/>
          <w:spacing w:val="7"/>
          <w:sz w:val="24"/>
        </w:rPr>
        <w:t> </w:t>
      </w:r>
      <w:r>
        <w:rPr>
          <w:color w:val="FF0000"/>
          <w:sz w:val="24"/>
        </w:rPr>
        <w:t>aneurysm)</w:t>
      </w:r>
    </w:p>
    <w:p>
      <w:pPr>
        <w:spacing w:after="0" w:line="223" w:lineRule="auto"/>
        <w:jc w:val="left"/>
        <w:rPr>
          <w:sz w:val="24"/>
        </w:rPr>
        <w:sectPr>
          <w:pgSz w:w="12250" w:h="17190"/>
          <w:pgMar w:header="0" w:footer="748" w:top="1460" w:bottom="1020" w:left="1180" w:right="0"/>
        </w:sectPr>
      </w:pPr>
    </w:p>
    <w:p>
      <w:pPr>
        <w:pStyle w:val="ListParagraph"/>
        <w:numPr>
          <w:ilvl w:val="3"/>
          <w:numId w:val="43"/>
        </w:numPr>
        <w:tabs>
          <w:tab w:pos="965" w:val="left" w:leader="none"/>
        </w:tabs>
        <w:spacing w:line="424" w:lineRule="exact" w:before="19" w:after="0"/>
        <w:ind w:left="964" w:right="0" w:hanging="257"/>
        <w:jc w:val="left"/>
        <w:rPr>
          <w:sz w:val="24"/>
        </w:rPr>
      </w:pPr>
      <w:r>
        <w:rPr>
          <w:spacing w:val="2"/>
          <w:sz w:val="24"/>
        </w:rPr>
        <w:t>藥物交互作用：</w:t>
      </w:r>
    </w:p>
    <w:p>
      <w:pPr>
        <w:pStyle w:val="ListParagraph"/>
        <w:numPr>
          <w:ilvl w:val="1"/>
          <w:numId w:val="71"/>
        </w:numPr>
        <w:tabs>
          <w:tab w:pos="1462" w:val="left" w:leader="none"/>
        </w:tabs>
        <w:spacing w:line="406" w:lineRule="exact" w:before="0" w:after="0"/>
        <w:ind w:left="1461" w:right="0" w:hanging="490"/>
        <w:jc w:val="left"/>
        <w:rPr>
          <w:sz w:val="24"/>
        </w:rPr>
      </w:pPr>
      <w:r>
        <w:rPr>
          <w:spacing w:val="2"/>
          <w:sz w:val="24"/>
        </w:rPr>
        <w:t>避免與抗心律不整藥物 </w:t>
      </w:r>
      <w:r>
        <w:rPr>
          <w:sz w:val="24"/>
        </w:rPr>
        <w:t>class</w:t>
      </w:r>
      <w:r>
        <w:rPr>
          <w:spacing w:val="2"/>
          <w:sz w:val="24"/>
        </w:rPr>
        <w:t> </w:t>
      </w:r>
      <w:r>
        <w:rPr>
          <w:sz w:val="24"/>
        </w:rPr>
        <w:t>Ia</w:t>
      </w:r>
      <w:r>
        <w:rPr>
          <w:spacing w:val="8"/>
          <w:sz w:val="24"/>
        </w:rPr>
        <w:t> </w:t>
      </w:r>
      <w:r>
        <w:rPr>
          <w:sz w:val="24"/>
        </w:rPr>
        <w:t>（quinidine</w:t>
      </w:r>
      <w:r>
        <w:rPr>
          <w:spacing w:val="4"/>
          <w:sz w:val="24"/>
        </w:rPr>
        <w:t>、</w:t>
      </w:r>
      <w:r>
        <w:rPr>
          <w:sz w:val="24"/>
        </w:rPr>
        <w:t>procainamide</w:t>
      </w:r>
      <w:r>
        <w:rPr>
          <w:spacing w:val="3"/>
          <w:sz w:val="24"/>
        </w:rPr>
        <w:t> 等）或 </w:t>
      </w:r>
      <w:r>
        <w:rPr>
          <w:sz w:val="24"/>
        </w:rPr>
        <w:t>class</w:t>
      </w:r>
      <w:r>
        <w:rPr>
          <w:spacing w:val="4"/>
          <w:sz w:val="24"/>
        </w:rPr>
        <w:t> </w:t>
      </w:r>
      <w:r>
        <w:rPr>
          <w:sz w:val="24"/>
        </w:rPr>
        <w:t>III</w:t>
      </w:r>
    </w:p>
    <w:p>
      <w:pPr>
        <w:pStyle w:val="BodyText"/>
        <w:spacing w:line="406" w:lineRule="exact"/>
        <w:ind w:left="1461"/>
      </w:pPr>
      <w:r>
        <w:rPr/>
        <w:t>（amiodarone、sotalol 等）類藥物合併使用。</w:t>
      </w:r>
    </w:p>
    <w:p>
      <w:pPr>
        <w:pStyle w:val="ListParagraph"/>
        <w:numPr>
          <w:ilvl w:val="1"/>
          <w:numId w:val="71"/>
        </w:numPr>
        <w:tabs>
          <w:tab w:pos="1462" w:val="left" w:leader="none"/>
        </w:tabs>
        <w:spacing w:line="406" w:lineRule="exact" w:before="0" w:after="0"/>
        <w:ind w:left="1461" w:right="0" w:hanging="490"/>
        <w:jc w:val="left"/>
        <w:rPr>
          <w:sz w:val="24"/>
        </w:rPr>
      </w:pPr>
      <w:r>
        <w:rPr>
          <w:spacing w:val="2"/>
          <w:sz w:val="24"/>
        </w:rPr>
        <w:t>不可與制酸劑(</w:t>
      </w:r>
      <w:r>
        <w:rPr>
          <w:sz w:val="24"/>
        </w:rPr>
        <w:t>antacids</w:t>
      </w:r>
      <w:r>
        <w:rPr>
          <w:spacing w:val="2"/>
          <w:sz w:val="24"/>
        </w:rPr>
        <w:t>)、</w:t>
      </w:r>
      <w:r>
        <w:rPr>
          <w:sz w:val="24"/>
        </w:rPr>
        <w:t>sucralfate</w:t>
      </w:r>
      <w:r>
        <w:rPr>
          <w:spacing w:val="2"/>
          <w:sz w:val="24"/>
        </w:rPr>
        <w:t> 類藥物併用。</w:t>
      </w:r>
    </w:p>
    <w:p>
      <w:pPr>
        <w:pStyle w:val="ListParagraph"/>
        <w:numPr>
          <w:ilvl w:val="1"/>
          <w:numId w:val="71"/>
        </w:numPr>
        <w:tabs>
          <w:tab w:pos="1462" w:val="left" w:leader="none"/>
        </w:tabs>
        <w:spacing w:line="220" w:lineRule="auto" w:before="8" w:after="0"/>
        <w:ind w:left="1461" w:right="1361" w:hanging="489"/>
        <w:jc w:val="left"/>
        <w:rPr>
          <w:sz w:val="24"/>
        </w:rPr>
      </w:pPr>
      <w:r>
        <w:rPr>
          <w:sz w:val="24"/>
        </w:rPr>
        <w:t>Fluoroquinolones</w:t>
      </w:r>
      <w:r>
        <w:rPr>
          <w:spacing w:val="2"/>
          <w:sz w:val="24"/>
        </w:rPr>
        <w:t> 會阻斷神經肌肉傳遞，已有報告會誘發重症肌無力，雖然</w:t>
      </w:r>
      <w:r>
        <w:rPr>
          <w:spacing w:val="3"/>
          <w:sz w:val="24"/>
        </w:rPr>
        <w:t>病例不多，使用時需謹慎監測。</w:t>
      </w:r>
    </w:p>
    <w:p>
      <w:pPr>
        <w:pStyle w:val="Heading7"/>
        <w:numPr>
          <w:ilvl w:val="2"/>
          <w:numId w:val="43"/>
        </w:numPr>
        <w:tabs>
          <w:tab w:pos="985" w:val="left" w:leader="none"/>
        </w:tabs>
        <w:spacing w:line="436" w:lineRule="exact" w:before="178" w:after="0"/>
        <w:ind w:left="984" w:right="0" w:hanging="683"/>
        <w:jc w:val="left"/>
      </w:pPr>
      <w:bookmarkStart w:name="6.2.2 Kanamycin (KM)/Amikacin (AMK)" w:id="61"/>
      <w:bookmarkEnd w:id="61"/>
      <w:r>
        <w:rPr>
          <w:b w:val="0"/>
        </w:rPr>
      </w:r>
      <w:bookmarkStart w:name="6.2.2 Kanamycin (KM)/Amikacin (AMK)" w:id="62"/>
      <w:bookmarkEnd w:id="62"/>
      <w:r>
        <w:rPr/>
        <w:t>Kan</w:t>
      </w:r>
      <w:r>
        <w:rPr/>
        <w:t>amycin (KM)/Amikacin</w:t>
      </w:r>
      <w:r>
        <w:rPr>
          <w:spacing w:val="8"/>
        </w:rPr>
        <w:t> </w:t>
      </w:r>
      <w:r>
        <w:rPr/>
        <w:t>(AMK)</w:t>
      </w:r>
    </w:p>
    <w:p>
      <w:pPr>
        <w:pStyle w:val="ListParagraph"/>
        <w:numPr>
          <w:ilvl w:val="3"/>
          <w:numId w:val="43"/>
        </w:numPr>
        <w:tabs>
          <w:tab w:pos="965" w:val="left" w:leader="none"/>
        </w:tabs>
        <w:spacing w:line="220" w:lineRule="auto" w:before="20" w:after="0"/>
        <w:ind w:left="964" w:right="1358" w:hanging="256"/>
        <w:jc w:val="left"/>
        <w:rPr>
          <w:sz w:val="24"/>
        </w:rPr>
      </w:pPr>
      <w:r>
        <w:rPr>
          <w:spacing w:val="3"/>
          <w:sz w:val="24"/>
        </w:rPr>
        <w:t>藥理作用：其作用同 </w:t>
      </w:r>
      <w:r>
        <w:rPr>
          <w:sz w:val="24"/>
        </w:rPr>
        <w:t>SM</w:t>
      </w:r>
      <w:r>
        <w:rPr>
          <w:spacing w:val="2"/>
          <w:sz w:val="24"/>
        </w:rPr>
        <w:t>，抗結核的效力較弱，僅作為二線藥使用，用於再治療或</w:t>
      </w:r>
      <w:r>
        <w:rPr>
          <w:spacing w:val="3"/>
          <w:sz w:val="24"/>
        </w:rPr>
        <w:t>抗藥菌之病人。</w:t>
      </w:r>
      <w:r>
        <w:rPr>
          <w:sz w:val="24"/>
        </w:rPr>
        <w:t>KM</w:t>
      </w:r>
      <w:r>
        <w:rPr>
          <w:spacing w:val="2"/>
          <w:sz w:val="24"/>
        </w:rPr>
        <w:t> 與 </w:t>
      </w:r>
      <w:r>
        <w:rPr>
          <w:sz w:val="24"/>
        </w:rPr>
        <w:t>AMK</w:t>
      </w:r>
      <w:r>
        <w:rPr>
          <w:spacing w:val="1"/>
          <w:sz w:val="24"/>
        </w:rPr>
        <w:t> 的交互抗藥性高，但對 </w:t>
      </w:r>
      <w:r>
        <w:rPr>
          <w:sz w:val="24"/>
        </w:rPr>
        <w:t>SM</w:t>
      </w:r>
      <w:r>
        <w:rPr>
          <w:spacing w:val="3"/>
          <w:sz w:val="24"/>
        </w:rPr>
        <w:t> 抗藥的病人可能仍有效。</w:t>
      </w:r>
    </w:p>
    <w:p>
      <w:pPr>
        <w:pStyle w:val="ListParagraph"/>
        <w:numPr>
          <w:ilvl w:val="3"/>
          <w:numId w:val="43"/>
        </w:numPr>
        <w:tabs>
          <w:tab w:pos="965" w:val="left" w:leader="none"/>
        </w:tabs>
        <w:spacing w:line="398" w:lineRule="exact" w:before="0" w:after="0"/>
        <w:ind w:left="964" w:right="0" w:hanging="257"/>
        <w:jc w:val="left"/>
        <w:rPr>
          <w:sz w:val="24"/>
        </w:rPr>
      </w:pPr>
      <w:r>
        <w:rPr>
          <w:spacing w:val="2"/>
          <w:sz w:val="24"/>
        </w:rPr>
        <w:t>治療劑量：</w:t>
      </w:r>
    </w:p>
    <w:p>
      <w:pPr>
        <w:pStyle w:val="ListParagraph"/>
        <w:numPr>
          <w:ilvl w:val="1"/>
          <w:numId w:val="72"/>
        </w:numPr>
        <w:tabs>
          <w:tab w:pos="1462" w:val="left" w:leader="none"/>
        </w:tabs>
        <w:spacing w:line="220" w:lineRule="auto" w:before="8" w:after="0"/>
        <w:ind w:left="1461" w:right="1302" w:hanging="489"/>
        <w:jc w:val="left"/>
        <w:rPr>
          <w:sz w:val="24"/>
        </w:rPr>
      </w:pPr>
      <w:r>
        <w:rPr>
          <w:spacing w:val="2"/>
          <w:sz w:val="24"/>
        </w:rPr>
        <w:t>成人每日劑量 </w:t>
      </w:r>
      <w:r>
        <w:rPr>
          <w:spacing w:val="-8"/>
          <w:sz w:val="24"/>
        </w:rPr>
        <w:t>15mg/kg</w:t>
      </w:r>
      <w:r>
        <w:rPr>
          <w:spacing w:val="1"/>
          <w:sz w:val="24"/>
        </w:rPr>
        <w:t>，最大劑量 </w:t>
      </w:r>
      <w:r>
        <w:rPr>
          <w:sz w:val="24"/>
        </w:rPr>
        <w:t>1000</w:t>
      </w:r>
      <w:r>
        <w:rPr>
          <w:spacing w:val="-10"/>
          <w:sz w:val="24"/>
        </w:rPr>
        <w:t> </w:t>
      </w:r>
      <w:r>
        <w:rPr>
          <w:spacing w:val="-24"/>
          <w:sz w:val="24"/>
        </w:rPr>
        <w:t>mg</w:t>
      </w:r>
      <w:r>
        <w:rPr>
          <w:spacing w:val="-6"/>
          <w:sz w:val="24"/>
        </w:rPr>
        <w:t>，可採肌肉注射或靜脈注射給予， </w:t>
      </w:r>
      <w:r>
        <w:rPr>
          <w:spacing w:val="2"/>
          <w:sz w:val="24"/>
        </w:rPr>
        <w:t>通常累積總劑量建議應小於 </w:t>
      </w:r>
      <w:r>
        <w:rPr>
          <w:sz w:val="24"/>
        </w:rPr>
        <w:t>120</w:t>
      </w:r>
      <w:r>
        <w:rPr>
          <w:spacing w:val="5"/>
          <w:sz w:val="24"/>
        </w:rPr>
        <w:t> </w:t>
      </w:r>
      <w:r>
        <w:rPr>
          <w:spacing w:val="2"/>
          <w:sz w:val="24"/>
        </w:rPr>
        <w:t>g，但治療 </w:t>
      </w:r>
      <w:r>
        <w:rPr>
          <w:sz w:val="24"/>
        </w:rPr>
        <w:t>MDR/XDR-TB</w:t>
      </w:r>
      <w:r>
        <w:rPr>
          <w:spacing w:val="1"/>
          <w:sz w:val="24"/>
        </w:rPr>
        <w:t>，可能會超過。</w:t>
      </w:r>
    </w:p>
    <w:p>
      <w:pPr>
        <w:pStyle w:val="ListParagraph"/>
        <w:numPr>
          <w:ilvl w:val="1"/>
          <w:numId w:val="72"/>
        </w:numPr>
        <w:tabs>
          <w:tab w:pos="1462" w:val="left" w:leader="none"/>
        </w:tabs>
        <w:spacing w:line="220" w:lineRule="auto" w:before="0" w:after="0"/>
        <w:ind w:left="1461" w:right="1361" w:hanging="489"/>
        <w:jc w:val="left"/>
        <w:rPr>
          <w:sz w:val="24"/>
        </w:rPr>
      </w:pPr>
      <w:r>
        <w:rPr>
          <w:spacing w:val="3"/>
          <w:sz w:val="24"/>
        </w:rPr>
        <w:t>大於 </w:t>
      </w:r>
      <w:r>
        <w:rPr>
          <w:sz w:val="24"/>
        </w:rPr>
        <w:t>60</w:t>
      </w:r>
      <w:r>
        <w:rPr>
          <w:spacing w:val="-2"/>
          <w:sz w:val="24"/>
        </w:rPr>
        <w:t> 歲以上之老人、或體重小於 </w:t>
      </w:r>
      <w:r>
        <w:rPr>
          <w:sz w:val="24"/>
        </w:rPr>
        <w:t>50</w:t>
      </w:r>
      <w:r>
        <w:rPr>
          <w:spacing w:val="-10"/>
          <w:sz w:val="24"/>
        </w:rPr>
        <w:t> </w:t>
      </w:r>
      <w:r>
        <w:rPr>
          <w:sz w:val="24"/>
        </w:rPr>
        <w:t>kg</w:t>
      </w:r>
      <w:r>
        <w:rPr>
          <w:spacing w:val="-3"/>
          <w:sz w:val="24"/>
        </w:rPr>
        <w:t> 者，可考慮給予每日劑量 </w:t>
      </w:r>
      <w:r>
        <w:rPr>
          <w:sz w:val="24"/>
        </w:rPr>
        <w:t>500-750 mg</w:t>
      </w:r>
      <w:r>
        <w:rPr>
          <w:spacing w:val="2"/>
          <w:sz w:val="24"/>
        </w:rPr>
        <w:t> 或依體重 </w:t>
      </w:r>
      <w:r>
        <w:rPr>
          <w:sz w:val="24"/>
        </w:rPr>
        <w:t>10</w:t>
      </w:r>
      <w:r>
        <w:rPr>
          <w:spacing w:val="4"/>
          <w:sz w:val="24"/>
        </w:rPr>
        <w:t> </w:t>
      </w:r>
      <w:r>
        <w:rPr>
          <w:sz w:val="24"/>
        </w:rPr>
        <w:t>mg/kg。</w:t>
      </w:r>
    </w:p>
    <w:p>
      <w:pPr>
        <w:pStyle w:val="ListParagraph"/>
        <w:numPr>
          <w:ilvl w:val="1"/>
          <w:numId w:val="72"/>
        </w:numPr>
        <w:tabs>
          <w:tab w:pos="1462" w:val="left" w:leader="none"/>
        </w:tabs>
        <w:spacing w:line="398" w:lineRule="exact" w:before="0" w:after="0"/>
        <w:ind w:left="1461" w:right="0" w:hanging="490"/>
        <w:jc w:val="left"/>
        <w:rPr>
          <w:sz w:val="24"/>
        </w:rPr>
      </w:pPr>
      <w:r>
        <w:rPr>
          <w:spacing w:val="3"/>
          <w:sz w:val="24"/>
        </w:rPr>
        <w:t>兒童劑量請參閱本指引第八章。</w:t>
      </w:r>
    </w:p>
    <w:p>
      <w:pPr>
        <w:pStyle w:val="ListParagraph"/>
        <w:numPr>
          <w:ilvl w:val="1"/>
          <w:numId w:val="72"/>
        </w:numPr>
        <w:tabs>
          <w:tab w:pos="1462" w:val="left" w:leader="none"/>
        </w:tabs>
        <w:spacing w:line="406" w:lineRule="exact" w:before="0" w:after="0"/>
        <w:ind w:left="1461" w:right="0" w:hanging="490"/>
        <w:jc w:val="left"/>
        <w:rPr>
          <w:sz w:val="24"/>
        </w:rPr>
      </w:pPr>
      <w:r>
        <w:rPr>
          <w:spacing w:val="2"/>
          <w:sz w:val="24"/>
        </w:rPr>
        <w:t>孕婦、聽神經障礙者、重症肌無力病人為禁忌症。</w:t>
      </w:r>
    </w:p>
    <w:p>
      <w:pPr>
        <w:pStyle w:val="ListParagraph"/>
        <w:numPr>
          <w:ilvl w:val="1"/>
          <w:numId w:val="72"/>
        </w:numPr>
        <w:tabs>
          <w:tab w:pos="1462" w:val="left" w:leader="none"/>
        </w:tabs>
        <w:spacing w:line="406" w:lineRule="exact" w:before="0" w:after="0"/>
        <w:ind w:left="1461" w:right="0" w:hanging="490"/>
        <w:jc w:val="left"/>
        <w:rPr>
          <w:sz w:val="24"/>
        </w:rPr>
      </w:pPr>
      <w:r>
        <w:rPr>
          <w:spacing w:val="3"/>
          <w:sz w:val="24"/>
        </w:rPr>
        <w:t>腎功能不全者，需調整給藥頻率為一週 </w:t>
      </w:r>
      <w:r>
        <w:rPr>
          <w:sz w:val="24"/>
        </w:rPr>
        <w:t>2-3</w:t>
      </w:r>
      <w:r>
        <w:rPr>
          <w:spacing w:val="5"/>
          <w:sz w:val="24"/>
        </w:rPr>
        <w:t> 次，每次劑量則可維持 </w:t>
      </w:r>
      <w:r>
        <w:rPr>
          <w:sz w:val="24"/>
        </w:rPr>
        <w:t>15</w:t>
      </w:r>
      <w:r>
        <w:rPr>
          <w:spacing w:val="6"/>
          <w:sz w:val="24"/>
        </w:rPr>
        <w:t> </w:t>
      </w:r>
      <w:r>
        <w:rPr>
          <w:spacing w:val="-9"/>
          <w:sz w:val="24"/>
        </w:rPr>
        <w:t>（12-</w:t>
      </w:r>
    </w:p>
    <w:p>
      <w:pPr>
        <w:pStyle w:val="BodyText"/>
        <w:spacing w:line="406" w:lineRule="exact"/>
        <w:ind w:left="1461"/>
      </w:pPr>
      <w:r>
        <w:rPr/>
        <w:t>15）mg/kg 不變；血液透析病人，於透析後使用。</w:t>
      </w:r>
    </w:p>
    <w:p>
      <w:pPr>
        <w:pStyle w:val="ListParagraph"/>
        <w:numPr>
          <w:ilvl w:val="3"/>
          <w:numId w:val="43"/>
        </w:numPr>
        <w:tabs>
          <w:tab w:pos="965" w:val="left" w:leader="none"/>
        </w:tabs>
        <w:spacing w:line="406" w:lineRule="exact" w:before="0" w:after="0"/>
        <w:ind w:left="964" w:right="0" w:hanging="257"/>
        <w:jc w:val="left"/>
        <w:rPr>
          <w:sz w:val="24"/>
        </w:rPr>
      </w:pPr>
      <w:r>
        <w:rPr>
          <w:spacing w:val="2"/>
          <w:sz w:val="24"/>
        </w:rPr>
        <w:t>不良反應：</w:t>
      </w:r>
    </w:p>
    <w:p>
      <w:pPr>
        <w:pStyle w:val="ListParagraph"/>
        <w:numPr>
          <w:ilvl w:val="1"/>
          <w:numId w:val="73"/>
        </w:numPr>
        <w:tabs>
          <w:tab w:pos="1462" w:val="left" w:leader="none"/>
        </w:tabs>
        <w:spacing w:line="406" w:lineRule="exact" w:before="0" w:after="0"/>
        <w:ind w:left="1461" w:right="0" w:hanging="490"/>
        <w:jc w:val="left"/>
        <w:rPr>
          <w:sz w:val="24"/>
        </w:rPr>
      </w:pPr>
      <w:r>
        <w:rPr>
          <w:spacing w:val="3"/>
          <w:sz w:val="24"/>
        </w:rPr>
        <w:t>常見的副作用為注射處疼痛、肌肉僵硬。</w:t>
      </w:r>
    </w:p>
    <w:p>
      <w:pPr>
        <w:pStyle w:val="ListParagraph"/>
        <w:numPr>
          <w:ilvl w:val="1"/>
          <w:numId w:val="73"/>
        </w:numPr>
        <w:tabs>
          <w:tab w:pos="1462" w:val="left" w:leader="none"/>
        </w:tabs>
        <w:spacing w:line="406" w:lineRule="exact" w:before="0" w:after="0"/>
        <w:ind w:left="1461" w:right="0" w:hanging="490"/>
        <w:jc w:val="left"/>
        <w:rPr>
          <w:sz w:val="24"/>
        </w:rPr>
      </w:pPr>
      <w:r>
        <w:rPr>
          <w:spacing w:val="-1"/>
          <w:sz w:val="24"/>
        </w:rPr>
        <w:t>耳毒性</w:t>
      </w:r>
      <w:r>
        <w:rPr>
          <w:sz w:val="24"/>
        </w:rPr>
        <w:t>（ototoxity）：第八對腦神經損傷，暈眩或聽力及平衡障礙可能發生。</w:t>
      </w:r>
    </w:p>
    <w:p>
      <w:pPr>
        <w:pStyle w:val="ListParagraph"/>
        <w:numPr>
          <w:ilvl w:val="1"/>
          <w:numId w:val="73"/>
        </w:numPr>
        <w:tabs>
          <w:tab w:pos="1462" w:val="left" w:leader="none"/>
        </w:tabs>
        <w:spacing w:line="220" w:lineRule="auto" w:before="7" w:after="0"/>
        <w:ind w:left="1461" w:right="1358" w:hanging="489"/>
        <w:jc w:val="left"/>
        <w:rPr>
          <w:sz w:val="24"/>
        </w:rPr>
      </w:pPr>
      <w:r>
        <w:rPr>
          <w:spacing w:val="-3"/>
          <w:sz w:val="24"/>
        </w:rPr>
        <w:t>腎毒性偶亦發生，對腎功能障礙或同時使用其他腎毒性藥物之病人，會增加其</w:t>
      </w:r>
      <w:r>
        <w:rPr>
          <w:spacing w:val="2"/>
          <w:sz w:val="24"/>
        </w:rPr>
        <w:t>腎毒性的機會。</w:t>
      </w:r>
    </w:p>
    <w:p>
      <w:pPr>
        <w:pStyle w:val="ListParagraph"/>
        <w:numPr>
          <w:ilvl w:val="1"/>
          <w:numId w:val="73"/>
        </w:numPr>
        <w:tabs>
          <w:tab w:pos="1462" w:val="left" w:leader="none"/>
        </w:tabs>
        <w:spacing w:line="220" w:lineRule="auto" w:before="1" w:after="0"/>
        <w:ind w:left="1461" w:right="1363" w:hanging="489"/>
        <w:jc w:val="left"/>
        <w:rPr>
          <w:sz w:val="24"/>
        </w:rPr>
      </w:pPr>
      <w:r>
        <w:rPr>
          <w:spacing w:val="8"/>
          <w:sz w:val="24"/>
        </w:rPr>
        <w:t>耳毒性或腎毒性較易發生在高齡病人，且與累積劑量及最高血中藥物濃度有</w:t>
      </w:r>
      <w:r>
        <w:rPr>
          <w:spacing w:val="3"/>
          <w:sz w:val="24"/>
        </w:rPr>
        <w:t>關。因此，用藥前最好先檢查一下聽力與平衡功能。</w:t>
      </w:r>
    </w:p>
    <w:p>
      <w:pPr>
        <w:pStyle w:val="ListParagraph"/>
        <w:numPr>
          <w:ilvl w:val="3"/>
          <w:numId w:val="43"/>
        </w:numPr>
        <w:tabs>
          <w:tab w:pos="965" w:val="left" w:leader="none"/>
        </w:tabs>
        <w:spacing w:line="398" w:lineRule="exact" w:before="0" w:after="0"/>
        <w:ind w:left="964" w:right="0" w:hanging="257"/>
        <w:jc w:val="left"/>
        <w:rPr>
          <w:sz w:val="24"/>
        </w:rPr>
      </w:pPr>
      <w:r>
        <w:rPr>
          <w:spacing w:val="2"/>
          <w:sz w:val="24"/>
        </w:rPr>
        <w:t>罕見不良反應：</w:t>
      </w:r>
    </w:p>
    <w:p>
      <w:pPr>
        <w:pStyle w:val="ListParagraph"/>
        <w:numPr>
          <w:ilvl w:val="1"/>
          <w:numId w:val="74"/>
        </w:numPr>
        <w:tabs>
          <w:tab w:pos="1462" w:val="left" w:leader="none"/>
        </w:tabs>
        <w:spacing w:line="406" w:lineRule="exact" w:before="0" w:after="0"/>
        <w:ind w:left="1461" w:right="0" w:hanging="490"/>
        <w:jc w:val="left"/>
        <w:rPr>
          <w:sz w:val="24"/>
        </w:rPr>
      </w:pPr>
      <w:r>
        <w:rPr>
          <w:spacing w:val="24"/>
          <w:sz w:val="24"/>
        </w:rPr>
        <w:t>過敏反應</w:t>
      </w:r>
      <w:r>
        <w:rPr>
          <w:spacing w:val="4"/>
          <w:sz w:val="24"/>
        </w:rPr>
        <w:t>(anaphylaxis</w:t>
      </w:r>
      <w:r>
        <w:rPr>
          <w:spacing w:val="15"/>
          <w:sz w:val="24"/>
        </w:rPr>
        <w:t>)，交叉過敏反應(</w:t>
      </w:r>
      <w:r>
        <w:rPr>
          <w:spacing w:val="2"/>
          <w:sz w:val="24"/>
        </w:rPr>
        <w:t>cross-allergenicity</w:t>
      </w:r>
      <w:r>
        <w:rPr>
          <w:spacing w:val="16"/>
          <w:sz w:val="24"/>
        </w:rPr>
        <w:t>)可出現在不同</w:t>
      </w:r>
    </w:p>
    <w:p>
      <w:pPr>
        <w:pStyle w:val="BodyText"/>
        <w:spacing w:line="406" w:lineRule="exact"/>
        <w:ind w:left="1461"/>
      </w:pPr>
      <w:r>
        <w:rPr/>
        <w:t>aminoglycosides。</w:t>
      </w:r>
    </w:p>
    <w:p>
      <w:pPr>
        <w:pStyle w:val="ListParagraph"/>
        <w:numPr>
          <w:ilvl w:val="1"/>
          <w:numId w:val="74"/>
        </w:numPr>
        <w:tabs>
          <w:tab w:pos="1462" w:val="left" w:leader="none"/>
        </w:tabs>
        <w:spacing w:line="406" w:lineRule="exact" w:before="0" w:after="0"/>
        <w:ind w:left="1461" w:right="0" w:hanging="490"/>
        <w:jc w:val="left"/>
        <w:rPr>
          <w:sz w:val="24"/>
        </w:rPr>
      </w:pPr>
      <w:r>
        <w:rPr>
          <w:spacing w:val="3"/>
          <w:sz w:val="24"/>
        </w:rPr>
        <w:t>暫時性顆粒性白</w:t>
      </w:r>
      <w:r>
        <w:rPr>
          <w:color w:val="FF0000"/>
          <w:spacing w:val="3"/>
          <w:sz w:val="24"/>
        </w:rPr>
        <w:t>血球</w:t>
      </w:r>
      <w:r>
        <w:rPr>
          <w:spacing w:val="2"/>
          <w:sz w:val="24"/>
        </w:rPr>
        <w:t>缺乏症 (</w:t>
      </w:r>
      <w:r>
        <w:rPr>
          <w:sz w:val="24"/>
        </w:rPr>
        <w:t>agranulocytosis)。</w:t>
      </w:r>
    </w:p>
    <w:p>
      <w:pPr>
        <w:pStyle w:val="ListParagraph"/>
        <w:numPr>
          <w:ilvl w:val="1"/>
          <w:numId w:val="74"/>
        </w:numPr>
        <w:tabs>
          <w:tab w:pos="1462" w:val="left" w:leader="none"/>
        </w:tabs>
        <w:spacing w:line="220" w:lineRule="auto" w:before="7" w:after="0"/>
        <w:ind w:left="1461" w:right="1361" w:hanging="489"/>
        <w:jc w:val="left"/>
        <w:rPr>
          <w:sz w:val="24"/>
        </w:rPr>
      </w:pPr>
      <w:r>
        <w:rPr>
          <w:spacing w:val="-15"/>
          <w:sz w:val="24"/>
        </w:rPr>
        <w:t>噁心、嘔吐、貧血、白血球減少、血小板減少、心悸、關節痛、肝壞死(</w:t>
      </w:r>
      <w:r>
        <w:rPr>
          <w:sz w:val="24"/>
        </w:rPr>
        <w:t>hepatic necrosis</w:t>
      </w:r>
      <w:r>
        <w:rPr>
          <w:spacing w:val="2"/>
          <w:sz w:val="24"/>
        </w:rPr>
        <w:t>)、心肌炎、暫時性肝功能異常。</w:t>
      </w:r>
    </w:p>
    <w:p>
      <w:pPr>
        <w:pStyle w:val="ListParagraph"/>
        <w:numPr>
          <w:ilvl w:val="3"/>
          <w:numId w:val="43"/>
        </w:numPr>
        <w:tabs>
          <w:tab w:pos="965" w:val="left" w:leader="none"/>
        </w:tabs>
        <w:spacing w:line="398" w:lineRule="exact" w:before="0" w:after="0"/>
        <w:ind w:left="964" w:right="0" w:hanging="257"/>
        <w:jc w:val="left"/>
        <w:rPr>
          <w:sz w:val="24"/>
        </w:rPr>
      </w:pPr>
      <w:r>
        <w:rPr>
          <w:spacing w:val="2"/>
          <w:sz w:val="24"/>
        </w:rPr>
        <w:t>藥物交互作用：</w:t>
      </w:r>
    </w:p>
    <w:p>
      <w:pPr>
        <w:pStyle w:val="ListParagraph"/>
        <w:numPr>
          <w:ilvl w:val="1"/>
          <w:numId w:val="75"/>
        </w:numPr>
        <w:tabs>
          <w:tab w:pos="1450" w:val="left" w:leader="none"/>
        </w:tabs>
        <w:spacing w:line="406" w:lineRule="exact" w:before="0" w:after="0"/>
        <w:ind w:left="1449" w:right="0" w:hanging="489"/>
        <w:jc w:val="left"/>
        <w:rPr>
          <w:sz w:val="24"/>
        </w:rPr>
      </w:pPr>
      <w:r>
        <w:rPr>
          <w:spacing w:val="3"/>
          <w:sz w:val="24"/>
        </w:rPr>
        <w:t>與 </w:t>
      </w:r>
      <w:r>
        <w:rPr>
          <w:sz w:val="24"/>
        </w:rPr>
        <w:t>loop</w:t>
      </w:r>
      <w:r>
        <w:rPr>
          <w:spacing w:val="4"/>
          <w:sz w:val="24"/>
        </w:rPr>
        <w:t> </w:t>
      </w:r>
      <w:r>
        <w:rPr>
          <w:sz w:val="24"/>
        </w:rPr>
        <w:t>diuretics</w:t>
      </w:r>
      <w:r>
        <w:rPr>
          <w:spacing w:val="2"/>
          <w:sz w:val="24"/>
        </w:rPr>
        <w:t> 利尿劑合併使用時，可能增加其耳毒性。</w:t>
      </w:r>
    </w:p>
    <w:p>
      <w:pPr>
        <w:pStyle w:val="ListParagraph"/>
        <w:numPr>
          <w:ilvl w:val="1"/>
          <w:numId w:val="75"/>
        </w:numPr>
        <w:tabs>
          <w:tab w:pos="1450" w:val="left" w:leader="none"/>
        </w:tabs>
        <w:spacing w:line="220" w:lineRule="auto" w:before="8" w:after="0"/>
        <w:ind w:left="961" w:right="1213" w:firstLine="0"/>
        <w:jc w:val="left"/>
        <w:rPr>
          <w:sz w:val="24"/>
        </w:rPr>
      </w:pPr>
      <w:r>
        <w:rPr>
          <w:spacing w:val="44"/>
          <w:sz w:val="24"/>
        </w:rPr>
        <w:t>與</w:t>
      </w:r>
      <w:r>
        <w:rPr>
          <w:spacing w:val="-3"/>
          <w:sz w:val="24"/>
        </w:rPr>
        <w:t>non-depolarizing</w:t>
      </w:r>
      <w:r>
        <w:rPr>
          <w:spacing w:val="-11"/>
          <w:sz w:val="24"/>
        </w:rPr>
        <w:t> </w:t>
      </w:r>
      <w:r>
        <w:rPr>
          <w:spacing w:val="-3"/>
          <w:sz w:val="24"/>
        </w:rPr>
        <w:t>muscle</w:t>
      </w:r>
      <w:r>
        <w:rPr>
          <w:spacing w:val="-11"/>
          <w:sz w:val="24"/>
        </w:rPr>
        <w:t> </w:t>
      </w:r>
      <w:r>
        <w:rPr>
          <w:spacing w:val="-3"/>
          <w:sz w:val="24"/>
        </w:rPr>
        <w:t>relaxants</w:t>
      </w:r>
      <w:r>
        <w:rPr>
          <w:spacing w:val="-8"/>
          <w:sz w:val="24"/>
        </w:rPr>
        <w:t> 併用時可能造成呼吸抑制，需謹慎小心。</w:t>
      </w:r>
      <w:r>
        <w:rPr>
          <w:sz w:val="24"/>
        </w:rPr>
        <w:t>5-3</w:t>
      </w:r>
      <w:r>
        <w:rPr>
          <w:spacing w:val="40"/>
          <w:sz w:val="24"/>
        </w:rPr>
        <w:t> 與</w:t>
      </w:r>
      <w:r>
        <w:rPr>
          <w:sz w:val="24"/>
        </w:rPr>
        <w:t>amphotericin</w:t>
      </w:r>
      <w:r>
        <w:rPr>
          <w:spacing w:val="-6"/>
          <w:sz w:val="24"/>
        </w:rPr>
        <w:t> </w:t>
      </w:r>
      <w:r>
        <w:rPr>
          <w:spacing w:val="-16"/>
          <w:sz w:val="24"/>
        </w:rPr>
        <w:t>B</w:t>
      </w:r>
      <w:r>
        <w:rPr>
          <w:spacing w:val="-12"/>
          <w:sz w:val="24"/>
        </w:rPr>
        <w:t>、</w:t>
      </w:r>
      <w:r>
        <w:rPr>
          <w:sz w:val="24"/>
        </w:rPr>
        <w:t>foscarnet</w:t>
      </w:r>
      <w:r>
        <w:rPr>
          <w:spacing w:val="-14"/>
          <w:sz w:val="24"/>
        </w:rPr>
        <w:t>、</w:t>
      </w:r>
      <w:r>
        <w:rPr>
          <w:sz w:val="24"/>
        </w:rPr>
        <w:t>cidofovir</w:t>
      </w:r>
      <w:r>
        <w:rPr>
          <w:spacing w:val="-3"/>
          <w:sz w:val="24"/>
        </w:rPr>
        <w:t> 等合併使用時，需密切監測腎功能。</w:t>
      </w:r>
    </w:p>
    <w:p>
      <w:pPr>
        <w:spacing w:after="0" w:line="220" w:lineRule="auto"/>
        <w:jc w:val="left"/>
        <w:rPr>
          <w:sz w:val="24"/>
        </w:rPr>
        <w:sectPr>
          <w:pgSz w:w="12250" w:h="17190"/>
          <w:pgMar w:header="0" w:footer="748" w:top="1460" w:bottom="1020" w:left="1180" w:right="0"/>
        </w:sectPr>
      </w:pPr>
    </w:p>
    <w:p>
      <w:pPr>
        <w:pStyle w:val="Heading7"/>
        <w:numPr>
          <w:ilvl w:val="2"/>
          <w:numId w:val="43"/>
        </w:numPr>
        <w:tabs>
          <w:tab w:pos="961" w:val="left" w:leader="none"/>
        </w:tabs>
        <w:spacing w:line="240" w:lineRule="auto" w:before="46" w:after="0"/>
        <w:ind w:left="960" w:right="0" w:hanging="660"/>
        <w:jc w:val="both"/>
      </w:pPr>
      <w:r>
        <w:rPr/>
        <w:pict>
          <v:group style="position:absolute;margin-left:571.5pt;margin-top:.69085pt;width:40.9pt;height:316.05pt;mso-position-horizontal-relative:page;mso-position-vertical-relative:paragraph;z-index:251748352" coordorigin="11430,14" coordsize="818,6321">
            <v:shape style="position:absolute;left:11430;top:13;width:818;height:6321" coordorigin="11430,14" coordsize="818,6321" path="m12247,14l11595,14,11531,27,11478,62,11443,115,11430,179,11430,6169,11443,6234,11478,6286,11531,6322,11595,6335,12247,6335,12247,14xe" filled="true" fillcolor="#a6a6a6" stroked="false">
              <v:path arrowok="t"/>
              <v:fill type="solid"/>
            </v:shape>
            <v:shape style="position:absolute;left:11430;top:13;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bookmarkStart w:name="6.2.3 Prothionamide (TBN)" w:id="63"/>
      <w:bookmarkEnd w:id="63"/>
      <w:r>
        <w:rPr>
          <w:b w:val="0"/>
        </w:rPr>
      </w:r>
      <w:bookmarkStart w:name="6.2.3 Prothionamide (TBN)" w:id="64"/>
      <w:bookmarkEnd w:id="64"/>
      <w:r>
        <w:rPr/>
        <w:t>Pr</w:t>
      </w:r>
      <w:r>
        <w:rPr/>
        <w:t>othionamide</w:t>
      </w:r>
      <w:r>
        <w:rPr>
          <w:spacing w:val="4"/>
        </w:rPr>
        <w:t> </w:t>
      </w:r>
      <w:r>
        <w:rPr/>
        <w:t>(TBN)</w:t>
      </w:r>
    </w:p>
    <w:p>
      <w:pPr>
        <w:pStyle w:val="ListParagraph"/>
        <w:numPr>
          <w:ilvl w:val="3"/>
          <w:numId w:val="43"/>
        </w:numPr>
        <w:tabs>
          <w:tab w:pos="965" w:val="left" w:leader="none"/>
        </w:tabs>
        <w:spacing w:line="220" w:lineRule="auto" w:before="33" w:after="0"/>
        <w:ind w:left="964" w:right="1332" w:hanging="256"/>
        <w:jc w:val="both"/>
        <w:rPr>
          <w:sz w:val="24"/>
        </w:rPr>
      </w:pPr>
      <w:r>
        <w:rPr>
          <w:spacing w:val="-3"/>
          <w:sz w:val="24"/>
        </w:rPr>
        <w:t>藥理作用：對結核分枝桿菌和其他非結核分枝桿菌之抑菌、殺菌作用，取決於藥物</w:t>
      </w:r>
      <w:r>
        <w:rPr>
          <w:spacing w:val="-14"/>
          <w:sz w:val="24"/>
        </w:rPr>
        <w:t>的濃度和菌株的種類。胃腸道吸收快、分佈廣，可透過血腦屏障，半衰期比 </w:t>
      </w:r>
      <w:r>
        <w:rPr>
          <w:sz w:val="24"/>
        </w:rPr>
        <w:t>INH</w:t>
      </w:r>
      <w:r>
        <w:rPr>
          <w:spacing w:val="-20"/>
          <w:sz w:val="24"/>
        </w:rPr>
        <w:t> 短。</w:t>
      </w:r>
      <w:r>
        <w:rPr>
          <w:spacing w:val="-1"/>
          <w:sz w:val="24"/>
        </w:rPr>
        <w:t>當第一線抗結核藥無效時，與其他抗結核藥物合用，可治療抗藥性結核病和肺外結</w:t>
      </w:r>
      <w:r>
        <w:rPr>
          <w:spacing w:val="4"/>
          <w:sz w:val="24"/>
        </w:rPr>
        <w:t>核。</w:t>
      </w:r>
    </w:p>
    <w:p>
      <w:pPr>
        <w:pStyle w:val="ListParagraph"/>
        <w:numPr>
          <w:ilvl w:val="3"/>
          <w:numId w:val="43"/>
        </w:numPr>
        <w:tabs>
          <w:tab w:pos="965" w:val="left" w:leader="none"/>
        </w:tabs>
        <w:spacing w:line="398" w:lineRule="exact" w:before="0" w:after="0"/>
        <w:ind w:left="964" w:right="0" w:hanging="257"/>
        <w:jc w:val="both"/>
        <w:rPr>
          <w:sz w:val="24"/>
        </w:rPr>
      </w:pPr>
      <w:r>
        <w:rPr>
          <w:spacing w:val="2"/>
          <w:sz w:val="24"/>
        </w:rPr>
        <w:t>治療劑量：</w:t>
      </w:r>
    </w:p>
    <w:p>
      <w:pPr>
        <w:pStyle w:val="ListParagraph"/>
        <w:numPr>
          <w:ilvl w:val="1"/>
          <w:numId w:val="76"/>
        </w:numPr>
        <w:tabs>
          <w:tab w:pos="1450" w:val="left" w:leader="none"/>
        </w:tabs>
        <w:spacing w:line="220" w:lineRule="auto" w:before="9" w:after="0"/>
        <w:ind w:left="1449" w:right="1358" w:hanging="488"/>
        <w:jc w:val="left"/>
        <w:rPr>
          <w:sz w:val="24"/>
        </w:rPr>
      </w:pPr>
      <w:r>
        <w:rPr>
          <w:spacing w:val="3"/>
          <w:sz w:val="24"/>
        </w:rPr>
        <w:t>成人口服每日 </w:t>
      </w:r>
      <w:r>
        <w:rPr>
          <w:sz w:val="24"/>
        </w:rPr>
        <w:t>500~750</w:t>
      </w:r>
      <w:r>
        <w:rPr>
          <w:spacing w:val="-6"/>
          <w:sz w:val="24"/>
        </w:rPr>
        <w:t> </w:t>
      </w:r>
      <w:r>
        <w:rPr>
          <w:sz w:val="24"/>
        </w:rPr>
        <w:t>mg</w:t>
      </w:r>
      <w:r>
        <w:rPr>
          <w:spacing w:val="-4"/>
          <w:sz w:val="24"/>
        </w:rPr>
        <w:t> (</w:t>
      </w:r>
      <w:r>
        <w:rPr>
          <w:sz w:val="24"/>
        </w:rPr>
        <w:t>15-20</w:t>
      </w:r>
      <w:r>
        <w:rPr>
          <w:spacing w:val="-7"/>
          <w:sz w:val="24"/>
        </w:rPr>
        <w:t> </w:t>
      </w:r>
      <w:r>
        <w:rPr>
          <w:sz w:val="24"/>
        </w:rPr>
        <w:t>mg/kg/day</w:t>
      </w:r>
      <w:r>
        <w:rPr>
          <w:spacing w:val="2"/>
          <w:sz w:val="24"/>
        </w:rPr>
        <w:t>)，最多 </w:t>
      </w:r>
      <w:r>
        <w:rPr>
          <w:sz w:val="24"/>
        </w:rPr>
        <w:t>1</w:t>
      </w:r>
      <w:r>
        <w:rPr>
          <w:spacing w:val="-7"/>
          <w:sz w:val="24"/>
        </w:rPr>
        <w:t> </w:t>
      </w:r>
      <w:r>
        <w:rPr>
          <w:sz w:val="24"/>
        </w:rPr>
        <w:t>gm/day</w:t>
      </w:r>
      <w:r>
        <w:rPr>
          <w:spacing w:val="2"/>
          <w:sz w:val="24"/>
        </w:rPr>
        <w:t>，一次服用</w:t>
      </w:r>
      <w:r>
        <w:rPr>
          <w:spacing w:val="3"/>
          <w:sz w:val="24"/>
        </w:rPr>
        <w:t>或分次服用，必要時也可從小劑量開始。</w:t>
      </w:r>
    </w:p>
    <w:p>
      <w:pPr>
        <w:pStyle w:val="ListParagraph"/>
        <w:numPr>
          <w:ilvl w:val="1"/>
          <w:numId w:val="76"/>
        </w:numPr>
        <w:tabs>
          <w:tab w:pos="1450" w:val="left" w:leader="none"/>
        </w:tabs>
        <w:spacing w:line="398" w:lineRule="exact" w:before="0" w:after="0"/>
        <w:ind w:left="1449" w:right="0" w:hanging="488"/>
        <w:jc w:val="left"/>
        <w:rPr>
          <w:sz w:val="24"/>
        </w:rPr>
      </w:pPr>
      <w:r>
        <w:rPr>
          <w:spacing w:val="3"/>
          <w:sz w:val="24"/>
        </w:rPr>
        <w:t>兒童劑量請參閱本指引第八章。</w:t>
      </w:r>
    </w:p>
    <w:p>
      <w:pPr>
        <w:pStyle w:val="ListParagraph"/>
        <w:numPr>
          <w:ilvl w:val="1"/>
          <w:numId w:val="76"/>
        </w:numPr>
        <w:tabs>
          <w:tab w:pos="1450" w:val="left" w:leader="none"/>
        </w:tabs>
        <w:spacing w:line="406" w:lineRule="exact" w:before="0" w:after="0"/>
        <w:ind w:left="1449" w:right="0" w:hanging="488"/>
        <w:jc w:val="left"/>
        <w:rPr>
          <w:sz w:val="24"/>
        </w:rPr>
      </w:pPr>
      <w:r>
        <w:rPr>
          <w:spacing w:val="2"/>
          <w:sz w:val="24"/>
        </w:rPr>
        <w:t>此藥會經過胎盤並有致畸胎性，不建議孕婦使用。</w:t>
      </w:r>
    </w:p>
    <w:p>
      <w:pPr>
        <w:pStyle w:val="ListParagraph"/>
        <w:numPr>
          <w:ilvl w:val="1"/>
          <w:numId w:val="76"/>
        </w:numPr>
        <w:tabs>
          <w:tab w:pos="1450" w:val="left" w:leader="none"/>
        </w:tabs>
        <w:spacing w:line="406" w:lineRule="exact" w:before="0" w:after="0"/>
        <w:ind w:left="1449" w:right="0" w:hanging="488"/>
        <w:jc w:val="left"/>
        <w:rPr>
          <w:sz w:val="24"/>
        </w:rPr>
      </w:pPr>
      <w:r>
        <w:rPr/>
        <w:pict>
          <v:shape style="position:absolute;margin-left:574.289001pt;margin-top:1.845354pt;width:16.650pt;height:5.55pt;mso-position-horizontal-relative:page;mso-position-vertical-relative:paragraph;z-index:251750400"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3"/>
          <w:sz w:val="24"/>
        </w:rPr>
        <w:t>腎臟病人無須調整劑量。</w:t>
      </w:r>
    </w:p>
    <w:p>
      <w:pPr>
        <w:pStyle w:val="ListParagraph"/>
        <w:numPr>
          <w:ilvl w:val="1"/>
          <w:numId w:val="76"/>
        </w:numPr>
        <w:tabs>
          <w:tab w:pos="1450" w:val="left" w:leader="none"/>
        </w:tabs>
        <w:spacing w:line="220" w:lineRule="auto" w:before="7" w:after="0"/>
        <w:ind w:left="1449" w:right="1363" w:hanging="488"/>
        <w:jc w:val="left"/>
        <w:rPr>
          <w:sz w:val="24"/>
        </w:rPr>
      </w:pPr>
      <w:r>
        <w:rPr>
          <w:spacing w:val="2"/>
          <w:sz w:val="24"/>
        </w:rPr>
        <w:t>雖然目前僅有一點數據顯示，但仍建議服用 </w:t>
      </w:r>
      <w:r>
        <w:rPr>
          <w:sz w:val="24"/>
        </w:rPr>
        <w:t>TBN</w:t>
      </w:r>
      <w:r>
        <w:rPr>
          <w:spacing w:val="3"/>
          <w:sz w:val="24"/>
        </w:rPr>
        <w:t> 時，同時補充 </w:t>
      </w:r>
      <w:r>
        <w:rPr>
          <w:sz w:val="24"/>
        </w:rPr>
        <w:t>vitamin</w:t>
      </w:r>
      <w:r>
        <w:rPr>
          <w:spacing w:val="39"/>
          <w:sz w:val="24"/>
        </w:rPr>
        <w:t> </w:t>
      </w:r>
      <w:r>
        <w:rPr>
          <w:sz w:val="24"/>
        </w:rPr>
        <w:t>B6； </w:t>
      </w:r>
      <w:r>
        <w:rPr>
          <w:spacing w:val="3"/>
          <w:sz w:val="24"/>
        </w:rPr>
        <w:t>成人為 </w:t>
      </w:r>
      <w:r>
        <w:rPr>
          <w:sz w:val="24"/>
        </w:rPr>
        <w:t>100mg/day</w:t>
      </w:r>
      <w:r>
        <w:rPr>
          <w:spacing w:val="2"/>
          <w:sz w:val="24"/>
        </w:rPr>
        <w:t>，兒童為 </w:t>
      </w:r>
      <w:r>
        <w:rPr>
          <w:sz w:val="24"/>
        </w:rPr>
        <w:t>1~2mg/kg/day</w:t>
      </w:r>
      <w:r>
        <w:rPr>
          <w:spacing w:val="1"/>
          <w:sz w:val="24"/>
        </w:rPr>
        <w:t>(通常為 </w:t>
      </w:r>
      <w:r>
        <w:rPr>
          <w:sz w:val="24"/>
        </w:rPr>
        <w:t>10~50mg/day)。</w:t>
      </w:r>
    </w:p>
    <w:p>
      <w:pPr>
        <w:pStyle w:val="ListParagraph"/>
        <w:numPr>
          <w:ilvl w:val="1"/>
          <w:numId w:val="76"/>
        </w:numPr>
        <w:tabs>
          <w:tab w:pos="1450" w:val="left" w:leader="none"/>
        </w:tabs>
        <w:spacing w:line="398" w:lineRule="exact" w:before="0" w:after="0"/>
        <w:ind w:left="1449" w:right="0" w:hanging="488"/>
        <w:jc w:val="left"/>
        <w:rPr>
          <w:sz w:val="24"/>
        </w:rPr>
      </w:pPr>
      <w:r>
        <w:rPr>
          <w:spacing w:val="2"/>
          <w:sz w:val="24"/>
        </w:rPr>
        <w:t>規律服藥，千萬別為了補上錯過的劑量而使用雙倍劑量。</w:t>
      </w:r>
    </w:p>
    <w:p>
      <w:pPr>
        <w:pStyle w:val="ListParagraph"/>
        <w:numPr>
          <w:ilvl w:val="3"/>
          <w:numId w:val="43"/>
        </w:numPr>
        <w:tabs>
          <w:tab w:pos="965" w:val="left" w:leader="none"/>
        </w:tabs>
        <w:spacing w:line="406" w:lineRule="exact" w:before="0" w:after="0"/>
        <w:ind w:left="964" w:right="0" w:hanging="257"/>
        <w:jc w:val="left"/>
        <w:rPr>
          <w:sz w:val="24"/>
        </w:rPr>
      </w:pPr>
      <w:r>
        <w:rPr/>
        <w:pict>
          <v:shape style="position:absolute;margin-left:574.289001pt;margin-top:16.665346pt;width:16.650pt;height:5.55pt;mso-position-horizontal-relative:page;mso-position-vertical-relative:paragraph;z-index:251749376"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2"/>
          <w:sz w:val="24"/>
        </w:rPr>
        <w:t>不良反應：</w:t>
      </w:r>
    </w:p>
    <w:p>
      <w:pPr>
        <w:pStyle w:val="ListParagraph"/>
        <w:numPr>
          <w:ilvl w:val="1"/>
          <w:numId w:val="77"/>
        </w:numPr>
        <w:tabs>
          <w:tab w:pos="1450" w:val="left" w:leader="none"/>
        </w:tabs>
        <w:spacing w:line="220" w:lineRule="auto" w:before="9" w:after="0"/>
        <w:ind w:left="1449" w:right="1363" w:hanging="488"/>
        <w:jc w:val="left"/>
        <w:rPr>
          <w:sz w:val="24"/>
        </w:rPr>
      </w:pPr>
      <w:r>
        <w:rPr>
          <w:spacing w:val="-3"/>
          <w:sz w:val="24"/>
        </w:rPr>
        <w:t>胃腸道不良反應最常發生，如不能忍受，可酌情給予減量或暫時停止使用，待</w:t>
      </w:r>
      <w:r>
        <w:rPr>
          <w:spacing w:val="2"/>
          <w:sz w:val="24"/>
        </w:rPr>
        <w:t>症狀消失後繼續使用，若合用制酸劑可減輕症狀。</w:t>
      </w:r>
    </w:p>
    <w:p>
      <w:pPr>
        <w:pStyle w:val="ListParagraph"/>
        <w:numPr>
          <w:ilvl w:val="1"/>
          <w:numId w:val="77"/>
        </w:numPr>
        <w:tabs>
          <w:tab w:pos="1450" w:val="left" w:leader="none"/>
        </w:tabs>
        <w:spacing w:line="220" w:lineRule="auto" w:before="0" w:after="0"/>
        <w:ind w:left="1449" w:right="1301" w:hanging="488"/>
        <w:jc w:val="left"/>
        <w:rPr>
          <w:sz w:val="24"/>
        </w:rPr>
      </w:pPr>
      <w:r>
        <w:rPr>
          <w:spacing w:val="4"/>
          <w:sz w:val="24"/>
        </w:rPr>
        <w:t>約有 </w:t>
      </w:r>
      <w:r>
        <w:rPr>
          <w:sz w:val="24"/>
        </w:rPr>
        <w:t>1-3%</w:t>
      </w:r>
      <w:r>
        <w:rPr>
          <w:spacing w:val="-7"/>
          <w:sz w:val="24"/>
        </w:rPr>
        <w:t>的病人可能出現肝功能障礙，引起氨基轉氨酶升高，並可發生黃疸， </w:t>
      </w:r>
      <w:r>
        <w:rPr>
          <w:spacing w:val="3"/>
          <w:sz w:val="24"/>
        </w:rPr>
        <w:t>故用藥期間應定期檢查肝功能。</w:t>
      </w:r>
    </w:p>
    <w:p>
      <w:pPr>
        <w:pStyle w:val="ListParagraph"/>
        <w:numPr>
          <w:ilvl w:val="1"/>
          <w:numId w:val="77"/>
        </w:numPr>
        <w:tabs>
          <w:tab w:pos="1450" w:val="left" w:leader="none"/>
        </w:tabs>
        <w:spacing w:line="398" w:lineRule="exact" w:before="0" w:after="0"/>
        <w:ind w:left="1449" w:right="0" w:hanging="488"/>
        <w:jc w:val="left"/>
        <w:rPr>
          <w:sz w:val="24"/>
        </w:rPr>
      </w:pPr>
      <w:r>
        <w:rPr>
          <w:spacing w:val="2"/>
          <w:sz w:val="24"/>
        </w:rPr>
        <w:t>唾液金屬味(</w:t>
      </w:r>
      <w:r>
        <w:rPr>
          <w:sz w:val="24"/>
        </w:rPr>
        <w:t>metallic</w:t>
      </w:r>
      <w:r>
        <w:rPr>
          <w:spacing w:val="4"/>
          <w:sz w:val="24"/>
        </w:rPr>
        <w:t> </w:t>
      </w:r>
      <w:r>
        <w:rPr>
          <w:sz w:val="24"/>
        </w:rPr>
        <w:t>taste)</w:t>
      </w:r>
    </w:p>
    <w:p>
      <w:pPr>
        <w:pStyle w:val="ListParagraph"/>
        <w:numPr>
          <w:ilvl w:val="1"/>
          <w:numId w:val="77"/>
        </w:numPr>
        <w:tabs>
          <w:tab w:pos="1450" w:val="left" w:leader="none"/>
        </w:tabs>
        <w:spacing w:line="406" w:lineRule="exact" w:before="0" w:after="0"/>
        <w:ind w:left="1449" w:right="0" w:hanging="488"/>
        <w:jc w:val="left"/>
        <w:rPr>
          <w:sz w:val="24"/>
        </w:rPr>
      </w:pPr>
      <w:r>
        <w:rPr>
          <w:spacing w:val="2"/>
          <w:sz w:val="24"/>
        </w:rPr>
        <w:t>皮膚過敏。</w:t>
      </w:r>
    </w:p>
    <w:p>
      <w:pPr>
        <w:pStyle w:val="ListParagraph"/>
        <w:numPr>
          <w:ilvl w:val="3"/>
          <w:numId w:val="43"/>
        </w:numPr>
        <w:tabs>
          <w:tab w:pos="965" w:val="left" w:leader="none"/>
        </w:tabs>
        <w:spacing w:line="406" w:lineRule="exact" w:before="0" w:after="0"/>
        <w:ind w:left="964" w:right="0" w:hanging="257"/>
        <w:jc w:val="left"/>
        <w:rPr>
          <w:sz w:val="24"/>
        </w:rPr>
      </w:pPr>
      <w:r>
        <w:rPr>
          <w:spacing w:val="2"/>
          <w:sz w:val="24"/>
        </w:rPr>
        <w:t>罕見不良反應：</w:t>
      </w:r>
    </w:p>
    <w:p>
      <w:pPr>
        <w:pStyle w:val="ListParagraph"/>
        <w:numPr>
          <w:ilvl w:val="1"/>
          <w:numId w:val="78"/>
        </w:numPr>
        <w:tabs>
          <w:tab w:pos="1450" w:val="left" w:leader="none"/>
        </w:tabs>
        <w:spacing w:line="406" w:lineRule="exact" w:before="0" w:after="0"/>
        <w:ind w:left="1449" w:right="0" w:hanging="488"/>
        <w:jc w:val="left"/>
        <w:rPr>
          <w:sz w:val="24"/>
        </w:rPr>
      </w:pPr>
      <w:r>
        <w:rPr>
          <w:spacing w:val="2"/>
          <w:sz w:val="24"/>
        </w:rPr>
        <w:t>內分泌系統：男性女乳症、禿髮、陽萎、甲狀腺功能低下等。</w:t>
      </w:r>
    </w:p>
    <w:p>
      <w:pPr>
        <w:pStyle w:val="ListParagraph"/>
        <w:numPr>
          <w:ilvl w:val="1"/>
          <w:numId w:val="78"/>
        </w:numPr>
        <w:tabs>
          <w:tab w:pos="1450" w:val="left" w:leader="none"/>
        </w:tabs>
        <w:spacing w:line="406" w:lineRule="exact" w:before="0" w:after="0"/>
        <w:ind w:left="1449" w:right="0" w:hanging="488"/>
        <w:jc w:val="left"/>
        <w:rPr>
          <w:sz w:val="24"/>
        </w:rPr>
      </w:pPr>
      <w:r>
        <w:rPr>
          <w:spacing w:val="3"/>
          <w:sz w:val="24"/>
        </w:rPr>
        <w:t>低血糖，糖尿病人者須監測血糖</w:t>
      </w:r>
    </w:p>
    <w:p>
      <w:pPr>
        <w:pStyle w:val="ListParagraph"/>
        <w:numPr>
          <w:ilvl w:val="1"/>
          <w:numId w:val="78"/>
        </w:numPr>
        <w:tabs>
          <w:tab w:pos="1450" w:val="left" w:leader="none"/>
        </w:tabs>
        <w:spacing w:line="220" w:lineRule="auto" w:before="7" w:after="0"/>
        <w:ind w:left="1449" w:right="1362" w:hanging="488"/>
        <w:jc w:val="left"/>
        <w:rPr>
          <w:sz w:val="24"/>
        </w:rPr>
      </w:pPr>
      <w:r>
        <w:rPr>
          <w:sz w:val="24"/>
        </w:rPr>
        <w:t>神經及精神系統：中樞抑制、精神紊亂、精神抑鬱、幻覺、眩暈、驚厥、感覺</w:t>
      </w:r>
      <w:r>
        <w:rPr>
          <w:spacing w:val="3"/>
          <w:sz w:val="24"/>
        </w:rPr>
        <w:t>異常、視神經炎和嗅覺障礙。</w:t>
      </w:r>
    </w:p>
    <w:p>
      <w:pPr>
        <w:pStyle w:val="ListParagraph"/>
        <w:numPr>
          <w:ilvl w:val="3"/>
          <w:numId w:val="43"/>
        </w:numPr>
        <w:tabs>
          <w:tab w:pos="965" w:val="left" w:leader="none"/>
        </w:tabs>
        <w:spacing w:line="398" w:lineRule="exact" w:before="0" w:after="0"/>
        <w:ind w:left="964" w:right="0" w:hanging="257"/>
        <w:jc w:val="left"/>
        <w:rPr>
          <w:sz w:val="24"/>
        </w:rPr>
      </w:pPr>
      <w:r>
        <w:rPr>
          <w:spacing w:val="2"/>
          <w:sz w:val="24"/>
        </w:rPr>
        <w:t>藥物交互作用：</w:t>
      </w:r>
    </w:p>
    <w:p>
      <w:pPr>
        <w:pStyle w:val="ListParagraph"/>
        <w:numPr>
          <w:ilvl w:val="1"/>
          <w:numId w:val="79"/>
        </w:numPr>
        <w:tabs>
          <w:tab w:pos="1450" w:val="left" w:leader="none"/>
        </w:tabs>
        <w:spacing w:line="406" w:lineRule="exact" w:before="0" w:after="0"/>
        <w:ind w:left="1449" w:right="0" w:hanging="489"/>
        <w:jc w:val="left"/>
        <w:rPr>
          <w:sz w:val="24"/>
        </w:rPr>
      </w:pPr>
      <w:r>
        <w:rPr>
          <w:spacing w:val="2"/>
          <w:sz w:val="24"/>
        </w:rPr>
        <w:t>與 </w:t>
      </w:r>
      <w:r>
        <w:rPr>
          <w:sz w:val="24"/>
        </w:rPr>
        <w:t>CS</w:t>
      </w:r>
      <w:r>
        <w:rPr>
          <w:spacing w:val="3"/>
          <w:sz w:val="24"/>
        </w:rPr>
        <w:t> 合併使用時，可能增加神經毒性。</w:t>
      </w:r>
    </w:p>
    <w:p>
      <w:pPr>
        <w:pStyle w:val="ListParagraph"/>
        <w:numPr>
          <w:ilvl w:val="1"/>
          <w:numId w:val="79"/>
        </w:numPr>
        <w:tabs>
          <w:tab w:pos="1450" w:val="left" w:leader="none"/>
        </w:tabs>
        <w:spacing w:line="220" w:lineRule="auto" w:before="8" w:after="0"/>
        <w:ind w:left="1449" w:right="1362" w:hanging="488"/>
        <w:jc w:val="left"/>
        <w:rPr>
          <w:sz w:val="24"/>
        </w:rPr>
      </w:pPr>
      <w:r>
        <w:rPr>
          <w:spacing w:val="6"/>
          <w:sz w:val="24"/>
        </w:rPr>
        <w:t>與 </w:t>
      </w:r>
      <w:r>
        <w:rPr>
          <w:sz w:val="24"/>
        </w:rPr>
        <w:t>PAS</w:t>
      </w:r>
      <w:r>
        <w:rPr>
          <w:spacing w:val="3"/>
          <w:sz w:val="24"/>
        </w:rPr>
        <w:t> 合用時可能增加肝毒性，亦有可能併發甲狀腺腫</w:t>
      </w:r>
      <w:r>
        <w:rPr>
          <w:sz w:val="24"/>
        </w:rPr>
        <w:t>(goitre</w:t>
      </w:r>
      <w:r>
        <w:rPr>
          <w:spacing w:val="1"/>
          <w:sz w:val="24"/>
        </w:rPr>
        <w:t>)、或甲狀腺功</w:t>
      </w:r>
      <w:r>
        <w:rPr>
          <w:spacing w:val="2"/>
          <w:sz w:val="24"/>
        </w:rPr>
        <w:t>能低下症(</w:t>
      </w:r>
      <w:r>
        <w:rPr>
          <w:sz w:val="24"/>
        </w:rPr>
        <w:t>hypothyroidism</w:t>
      </w:r>
      <w:r>
        <w:rPr>
          <w:spacing w:val="1"/>
          <w:sz w:val="24"/>
        </w:rPr>
        <w:t>)，用藥期間應定期檢查甲狀腺功能。</w:t>
      </w:r>
    </w:p>
    <w:p>
      <w:pPr>
        <w:pStyle w:val="Heading7"/>
        <w:numPr>
          <w:ilvl w:val="2"/>
          <w:numId w:val="43"/>
        </w:numPr>
        <w:tabs>
          <w:tab w:pos="985" w:val="left" w:leader="none"/>
        </w:tabs>
        <w:spacing w:line="240" w:lineRule="auto" w:before="216" w:after="0"/>
        <w:ind w:left="984" w:right="0" w:hanging="683"/>
        <w:jc w:val="left"/>
      </w:pPr>
      <w:bookmarkStart w:name="6.2.4 Para-aminosalicylate (PAS)" w:id="65"/>
      <w:bookmarkEnd w:id="65"/>
      <w:r>
        <w:rPr>
          <w:b w:val="0"/>
        </w:rPr>
      </w:r>
      <w:bookmarkStart w:name="6.2.4 Para-aminosalicylate (PAS)" w:id="66"/>
      <w:bookmarkEnd w:id="66"/>
      <w:r>
        <w:rPr/>
        <w:t>Par</w:t>
      </w:r>
      <w:r>
        <w:rPr/>
        <w:t>a-aminosalicylate</w:t>
      </w:r>
      <w:r>
        <w:rPr>
          <w:spacing w:val="4"/>
        </w:rPr>
        <w:t> </w:t>
      </w:r>
      <w:r>
        <w:rPr/>
        <w:t>(PAS)</w:t>
      </w:r>
    </w:p>
    <w:p>
      <w:pPr>
        <w:pStyle w:val="ListParagraph"/>
        <w:numPr>
          <w:ilvl w:val="3"/>
          <w:numId w:val="43"/>
        </w:numPr>
        <w:tabs>
          <w:tab w:pos="965" w:val="left" w:leader="none"/>
        </w:tabs>
        <w:spacing w:line="220" w:lineRule="auto" w:before="40" w:after="0"/>
        <w:ind w:left="964" w:right="1357" w:hanging="256"/>
        <w:jc w:val="both"/>
        <w:rPr>
          <w:sz w:val="24"/>
        </w:rPr>
      </w:pPr>
      <w:r>
        <w:rPr>
          <w:spacing w:val="-4"/>
          <w:sz w:val="24"/>
        </w:rPr>
        <w:t>藥理作用：具有抑制結核分枝桿菌作用。口服吸收快而完全，腦膜炎病人可在腦脊</w:t>
      </w:r>
      <w:r>
        <w:rPr>
          <w:sz w:val="24"/>
        </w:rPr>
        <w:t>液中達到治療濃度。單獨使用療效差、效果慢，必須與其他抗結核藥物併用，以加</w:t>
      </w:r>
      <w:r>
        <w:rPr>
          <w:spacing w:val="3"/>
          <w:sz w:val="24"/>
        </w:rPr>
        <w:t>強療效並延緩抗藥性的發生。目前用於治療抗藥性結核病。</w:t>
      </w:r>
    </w:p>
    <w:p>
      <w:pPr>
        <w:spacing w:after="0" w:line="220" w:lineRule="auto"/>
        <w:jc w:val="both"/>
        <w:rPr>
          <w:sz w:val="24"/>
        </w:rPr>
        <w:sectPr>
          <w:pgSz w:w="12250" w:h="17190"/>
          <w:pgMar w:header="0" w:footer="748" w:top="1460" w:bottom="1020" w:left="1180" w:right="0"/>
        </w:sectPr>
      </w:pPr>
    </w:p>
    <w:p>
      <w:pPr>
        <w:pStyle w:val="ListParagraph"/>
        <w:numPr>
          <w:ilvl w:val="3"/>
          <w:numId w:val="43"/>
        </w:numPr>
        <w:tabs>
          <w:tab w:pos="965" w:val="left" w:leader="none"/>
        </w:tabs>
        <w:spacing w:line="433" w:lineRule="exact" w:before="22" w:after="0"/>
        <w:ind w:left="964" w:right="0" w:hanging="257"/>
        <w:jc w:val="left"/>
        <w:rPr>
          <w:sz w:val="24"/>
        </w:rPr>
      </w:pPr>
      <w:r>
        <w:rPr>
          <w:spacing w:val="2"/>
          <w:sz w:val="24"/>
        </w:rPr>
        <w:t>治療劑量：</w:t>
      </w:r>
    </w:p>
    <w:p>
      <w:pPr>
        <w:pStyle w:val="ListParagraph"/>
        <w:numPr>
          <w:ilvl w:val="1"/>
          <w:numId w:val="80"/>
        </w:numPr>
        <w:tabs>
          <w:tab w:pos="1450" w:val="left" w:leader="none"/>
        </w:tabs>
        <w:spacing w:line="421" w:lineRule="exact" w:before="0" w:after="0"/>
        <w:ind w:left="1449" w:right="0" w:hanging="489"/>
        <w:jc w:val="left"/>
        <w:rPr>
          <w:sz w:val="24"/>
        </w:rPr>
      </w:pPr>
      <w:r>
        <w:rPr>
          <w:spacing w:val="2"/>
          <w:sz w:val="24"/>
        </w:rPr>
        <w:t>成人口服每日 </w:t>
      </w:r>
      <w:r>
        <w:rPr>
          <w:sz w:val="24"/>
        </w:rPr>
        <w:t>150</w:t>
      </w:r>
      <w:r>
        <w:rPr>
          <w:spacing w:val="3"/>
          <w:sz w:val="24"/>
        </w:rPr>
        <w:t> </w:t>
      </w:r>
      <w:r>
        <w:rPr>
          <w:sz w:val="24"/>
        </w:rPr>
        <w:t>mg/kg</w:t>
      </w:r>
      <w:r>
        <w:rPr>
          <w:spacing w:val="1"/>
          <w:sz w:val="24"/>
        </w:rPr>
        <w:t>，最多 </w:t>
      </w:r>
      <w:r>
        <w:rPr>
          <w:sz w:val="24"/>
        </w:rPr>
        <w:t>12</w:t>
      </w:r>
      <w:r>
        <w:rPr>
          <w:spacing w:val="3"/>
          <w:sz w:val="24"/>
        </w:rPr>
        <w:t> </w:t>
      </w:r>
      <w:r>
        <w:rPr>
          <w:spacing w:val="2"/>
          <w:sz w:val="24"/>
        </w:rPr>
        <w:t>gm，每日 </w:t>
      </w:r>
      <w:r>
        <w:rPr>
          <w:sz w:val="24"/>
        </w:rPr>
        <w:t>2~3</w:t>
      </w:r>
      <w:r>
        <w:rPr>
          <w:spacing w:val="3"/>
          <w:sz w:val="24"/>
        </w:rPr>
        <w:t> 次，飯後服用。</w:t>
      </w:r>
    </w:p>
    <w:p>
      <w:pPr>
        <w:pStyle w:val="ListParagraph"/>
        <w:numPr>
          <w:ilvl w:val="1"/>
          <w:numId w:val="80"/>
        </w:numPr>
        <w:tabs>
          <w:tab w:pos="1450" w:val="left" w:leader="none"/>
        </w:tabs>
        <w:spacing w:line="416" w:lineRule="exact" w:before="0" w:after="0"/>
        <w:ind w:left="1449" w:right="0" w:hanging="489"/>
        <w:jc w:val="left"/>
        <w:rPr>
          <w:sz w:val="24"/>
        </w:rPr>
      </w:pPr>
      <w:r>
        <w:rPr>
          <w:spacing w:val="3"/>
          <w:sz w:val="24"/>
        </w:rPr>
        <w:t>兒童劑量請參閱本指引第八章。</w:t>
      </w:r>
    </w:p>
    <w:p>
      <w:pPr>
        <w:pStyle w:val="ListParagraph"/>
        <w:numPr>
          <w:ilvl w:val="1"/>
          <w:numId w:val="80"/>
        </w:numPr>
        <w:tabs>
          <w:tab w:pos="1450" w:val="left" w:leader="none"/>
        </w:tabs>
        <w:spacing w:line="416" w:lineRule="exact" w:before="0" w:after="0"/>
        <w:ind w:left="1449" w:right="0" w:hanging="489"/>
        <w:jc w:val="left"/>
        <w:rPr>
          <w:sz w:val="24"/>
        </w:rPr>
      </w:pPr>
      <w:r>
        <w:rPr>
          <w:spacing w:val="3"/>
          <w:sz w:val="24"/>
        </w:rPr>
        <w:t>曾有致畸胎性之報告，不建議孕婦使用。</w:t>
      </w:r>
    </w:p>
    <w:p>
      <w:pPr>
        <w:pStyle w:val="ListParagraph"/>
        <w:numPr>
          <w:ilvl w:val="1"/>
          <w:numId w:val="80"/>
        </w:numPr>
        <w:tabs>
          <w:tab w:pos="1450" w:val="left" w:leader="none"/>
        </w:tabs>
        <w:spacing w:line="416" w:lineRule="exact" w:before="0" w:after="0"/>
        <w:ind w:left="1449" w:right="0" w:hanging="489"/>
        <w:jc w:val="left"/>
        <w:rPr>
          <w:sz w:val="24"/>
        </w:rPr>
      </w:pPr>
      <w:r>
        <w:rPr>
          <w:spacing w:val="3"/>
          <w:sz w:val="24"/>
        </w:rPr>
        <w:t>腎功能不全者，劑量不變，但不建議使用在嚴重腎功能不全者。</w:t>
      </w:r>
    </w:p>
    <w:p>
      <w:pPr>
        <w:pStyle w:val="ListParagraph"/>
        <w:numPr>
          <w:ilvl w:val="1"/>
          <w:numId w:val="80"/>
        </w:numPr>
        <w:tabs>
          <w:tab w:pos="1450" w:val="left" w:leader="none"/>
        </w:tabs>
        <w:spacing w:line="429" w:lineRule="exact" w:before="0" w:after="0"/>
        <w:ind w:left="1449" w:right="0" w:hanging="489"/>
        <w:jc w:val="left"/>
        <w:rPr>
          <w:sz w:val="24"/>
        </w:rPr>
      </w:pPr>
      <w:r>
        <w:rPr>
          <w:sz w:val="24"/>
        </w:rPr>
        <w:t>G6PD</w:t>
      </w:r>
      <w:r>
        <w:rPr>
          <w:spacing w:val="3"/>
          <w:sz w:val="24"/>
        </w:rPr>
        <w:t> 缺乏者，需小心使用。</w:t>
      </w:r>
    </w:p>
    <w:p>
      <w:pPr>
        <w:pStyle w:val="ListParagraph"/>
        <w:numPr>
          <w:ilvl w:val="3"/>
          <w:numId w:val="43"/>
        </w:numPr>
        <w:tabs>
          <w:tab w:pos="965" w:val="left" w:leader="none"/>
        </w:tabs>
        <w:spacing w:line="429" w:lineRule="exact" w:before="22" w:after="0"/>
        <w:ind w:left="964" w:right="0" w:hanging="257"/>
        <w:jc w:val="left"/>
        <w:rPr>
          <w:sz w:val="24"/>
        </w:rPr>
      </w:pPr>
      <w:r>
        <w:rPr>
          <w:spacing w:val="2"/>
          <w:sz w:val="24"/>
        </w:rPr>
        <w:t>不良反應：</w:t>
      </w:r>
    </w:p>
    <w:p>
      <w:pPr>
        <w:pStyle w:val="BodyText"/>
        <w:spacing w:line="429" w:lineRule="exact"/>
        <w:ind w:left="953"/>
      </w:pPr>
      <w:r>
        <w:rPr/>
        <w:t>PAS 對胃腸道反應較大，可加服少量制酸劑，腸溶片也可減輕胃腸道不適。</w:t>
      </w:r>
    </w:p>
    <w:p>
      <w:pPr>
        <w:pStyle w:val="ListParagraph"/>
        <w:numPr>
          <w:ilvl w:val="3"/>
          <w:numId w:val="43"/>
        </w:numPr>
        <w:tabs>
          <w:tab w:pos="965" w:val="left" w:leader="none"/>
        </w:tabs>
        <w:spacing w:line="433" w:lineRule="exact" w:before="21" w:after="0"/>
        <w:ind w:left="964" w:right="0" w:hanging="257"/>
        <w:jc w:val="left"/>
        <w:rPr>
          <w:sz w:val="24"/>
        </w:rPr>
      </w:pPr>
      <w:r>
        <w:rPr>
          <w:spacing w:val="2"/>
          <w:sz w:val="24"/>
        </w:rPr>
        <w:t>罕見不良反應：</w:t>
      </w:r>
    </w:p>
    <w:p>
      <w:pPr>
        <w:pStyle w:val="BodyText"/>
        <w:spacing w:line="421" w:lineRule="exact"/>
        <w:ind w:left="961"/>
      </w:pPr>
      <w:r>
        <w:rPr/>
        <w:t>4-1 肝 毒 性 (0.3-0.5%)</w:t>
      </w:r>
    </w:p>
    <w:p>
      <w:pPr>
        <w:pStyle w:val="ListParagraph"/>
        <w:numPr>
          <w:ilvl w:val="1"/>
          <w:numId w:val="81"/>
        </w:numPr>
        <w:tabs>
          <w:tab w:pos="1450" w:val="left" w:leader="none"/>
        </w:tabs>
        <w:spacing w:line="416" w:lineRule="exact" w:before="0" w:after="0"/>
        <w:ind w:left="1449" w:right="0" w:hanging="489"/>
        <w:jc w:val="left"/>
        <w:rPr>
          <w:sz w:val="24"/>
        </w:rPr>
      </w:pPr>
      <w:r>
        <w:rPr>
          <w:spacing w:val="3"/>
          <w:sz w:val="24"/>
        </w:rPr>
        <w:t>偶有過敏性皮膚炎、藥物熱、關節痛等副作用。</w:t>
      </w:r>
    </w:p>
    <w:p>
      <w:pPr>
        <w:pStyle w:val="ListParagraph"/>
        <w:numPr>
          <w:ilvl w:val="1"/>
          <w:numId w:val="81"/>
        </w:numPr>
        <w:tabs>
          <w:tab w:pos="1450" w:val="left" w:leader="none"/>
        </w:tabs>
        <w:spacing w:line="416" w:lineRule="exact" w:before="0" w:after="0"/>
        <w:ind w:left="1449" w:right="0" w:hanging="489"/>
        <w:jc w:val="left"/>
        <w:rPr>
          <w:sz w:val="24"/>
        </w:rPr>
      </w:pPr>
      <w:r>
        <w:rPr>
          <w:spacing w:val="2"/>
          <w:sz w:val="24"/>
        </w:rPr>
        <w:t>鉀離子減少 (</w:t>
      </w:r>
      <w:r>
        <w:rPr>
          <w:sz w:val="24"/>
        </w:rPr>
        <w:t>hypokalemia)</w:t>
      </w:r>
    </w:p>
    <w:p>
      <w:pPr>
        <w:pStyle w:val="ListParagraph"/>
        <w:numPr>
          <w:ilvl w:val="1"/>
          <w:numId w:val="81"/>
        </w:numPr>
        <w:tabs>
          <w:tab w:pos="1450" w:val="left" w:leader="none"/>
        </w:tabs>
        <w:spacing w:line="225" w:lineRule="auto" w:before="6" w:after="0"/>
        <w:ind w:left="1449" w:right="1360" w:hanging="488"/>
        <w:jc w:val="left"/>
        <w:rPr>
          <w:sz w:val="24"/>
        </w:rPr>
      </w:pPr>
      <w:r>
        <w:rPr>
          <w:spacing w:val="4"/>
          <w:sz w:val="24"/>
        </w:rPr>
        <w:t>大劑量可抑制凝血酶原的合成，導致凝血時間延長。溶血性貧血 (</w:t>
      </w:r>
      <w:r>
        <w:rPr>
          <w:sz w:val="24"/>
        </w:rPr>
        <w:t>Hemolytic anemia)。</w:t>
      </w:r>
    </w:p>
    <w:p>
      <w:pPr>
        <w:pStyle w:val="ListParagraph"/>
        <w:numPr>
          <w:ilvl w:val="1"/>
          <w:numId w:val="81"/>
        </w:numPr>
        <w:tabs>
          <w:tab w:pos="1450" w:val="left" w:leader="none"/>
        </w:tabs>
        <w:spacing w:line="225" w:lineRule="auto" w:before="3" w:after="0"/>
        <w:ind w:left="1449" w:right="1363" w:hanging="488"/>
        <w:jc w:val="left"/>
        <w:rPr>
          <w:sz w:val="24"/>
        </w:rPr>
      </w:pPr>
      <w:r>
        <w:rPr>
          <w:spacing w:val="7"/>
          <w:sz w:val="24"/>
        </w:rPr>
        <w:t>與 </w:t>
      </w:r>
      <w:r>
        <w:rPr>
          <w:sz w:val="24"/>
        </w:rPr>
        <w:t>prothionamide</w:t>
      </w:r>
      <w:r>
        <w:rPr>
          <w:spacing w:val="-3"/>
          <w:sz w:val="24"/>
        </w:rPr>
        <w:t> (</w:t>
      </w:r>
      <w:r>
        <w:rPr>
          <w:sz w:val="24"/>
        </w:rPr>
        <w:t>TBN</w:t>
      </w:r>
      <w:r>
        <w:rPr>
          <w:spacing w:val="-3"/>
          <w:sz w:val="24"/>
        </w:rPr>
        <w:t>)合用時，可能併發甲狀腺腫 (</w:t>
      </w:r>
      <w:r>
        <w:rPr>
          <w:sz w:val="24"/>
        </w:rPr>
        <w:t>goitre)</w:t>
      </w:r>
      <w:r>
        <w:rPr>
          <w:spacing w:val="2"/>
          <w:sz w:val="24"/>
        </w:rPr>
        <w:t>或甲狀腺功能低</w:t>
      </w:r>
      <w:r>
        <w:rPr>
          <w:spacing w:val="3"/>
          <w:sz w:val="24"/>
        </w:rPr>
        <w:t>下症 (</w:t>
      </w:r>
      <w:r>
        <w:rPr>
          <w:sz w:val="24"/>
        </w:rPr>
        <w:t>hypothyroidism)，有時會出現粘液性水腫 (myxedma)。</w:t>
      </w:r>
    </w:p>
    <w:p>
      <w:pPr>
        <w:pStyle w:val="ListParagraph"/>
        <w:numPr>
          <w:ilvl w:val="1"/>
          <w:numId w:val="81"/>
        </w:numPr>
        <w:tabs>
          <w:tab w:pos="1475" w:val="left" w:leader="none"/>
        </w:tabs>
        <w:spacing w:line="424" w:lineRule="exact" w:before="0" w:after="0"/>
        <w:ind w:left="1474" w:right="0" w:hanging="514"/>
        <w:jc w:val="left"/>
        <w:rPr>
          <w:sz w:val="24"/>
        </w:rPr>
      </w:pPr>
      <w:r>
        <w:rPr>
          <w:spacing w:val="3"/>
          <w:sz w:val="24"/>
        </w:rPr>
        <w:t>急性腎衰竭。</w:t>
      </w:r>
    </w:p>
    <w:p>
      <w:pPr>
        <w:pStyle w:val="ListParagraph"/>
        <w:numPr>
          <w:ilvl w:val="3"/>
          <w:numId w:val="43"/>
        </w:numPr>
        <w:tabs>
          <w:tab w:pos="965" w:val="left" w:leader="none"/>
        </w:tabs>
        <w:spacing w:line="433" w:lineRule="exact" w:before="22" w:after="0"/>
        <w:ind w:left="964" w:right="0" w:hanging="257"/>
        <w:jc w:val="left"/>
        <w:rPr>
          <w:sz w:val="24"/>
        </w:rPr>
      </w:pPr>
      <w:r>
        <w:rPr>
          <w:spacing w:val="2"/>
          <w:sz w:val="24"/>
        </w:rPr>
        <w:t>藥物交互作用：</w:t>
      </w:r>
    </w:p>
    <w:p>
      <w:pPr>
        <w:pStyle w:val="ListParagraph"/>
        <w:numPr>
          <w:ilvl w:val="1"/>
          <w:numId w:val="82"/>
        </w:numPr>
        <w:tabs>
          <w:tab w:pos="1450" w:val="left" w:leader="none"/>
        </w:tabs>
        <w:spacing w:line="421" w:lineRule="exact" w:before="0" w:after="0"/>
        <w:ind w:left="1449" w:right="0" w:hanging="489"/>
        <w:jc w:val="left"/>
        <w:rPr>
          <w:sz w:val="24"/>
        </w:rPr>
      </w:pPr>
      <w:r>
        <w:rPr>
          <w:spacing w:val="2"/>
          <w:sz w:val="24"/>
        </w:rPr>
        <w:t>使用 </w:t>
      </w:r>
      <w:r>
        <w:rPr>
          <w:sz w:val="24"/>
        </w:rPr>
        <w:t>digoxin</w:t>
      </w:r>
      <w:r>
        <w:rPr>
          <w:spacing w:val="2"/>
          <w:sz w:val="24"/>
        </w:rPr>
        <w:t> 者，須監測 </w:t>
      </w:r>
      <w:r>
        <w:rPr>
          <w:sz w:val="24"/>
        </w:rPr>
        <w:t>digoxin</w:t>
      </w:r>
      <w:r>
        <w:rPr>
          <w:spacing w:val="3"/>
          <w:sz w:val="24"/>
        </w:rPr>
        <w:t> 血中濃度是否足夠。</w:t>
      </w:r>
    </w:p>
    <w:p>
      <w:pPr>
        <w:pStyle w:val="ListParagraph"/>
        <w:numPr>
          <w:ilvl w:val="1"/>
          <w:numId w:val="82"/>
        </w:numPr>
        <w:tabs>
          <w:tab w:pos="1450" w:val="left" w:leader="none"/>
        </w:tabs>
        <w:spacing w:line="225" w:lineRule="auto" w:before="6" w:after="0"/>
        <w:ind w:left="1449" w:right="1362" w:hanging="488"/>
        <w:jc w:val="left"/>
        <w:rPr>
          <w:sz w:val="24"/>
        </w:rPr>
      </w:pPr>
      <w:r>
        <w:rPr>
          <w:spacing w:val="4"/>
          <w:sz w:val="24"/>
        </w:rPr>
        <w:t>與 </w:t>
      </w:r>
      <w:r>
        <w:rPr>
          <w:sz w:val="24"/>
        </w:rPr>
        <w:t>TBN</w:t>
      </w:r>
      <w:r>
        <w:rPr>
          <w:spacing w:val="1"/>
          <w:sz w:val="24"/>
        </w:rPr>
        <w:t> 合用時可能增加肝毒性，亦有可能併發甲狀腺腫</w:t>
      </w:r>
      <w:r>
        <w:rPr>
          <w:sz w:val="24"/>
        </w:rPr>
        <w:t>(goitre)、或甲狀腺功</w:t>
      </w:r>
      <w:r>
        <w:rPr>
          <w:spacing w:val="2"/>
          <w:sz w:val="24"/>
        </w:rPr>
        <w:t>能低下症(</w:t>
      </w:r>
      <w:r>
        <w:rPr>
          <w:sz w:val="24"/>
        </w:rPr>
        <w:t>hypothyroidism</w:t>
      </w:r>
      <w:r>
        <w:rPr>
          <w:spacing w:val="1"/>
          <w:sz w:val="24"/>
        </w:rPr>
        <w:t>)，用藥期間應定期檢查甲狀腺功能。</w:t>
      </w:r>
    </w:p>
    <w:p>
      <w:pPr>
        <w:pStyle w:val="ListParagraph"/>
        <w:numPr>
          <w:ilvl w:val="1"/>
          <w:numId w:val="82"/>
        </w:numPr>
        <w:tabs>
          <w:tab w:pos="1450" w:val="left" w:leader="none"/>
        </w:tabs>
        <w:spacing w:line="412" w:lineRule="exact" w:before="0" w:after="0"/>
        <w:ind w:left="1449" w:right="0" w:hanging="488"/>
        <w:jc w:val="left"/>
        <w:rPr>
          <w:sz w:val="24"/>
        </w:rPr>
      </w:pPr>
      <w:r>
        <w:rPr>
          <w:spacing w:val="3"/>
          <w:sz w:val="24"/>
        </w:rPr>
        <w:t>會減低 </w:t>
      </w:r>
      <w:r>
        <w:rPr>
          <w:sz w:val="24"/>
        </w:rPr>
        <w:t>RMP</w:t>
      </w:r>
      <w:r>
        <w:rPr>
          <w:spacing w:val="3"/>
          <w:sz w:val="24"/>
        </w:rPr>
        <w:t> 血清濃度，除非不得已，兩藥不宜併用。</w:t>
      </w:r>
    </w:p>
    <w:p>
      <w:pPr>
        <w:pStyle w:val="ListParagraph"/>
        <w:numPr>
          <w:ilvl w:val="1"/>
          <w:numId w:val="82"/>
        </w:numPr>
        <w:tabs>
          <w:tab w:pos="1450" w:val="left" w:leader="none"/>
        </w:tabs>
        <w:spacing w:line="225" w:lineRule="auto" w:before="7" w:after="0"/>
        <w:ind w:left="1449" w:right="1360" w:hanging="488"/>
        <w:jc w:val="both"/>
        <w:rPr>
          <w:color w:val="FF0000"/>
          <w:sz w:val="24"/>
        </w:rPr>
      </w:pPr>
      <w:r>
        <w:rPr>
          <w:color w:val="FF0000"/>
          <w:sz w:val="24"/>
        </w:rPr>
        <w:t>PAS</w:t>
      </w:r>
      <w:r>
        <w:rPr>
          <w:color w:val="FF0000"/>
          <w:spacing w:val="16"/>
          <w:sz w:val="24"/>
        </w:rPr>
        <w:t> 與 </w:t>
      </w:r>
      <w:r>
        <w:rPr>
          <w:color w:val="FF0000"/>
          <w:sz w:val="24"/>
        </w:rPr>
        <w:t>INH</w:t>
      </w:r>
      <w:r>
        <w:rPr>
          <w:color w:val="FF0000"/>
          <w:spacing w:val="4"/>
          <w:sz w:val="24"/>
        </w:rPr>
        <w:t> 具有協同效應(</w:t>
      </w:r>
      <w:r>
        <w:rPr>
          <w:color w:val="FF0000"/>
          <w:sz w:val="24"/>
        </w:rPr>
        <w:t>synergistic</w:t>
      </w:r>
      <w:r>
        <w:rPr>
          <w:color w:val="FF0000"/>
          <w:spacing w:val="41"/>
          <w:sz w:val="24"/>
        </w:rPr>
        <w:t> </w:t>
      </w:r>
      <w:r>
        <w:rPr>
          <w:color w:val="FF0000"/>
          <w:sz w:val="24"/>
        </w:rPr>
        <w:t>effect</w:t>
      </w:r>
      <w:r>
        <w:rPr>
          <w:color w:val="FF0000"/>
          <w:spacing w:val="2"/>
          <w:sz w:val="24"/>
        </w:rPr>
        <w:t>)，合併使用會增加 </w:t>
      </w:r>
      <w:r>
        <w:rPr>
          <w:color w:val="FF0000"/>
          <w:sz w:val="24"/>
        </w:rPr>
        <w:t>INH</w:t>
      </w:r>
      <w:r>
        <w:rPr>
          <w:color w:val="FF0000"/>
          <w:spacing w:val="7"/>
          <w:sz w:val="24"/>
        </w:rPr>
        <w:t> 血中濃</w:t>
      </w:r>
      <w:r>
        <w:rPr>
          <w:color w:val="FF0000"/>
          <w:spacing w:val="-9"/>
          <w:sz w:val="24"/>
        </w:rPr>
        <w:t>度，減緩 </w:t>
      </w:r>
      <w:r>
        <w:rPr>
          <w:color w:val="FF0000"/>
          <w:sz w:val="24"/>
        </w:rPr>
        <w:t>INH</w:t>
      </w:r>
      <w:r>
        <w:rPr>
          <w:color w:val="FF0000"/>
          <w:spacing w:val="4"/>
          <w:sz w:val="24"/>
        </w:rPr>
        <w:t> 乙醯化(</w:t>
      </w:r>
      <w:r>
        <w:rPr>
          <w:color w:val="FF0000"/>
          <w:sz w:val="24"/>
        </w:rPr>
        <w:t>acetylation</w:t>
      </w:r>
      <w:r>
        <w:rPr>
          <w:color w:val="FF0000"/>
          <w:spacing w:val="-6"/>
          <w:sz w:val="24"/>
        </w:rPr>
        <w:t>)時間，對快速乙醯化病人(</w:t>
      </w:r>
      <w:r>
        <w:rPr>
          <w:color w:val="FF0000"/>
          <w:sz w:val="24"/>
        </w:rPr>
        <w:t>Rapid</w:t>
      </w:r>
      <w:r>
        <w:rPr>
          <w:color w:val="FF0000"/>
          <w:spacing w:val="-1"/>
          <w:sz w:val="24"/>
        </w:rPr>
        <w:t> </w:t>
      </w:r>
      <w:r>
        <w:rPr>
          <w:color w:val="FF0000"/>
          <w:sz w:val="24"/>
        </w:rPr>
        <w:t>acetylator) </w:t>
      </w:r>
      <w:r>
        <w:rPr>
          <w:color w:val="FF0000"/>
          <w:spacing w:val="9"/>
          <w:sz w:val="24"/>
        </w:rPr>
        <w:t>可增強 </w:t>
      </w:r>
      <w:r>
        <w:rPr>
          <w:color w:val="FF0000"/>
          <w:sz w:val="24"/>
        </w:rPr>
        <w:t>INH</w:t>
      </w:r>
      <w:r>
        <w:rPr>
          <w:color w:val="FF0000"/>
          <w:spacing w:val="7"/>
          <w:sz w:val="24"/>
        </w:rPr>
        <w:t> 的作用，</w:t>
      </w:r>
      <w:r>
        <w:rPr>
          <w:color w:val="FF0000"/>
          <w:sz w:val="24"/>
        </w:rPr>
        <w:t>MIC50</w:t>
      </w:r>
      <w:r>
        <w:rPr>
          <w:color w:val="FF0000"/>
          <w:spacing w:val="20"/>
          <w:sz w:val="24"/>
        </w:rPr>
        <w:t> 在 </w:t>
      </w:r>
      <w:r>
        <w:rPr>
          <w:color w:val="FF0000"/>
          <w:sz w:val="24"/>
        </w:rPr>
        <w:t>INH</w:t>
      </w:r>
      <w:r>
        <w:rPr>
          <w:color w:val="FF0000"/>
          <w:spacing w:val="16"/>
          <w:sz w:val="24"/>
        </w:rPr>
        <w:t> 降低 </w:t>
      </w:r>
      <w:r>
        <w:rPr>
          <w:color w:val="FF0000"/>
          <w:sz w:val="24"/>
        </w:rPr>
        <w:t>16</w:t>
      </w:r>
      <w:r>
        <w:rPr>
          <w:color w:val="FF0000"/>
          <w:spacing w:val="10"/>
          <w:sz w:val="24"/>
        </w:rPr>
        <w:t> 倍，</w:t>
      </w:r>
      <w:r>
        <w:rPr>
          <w:color w:val="FF0000"/>
          <w:sz w:val="24"/>
        </w:rPr>
        <w:t>PAS</w:t>
      </w:r>
      <w:r>
        <w:rPr>
          <w:color w:val="FF0000"/>
          <w:spacing w:val="15"/>
          <w:sz w:val="24"/>
        </w:rPr>
        <w:t> 降低 </w:t>
      </w:r>
      <w:r>
        <w:rPr>
          <w:color w:val="FF0000"/>
          <w:sz w:val="24"/>
        </w:rPr>
        <w:t>8</w:t>
      </w:r>
      <w:r>
        <w:rPr>
          <w:color w:val="FF0000"/>
          <w:spacing w:val="5"/>
          <w:sz w:val="24"/>
        </w:rPr>
        <w:t> 倍，此現象在XDR-TB</w:t>
      </w:r>
      <w:r>
        <w:rPr>
          <w:color w:val="FF0000"/>
          <w:spacing w:val="3"/>
          <w:sz w:val="24"/>
        </w:rPr>
        <w:t>、</w:t>
      </w:r>
      <w:r>
        <w:rPr>
          <w:color w:val="FF0000"/>
          <w:sz w:val="24"/>
        </w:rPr>
        <w:t>MDR-TB</w:t>
      </w:r>
      <w:r>
        <w:rPr>
          <w:color w:val="FF0000"/>
          <w:spacing w:val="7"/>
          <w:sz w:val="24"/>
        </w:rPr>
        <w:t>、及 </w:t>
      </w:r>
      <w:r>
        <w:rPr>
          <w:color w:val="FF0000"/>
          <w:sz w:val="24"/>
        </w:rPr>
        <w:t>non</w:t>
      </w:r>
      <w:r>
        <w:rPr>
          <w:color w:val="FF0000"/>
          <w:spacing w:val="13"/>
          <w:sz w:val="24"/>
        </w:rPr>
        <w:t> </w:t>
      </w:r>
      <w:r>
        <w:rPr>
          <w:color w:val="FF0000"/>
          <w:sz w:val="24"/>
        </w:rPr>
        <w:t>MDR-TB</w:t>
      </w:r>
      <w:r>
        <w:rPr>
          <w:color w:val="FF0000"/>
          <w:spacing w:val="4"/>
          <w:sz w:val="24"/>
        </w:rPr>
        <w:t> 皆可發現。合併 </w:t>
      </w:r>
      <w:r>
        <w:rPr>
          <w:color w:val="FF0000"/>
          <w:sz w:val="24"/>
        </w:rPr>
        <w:t>INH/PAS(pasiniazid) </w:t>
      </w:r>
      <w:r>
        <w:rPr>
          <w:color w:val="FF0000"/>
          <w:spacing w:val="2"/>
          <w:sz w:val="24"/>
        </w:rPr>
        <w:t>可用於治療低濃度 </w:t>
      </w:r>
      <w:r>
        <w:rPr>
          <w:color w:val="FF0000"/>
          <w:sz w:val="24"/>
        </w:rPr>
        <w:t>INH</w:t>
      </w:r>
      <w:r>
        <w:rPr>
          <w:color w:val="FF0000"/>
          <w:spacing w:val="3"/>
          <w:sz w:val="24"/>
        </w:rPr>
        <w:t> 抗藥結核病人。</w:t>
      </w:r>
    </w:p>
    <w:p>
      <w:pPr>
        <w:pStyle w:val="Heading7"/>
        <w:numPr>
          <w:ilvl w:val="2"/>
          <w:numId w:val="43"/>
        </w:numPr>
        <w:tabs>
          <w:tab w:pos="985" w:val="left" w:leader="none"/>
        </w:tabs>
        <w:spacing w:line="240" w:lineRule="auto" w:before="209" w:after="0"/>
        <w:ind w:left="984" w:right="0" w:hanging="684"/>
        <w:jc w:val="both"/>
      </w:pPr>
      <w:bookmarkStart w:name="6.2.5 Cycloserine (CS) / Terizidone (TRD" w:id="67"/>
      <w:bookmarkEnd w:id="67"/>
      <w:r>
        <w:rPr>
          <w:b w:val="0"/>
        </w:rPr>
      </w:r>
      <w:bookmarkStart w:name="6.2.5 Cycloserine (CS) / Terizidone (TRD" w:id="68"/>
      <w:bookmarkEnd w:id="68"/>
      <w:r>
        <w:rPr/>
        <w:t>C</w:t>
      </w:r>
      <w:r>
        <w:rPr/>
        <w:t>ycloserine (CS) / Terizidone</w:t>
      </w:r>
      <w:r>
        <w:rPr>
          <w:spacing w:val="15"/>
        </w:rPr>
        <w:t> </w:t>
      </w:r>
      <w:r>
        <w:rPr/>
        <w:t>(TRD)</w:t>
      </w:r>
    </w:p>
    <w:p>
      <w:pPr>
        <w:pStyle w:val="ListParagraph"/>
        <w:numPr>
          <w:ilvl w:val="3"/>
          <w:numId w:val="43"/>
        </w:numPr>
        <w:tabs>
          <w:tab w:pos="965" w:val="left" w:leader="none"/>
        </w:tabs>
        <w:spacing w:line="228" w:lineRule="auto" w:before="35" w:after="0"/>
        <w:ind w:left="964" w:right="1357" w:hanging="256"/>
        <w:jc w:val="both"/>
        <w:rPr>
          <w:sz w:val="24"/>
        </w:rPr>
      </w:pPr>
      <w:r>
        <w:rPr>
          <w:spacing w:val="2"/>
          <w:sz w:val="24"/>
        </w:rPr>
        <w:t>藥理作用：</w:t>
      </w:r>
      <w:r>
        <w:rPr>
          <w:sz w:val="24"/>
        </w:rPr>
        <w:t>TRD</w:t>
      </w:r>
      <w:r>
        <w:rPr>
          <w:spacing w:val="6"/>
          <w:sz w:val="24"/>
        </w:rPr>
        <w:t> 為 </w:t>
      </w:r>
      <w:r>
        <w:rPr>
          <w:sz w:val="24"/>
        </w:rPr>
        <w:t>CS</w:t>
      </w:r>
      <w:r>
        <w:rPr>
          <w:spacing w:val="3"/>
          <w:sz w:val="24"/>
        </w:rPr>
        <w:t> 的衍生物，皆為 </w:t>
      </w:r>
      <w:r>
        <w:rPr>
          <w:sz w:val="24"/>
        </w:rPr>
        <w:t>D-ALANINE</w:t>
      </w:r>
      <w:r>
        <w:rPr>
          <w:spacing w:val="2"/>
          <w:sz w:val="24"/>
        </w:rPr>
        <w:t> 的類似物(</w:t>
      </w:r>
      <w:r>
        <w:rPr>
          <w:sz w:val="24"/>
        </w:rPr>
        <w:t>analog</w:t>
      </w:r>
      <w:r>
        <w:rPr>
          <w:spacing w:val="1"/>
          <w:sz w:val="24"/>
        </w:rPr>
        <w:t>)。可抑制結</w:t>
      </w:r>
      <w:r>
        <w:rPr>
          <w:spacing w:val="-1"/>
          <w:sz w:val="24"/>
        </w:rPr>
        <w:t>核分枝桿菌細胞壁的合成。抑制結核分枝桿菌生長。與其他抗結核藥物沒有交互抗</w:t>
      </w:r>
      <w:r>
        <w:rPr>
          <w:spacing w:val="-4"/>
          <w:sz w:val="24"/>
        </w:rPr>
        <w:t>藥作用，用於治療抗藥性結核菌，或暫時與其他非肝毒性藥物合用，以治療併發急</w:t>
      </w:r>
      <w:r>
        <w:rPr>
          <w:spacing w:val="3"/>
          <w:sz w:val="24"/>
        </w:rPr>
        <w:t>性肝炎之結核病人。</w:t>
      </w:r>
    </w:p>
    <w:p>
      <w:pPr>
        <w:pStyle w:val="ListParagraph"/>
        <w:numPr>
          <w:ilvl w:val="3"/>
          <w:numId w:val="43"/>
        </w:numPr>
        <w:tabs>
          <w:tab w:pos="965" w:val="left" w:leader="none"/>
        </w:tabs>
        <w:spacing w:line="428" w:lineRule="exact" w:before="0" w:after="0"/>
        <w:ind w:left="964" w:right="0" w:hanging="257"/>
        <w:jc w:val="both"/>
        <w:rPr>
          <w:sz w:val="24"/>
        </w:rPr>
      </w:pPr>
      <w:r>
        <w:rPr>
          <w:spacing w:val="2"/>
          <w:sz w:val="24"/>
        </w:rPr>
        <w:t>治療劑量：</w:t>
      </w:r>
    </w:p>
    <w:p>
      <w:pPr>
        <w:spacing w:after="0" w:line="428" w:lineRule="exact"/>
        <w:jc w:val="both"/>
        <w:rPr>
          <w:sz w:val="24"/>
        </w:rPr>
        <w:sectPr>
          <w:pgSz w:w="12250" w:h="17190"/>
          <w:pgMar w:header="0" w:footer="748" w:top="1500" w:bottom="1020" w:left="1180" w:right="0"/>
        </w:sectPr>
      </w:pPr>
    </w:p>
    <w:p>
      <w:pPr>
        <w:pStyle w:val="ListParagraph"/>
        <w:numPr>
          <w:ilvl w:val="1"/>
          <w:numId w:val="83"/>
        </w:numPr>
        <w:tabs>
          <w:tab w:pos="1450" w:val="left" w:leader="none"/>
        </w:tabs>
        <w:spacing w:line="429" w:lineRule="exact" w:before="27" w:after="0"/>
        <w:ind w:left="1449" w:right="0" w:hanging="489"/>
        <w:jc w:val="left"/>
        <w:rPr>
          <w:sz w:val="24"/>
        </w:rPr>
      </w:pPr>
      <w:r>
        <w:rPr/>
        <w:pict>
          <v:group style="position:absolute;margin-left:571.5pt;margin-top:.700811pt;width:40.9pt;height:316.05pt;mso-position-horizontal-relative:page;mso-position-vertical-relative:paragraph;z-index:251752448" coordorigin="11430,14" coordsize="818,6321">
            <v:shape style="position:absolute;left:11430;top:14;width:818;height:6321" coordorigin="11430,14" coordsize="818,6321" path="m12247,14l11595,14,11531,27,11478,62,11443,115,11430,179,11430,6170,11443,6234,11478,6287,11531,6322,11595,6335,12247,6335,12247,14xe" filled="true" fillcolor="#a6a6a6" stroked="false">
              <v:path arrowok="t"/>
              <v:fill type="solid"/>
            </v:shape>
            <v:shape style="position:absolute;left:11430;top:14;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spacing w:val="5"/>
          <w:sz w:val="24"/>
        </w:rPr>
        <w:t>成人劑量 </w:t>
      </w:r>
      <w:r>
        <w:rPr>
          <w:sz w:val="24"/>
        </w:rPr>
        <w:t>10~15</w:t>
      </w:r>
      <w:r>
        <w:rPr>
          <w:spacing w:val="36"/>
          <w:sz w:val="24"/>
        </w:rPr>
        <w:t> </w:t>
      </w:r>
      <w:r>
        <w:rPr>
          <w:sz w:val="24"/>
        </w:rPr>
        <w:t>mg/kg/day</w:t>
      </w:r>
      <w:r>
        <w:rPr>
          <w:spacing w:val="5"/>
          <w:sz w:val="24"/>
        </w:rPr>
        <w:t>，最多 </w:t>
      </w:r>
      <w:r>
        <w:rPr>
          <w:sz w:val="24"/>
        </w:rPr>
        <w:t>1000</w:t>
      </w:r>
      <w:r>
        <w:rPr>
          <w:spacing w:val="36"/>
          <w:sz w:val="24"/>
        </w:rPr>
        <w:t> </w:t>
      </w:r>
      <w:r>
        <w:rPr>
          <w:sz w:val="24"/>
        </w:rPr>
        <w:t>mg/day</w:t>
      </w:r>
      <w:r>
        <w:rPr>
          <w:spacing w:val="3"/>
          <w:sz w:val="24"/>
        </w:rPr>
        <w:t>；通常每日口服 </w:t>
      </w:r>
      <w:r>
        <w:rPr>
          <w:sz w:val="24"/>
        </w:rPr>
        <w:t>500-750</w:t>
      </w:r>
    </w:p>
    <w:p>
      <w:pPr>
        <w:pStyle w:val="BodyText"/>
        <w:spacing w:line="416" w:lineRule="exact"/>
        <w:ind w:left="1449"/>
      </w:pPr>
      <w:r>
        <w:rPr/>
        <w:t>mg，分 2 次使用，若病人耐受性良好，可一次使用。</w:t>
      </w:r>
    </w:p>
    <w:p>
      <w:pPr>
        <w:pStyle w:val="ListParagraph"/>
        <w:numPr>
          <w:ilvl w:val="1"/>
          <w:numId w:val="83"/>
        </w:numPr>
        <w:tabs>
          <w:tab w:pos="1450" w:val="left" w:leader="none"/>
        </w:tabs>
        <w:spacing w:line="416" w:lineRule="exact" w:before="0" w:after="0"/>
        <w:ind w:left="1449" w:right="0" w:hanging="489"/>
        <w:jc w:val="left"/>
        <w:rPr>
          <w:sz w:val="24"/>
        </w:rPr>
      </w:pPr>
      <w:r>
        <w:rPr>
          <w:spacing w:val="3"/>
          <w:sz w:val="24"/>
        </w:rPr>
        <w:t>兒童劑量請參閱本指引第八章。</w:t>
      </w:r>
    </w:p>
    <w:p>
      <w:pPr>
        <w:pStyle w:val="ListParagraph"/>
        <w:numPr>
          <w:ilvl w:val="1"/>
          <w:numId w:val="83"/>
        </w:numPr>
        <w:tabs>
          <w:tab w:pos="1450" w:val="left" w:leader="none"/>
        </w:tabs>
        <w:spacing w:line="225" w:lineRule="auto" w:before="7" w:after="0"/>
        <w:ind w:left="1449" w:right="1363" w:hanging="488"/>
        <w:jc w:val="left"/>
        <w:rPr>
          <w:sz w:val="24"/>
        </w:rPr>
      </w:pPr>
      <w:r>
        <w:rPr>
          <w:spacing w:val="-3"/>
          <w:sz w:val="24"/>
        </w:rPr>
        <w:t>孕婦之安全性仍不確定，但目前沒有致畸記錄，僅在必要時使用；哺乳婦女可</w:t>
      </w:r>
      <w:r>
        <w:rPr>
          <w:spacing w:val="2"/>
          <w:sz w:val="24"/>
        </w:rPr>
        <w:t>用，但嬰兒須同時補充 </w:t>
      </w:r>
      <w:r>
        <w:rPr>
          <w:sz w:val="24"/>
        </w:rPr>
        <w:t>Vitamin</w:t>
      </w:r>
      <w:r>
        <w:rPr>
          <w:spacing w:val="4"/>
          <w:sz w:val="24"/>
        </w:rPr>
        <w:t> </w:t>
      </w:r>
      <w:r>
        <w:rPr>
          <w:sz w:val="24"/>
        </w:rPr>
        <w:t>B6。</w:t>
      </w:r>
    </w:p>
    <w:p>
      <w:pPr>
        <w:pStyle w:val="ListParagraph"/>
        <w:numPr>
          <w:ilvl w:val="1"/>
          <w:numId w:val="83"/>
        </w:numPr>
        <w:tabs>
          <w:tab w:pos="1450" w:val="left" w:leader="none"/>
        </w:tabs>
        <w:spacing w:line="412" w:lineRule="exact" w:before="0" w:after="0"/>
        <w:ind w:left="1449" w:right="0" w:hanging="489"/>
        <w:jc w:val="left"/>
        <w:rPr>
          <w:sz w:val="24"/>
        </w:rPr>
      </w:pPr>
      <w:r>
        <w:rPr>
          <w:spacing w:val="3"/>
          <w:sz w:val="24"/>
        </w:rPr>
        <w:t>精神疾病、癲癇症及酗酒為禁忌症。</w:t>
      </w:r>
    </w:p>
    <w:p>
      <w:pPr>
        <w:pStyle w:val="ListParagraph"/>
        <w:numPr>
          <w:ilvl w:val="1"/>
          <w:numId w:val="83"/>
        </w:numPr>
        <w:tabs>
          <w:tab w:pos="1450" w:val="left" w:leader="none"/>
        </w:tabs>
        <w:spacing w:line="225" w:lineRule="auto" w:before="7" w:after="0"/>
        <w:ind w:left="1449" w:right="1363" w:hanging="488"/>
        <w:jc w:val="left"/>
        <w:rPr>
          <w:sz w:val="24"/>
        </w:rPr>
      </w:pPr>
      <w:r>
        <w:rPr>
          <w:spacing w:val="7"/>
          <w:sz w:val="24"/>
        </w:rPr>
        <w:t>當 </w:t>
      </w:r>
      <w:r>
        <w:rPr>
          <w:sz w:val="24"/>
        </w:rPr>
        <w:t>Ccr&lt;30</w:t>
      </w:r>
      <w:r>
        <w:rPr>
          <w:spacing w:val="41"/>
          <w:sz w:val="24"/>
        </w:rPr>
        <w:t> </w:t>
      </w:r>
      <w:r>
        <w:rPr>
          <w:sz w:val="24"/>
        </w:rPr>
        <w:t>mL/minute</w:t>
      </w:r>
      <w:r>
        <w:rPr>
          <w:spacing w:val="5"/>
          <w:sz w:val="24"/>
        </w:rPr>
        <w:t> 時，</w:t>
      </w:r>
      <w:r>
        <w:rPr>
          <w:sz w:val="24"/>
        </w:rPr>
        <w:t>CS</w:t>
      </w:r>
      <w:r>
        <w:rPr>
          <w:spacing w:val="5"/>
          <w:sz w:val="24"/>
        </w:rPr>
        <w:t> 可改為每週 </w:t>
      </w:r>
      <w:r>
        <w:rPr>
          <w:sz w:val="24"/>
        </w:rPr>
        <w:t>3</w:t>
      </w:r>
      <w:r>
        <w:rPr>
          <w:spacing w:val="3"/>
          <w:sz w:val="24"/>
        </w:rPr>
        <w:t> 次，每次劑量為 </w:t>
      </w:r>
      <w:r>
        <w:rPr>
          <w:sz w:val="24"/>
        </w:rPr>
        <w:t>500mg/day， </w:t>
      </w:r>
      <w:r>
        <w:rPr>
          <w:spacing w:val="2"/>
          <w:sz w:val="24"/>
        </w:rPr>
        <w:t>或調整每日劑量為 </w:t>
      </w:r>
      <w:r>
        <w:rPr>
          <w:sz w:val="24"/>
        </w:rPr>
        <w:t>250</w:t>
      </w:r>
      <w:r>
        <w:rPr>
          <w:spacing w:val="3"/>
          <w:sz w:val="24"/>
        </w:rPr>
        <w:t> </w:t>
      </w:r>
      <w:r>
        <w:rPr>
          <w:sz w:val="24"/>
        </w:rPr>
        <w:t>mg/day。</w:t>
      </w:r>
    </w:p>
    <w:p>
      <w:pPr>
        <w:pStyle w:val="ListParagraph"/>
        <w:numPr>
          <w:ilvl w:val="1"/>
          <w:numId w:val="83"/>
        </w:numPr>
        <w:tabs>
          <w:tab w:pos="1450" w:val="left" w:leader="none"/>
        </w:tabs>
        <w:spacing w:line="421" w:lineRule="exact" w:before="0" w:after="0"/>
        <w:ind w:left="1449" w:right="0" w:hanging="489"/>
        <w:jc w:val="left"/>
        <w:rPr>
          <w:sz w:val="24"/>
        </w:rPr>
      </w:pPr>
      <w:r>
        <w:rPr>
          <w:spacing w:val="2"/>
          <w:sz w:val="24"/>
        </w:rPr>
        <w:t>治療期間必須補充 </w:t>
      </w:r>
      <w:r>
        <w:rPr>
          <w:sz w:val="24"/>
        </w:rPr>
        <w:t>Vitamin</w:t>
      </w:r>
      <w:r>
        <w:rPr>
          <w:spacing w:val="5"/>
          <w:sz w:val="24"/>
        </w:rPr>
        <w:t> </w:t>
      </w:r>
      <w:r>
        <w:rPr>
          <w:sz w:val="24"/>
        </w:rPr>
        <w:t>B6</w:t>
      </w:r>
      <w:r>
        <w:rPr>
          <w:spacing w:val="1"/>
          <w:sz w:val="24"/>
        </w:rPr>
        <w:t> (</w:t>
      </w:r>
      <w:r>
        <w:rPr>
          <w:sz w:val="24"/>
        </w:rPr>
        <w:t>50mg</w:t>
      </w:r>
      <w:r>
        <w:rPr>
          <w:spacing w:val="4"/>
          <w:sz w:val="24"/>
        </w:rPr>
        <w:t> </w:t>
      </w:r>
      <w:r>
        <w:rPr>
          <w:sz w:val="24"/>
        </w:rPr>
        <w:t>B6/250</w:t>
      </w:r>
      <w:r>
        <w:rPr>
          <w:spacing w:val="6"/>
          <w:sz w:val="24"/>
        </w:rPr>
        <w:t> </w:t>
      </w:r>
      <w:r>
        <w:rPr>
          <w:sz w:val="24"/>
        </w:rPr>
        <w:t>mg</w:t>
      </w:r>
      <w:r>
        <w:rPr>
          <w:spacing w:val="3"/>
          <w:sz w:val="24"/>
        </w:rPr>
        <w:t> </w:t>
      </w:r>
      <w:r>
        <w:rPr>
          <w:sz w:val="24"/>
        </w:rPr>
        <w:t>CS</w:t>
      </w:r>
      <w:r>
        <w:rPr>
          <w:spacing w:val="2"/>
          <w:sz w:val="24"/>
        </w:rPr>
        <w:t>, </w:t>
      </w:r>
      <w:r>
        <w:rPr>
          <w:sz w:val="24"/>
        </w:rPr>
        <w:t>TRD)。</w:t>
      </w:r>
    </w:p>
    <w:p>
      <w:pPr>
        <w:pStyle w:val="ListParagraph"/>
        <w:numPr>
          <w:ilvl w:val="3"/>
          <w:numId w:val="43"/>
        </w:numPr>
        <w:tabs>
          <w:tab w:pos="965" w:val="left" w:leader="none"/>
        </w:tabs>
        <w:spacing w:line="428" w:lineRule="exact" w:before="0" w:after="0"/>
        <w:ind w:left="964" w:right="0" w:hanging="257"/>
        <w:jc w:val="left"/>
        <w:rPr>
          <w:sz w:val="24"/>
        </w:rPr>
      </w:pPr>
      <w:r>
        <w:rPr/>
        <w:pict>
          <v:shape style="position:absolute;margin-left:574.289001pt;margin-top:20.535357pt;width:16.650pt;height:5.55pt;mso-position-horizontal-relative:page;mso-position-vertical-relative:paragraph;z-index:251754496"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2"/>
          <w:sz w:val="24"/>
        </w:rPr>
        <w:t>不良反應：每日服用大於 </w:t>
      </w:r>
      <w:r>
        <w:rPr>
          <w:sz w:val="24"/>
        </w:rPr>
        <w:t>500</w:t>
      </w:r>
      <w:r>
        <w:rPr>
          <w:spacing w:val="3"/>
          <w:sz w:val="24"/>
        </w:rPr>
        <w:t> </w:t>
      </w:r>
      <w:r>
        <w:rPr>
          <w:sz w:val="24"/>
        </w:rPr>
        <w:t>mg</w:t>
      </w:r>
      <w:r>
        <w:rPr>
          <w:spacing w:val="2"/>
          <w:sz w:val="24"/>
        </w:rPr>
        <w:t> 時容易出現副作用。</w:t>
      </w:r>
    </w:p>
    <w:p>
      <w:pPr>
        <w:pStyle w:val="ListParagraph"/>
        <w:numPr>
          <w:ilvl w:val="1"/>
          <w:numId w:val="84"/>
        </w:numPr>
        <w:tabs>
          <w:tab w:pos="1450" w:val="left" w:leader="none"/>
        </w:tabs>
        <w:spacing w:line="225" w:lineRule="auto" w:before="9" w:after="0"/>
        <w:ind w:left="1449" w:right="1302" w:hanging="488"/>
        <w:jc w:val="left"/>
        <w:rPr>
          <w:sz w:val="24"/>
        </w:rPr>
      </w:pPr>
      <w:r>
        <w:rPr>
          <w:spacing w:val="-3"/>
          <w:sz w:val="24"/>
        </w:rPr>
        <w:t>主要為中樞神經系統毒性(頭昏、嗜睡、記憶力減退、陣發性驚厥、反射亢進、</w:t>
      </w:r>
      <w:r>
        <w:rPr>
          <w:spacing w:val="-4"/>
          <w:sz w:val="24"/>
        </w:rPr>
        <w:t>誘發癲癇、意識模糊、精神失常、甚至有自殺意念)，精神病及癲癇病人忌用。</w:t>
      </w:r>
    </w:p>
    <w:p>
      <w:pPr>
        <w:pStyle w:val="ListParagraph"/>
        <w:numPr>
          <w:ilvl w:val="1"/>
          <w:numId w:val="84"/>
        </w:numPr>
        <w:tabs>
          <w:tab w:pos="1450" w:val="left" w:leader="none"/>
        </w:tabs>
        <w:spacing w:line="421" w:lineRule="exact" w:before="0" w:after="0"/>
        <w:ind w:left="1449" w:right="0" w:hanging="489"/>
        <w:jc w:val="left"/>
        <w:rPr>
          <w:sz w:val="24"/>
        </w:rPr>
      </w:pPr>
      <w:r>
        <w:rPr>
          <w:spacing w:val="3"/>
          <w:sz w:val="24"/>
        </w:rPr>
        <w:t>胃腸道不適。</w:t>
      </w:r>
    </w:p>
    <w:p>
      <w:pPr>
        <w:pStyle w:val="ListParagraph"/>
        <w:numPr>
          <w:ilvl w:val="3"/>
          <w:numId w:val="43"/>
        </w:numPr>
        <w:tabs>
          <w:tab w:pos="965" w:val="left" w:leader="none"/>
        </w:tabs>
        <w:spacing w:line="428" w:lineRule="exact" w:before="0" w:after="0"/>
        <w:ind w:left="964" w:right="0" w:hanging="257"/>
        <w:jc w:val="left"/>
        <w:rPr>
          <w:sz w:val="24"/>
        </w:rPr>
      </w:pPr>
      <w:r>
        <w:rPr>
          <w:spacing w:val="2"/>
          <w:sz w:val="24"/>
        </w:rPr>
        <w:t>罕見不良反應：</w:t>
      </w:r>
    </w:p>
    <w:p>
      <w:pPr>
        <w:pStyle w:val="ListParagraph"/>
        <w:numPr>
          <w:ilvl w:val="1"/>
          <w:numId w:val="85"/>
        </w:numPr>
        <w:tabs>
          <w:tab w:pos="1450" w:val="left" w:leader="none"/>
        </w:tabs>
        <w:spacing w:line="418" w:lineRule="exact" w:before="0" w:after="0"/>
        <w:ind w:left="1449" w:right="0" w:hanging="489"/>
        <w:jc w:val="left"/>
        <w:rPr>
          <w:sz w:val="24"/>
        </w:rPr>
      </w:pPr>
      <w:r>
        <w:rPr/>
        <w:pict>
          <v:shape style="position:absolute;margin-left:574.289001pt;margin-top:10.725328pt;width:16.650pt;height:5.55pt;mso-position-horizontal-relative:page;mso-position-vertical-relative:paragraph;z-index:251753472"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pacing w:val="2"/>
          <w:sz w:val="24"/>
        </w:rPr>
        <w:t>精神病 (</w:t>
      </w:r>
      <w:r>
        <w:rPr>
          <w:sz w:val="24"/>
        </w:rPr>
        <w:t>psychosis</w:t>
      </w:r>
      <w:r>
        <w:rPr>
          <w:spacing w:val="1"/>
          <w:sz w:val="24"/>
        </w:rPr>
        <w:t>)、周邊神經病變、癲癇。</w:t>
      </w:r>
    </w:p>
    <w:p>
      <w:pPr>
        <w:pStyle w:val="ListParagraph"/>
        <w:numPr>
          <w:ilvl w:val="1"/>
          <w:numId w:val="85"/>
        </w:numPr>
        <w:tabs>
          <w:tab w:pos="1450" w:val="left" w:leader="none"/>
        </w:tabs>
        <w:spacing w:line="426" w:lineRule="exact" w:before="0" w:after="0"/>
        <w:ind w:left="1449" w:right="0" w:hanging="489"/>
        <w:jc w:val="left"/>
        <w:rPr>
          <w:sz w:val="24"/>
        </w:rPr>
      </w:pPr>
      <w:r>
        <w:rPr>
          <w:spacing w:val="3"/>
          <w:sz w:val="24"/>
        </w:rPr>
        <w:t>皮疹、發熱、白血球減少等。</w:t>
      </w:r>
    </w:p>
    <w:p>
      <w:pPr>
        <w:pStyle w:val="ListParagraph"/>
        <w:numPr>
          <w:ilvl w:val="3"/>
          <w:numId w:val="43"/>
        </w:numPr>
        <w:tabs>
          <w:tab w:pos="965" w:val="left" w:leader="none"/>
        </w:tabs>
        <w:spacing w:line="428" w:lineRule="exact" w:before="0" w:after="0"/>
        <w:ind w:left="964" w:right="0" w:hanging="257"/>
        <w:jc w:val="left"/>
        <w:rPr>
          <w:sz w:val="24"/>
        </w:rPr>
      </w:pPr>
      <w:r>
        <w:rPr>
          <w:spacing w:val="2"/>
          <w:sz w:val="24"/>
        </w:rPr>
        <w:t>藥物交互作用：</w:t>
      </w:r>
    </w:p>
    <w:p>
      <w:pPr>
        <w:pStyle w:val="ListParagraph"/>
        <w:numPr>
          <w:ilvl w:val="1"/>
          <w:numId w:val="86"/>
        </w:numPr>
        <w:tabs>
          <w:tab w:pos="1450" w:val="left" w:leader="none"/>
        </w:tabs>
        <w:spacing w:line="418" w:lineRule="exact" w:before="0" w:after="0"/>
        <w:ind w:left="1449" w:right="0" w:hanging="489"/>
        <w:jc w:val="left"/>
        <w:rPr>
          <w:sz w:val="24"/>
        </w:rPr>
      </w:pPr>
      <w:r>
        <w:rPr>
          <w:spacing w:val="3"/>
          <w:sz w:val="24"/>
        </w:rPr>
        <w:t>與 </w:t>
      </w:r>
      <w:r>
        <w:rPr>
          <w:sz w:val="24"/>
        </w:rPr>
        <w:t>INH</w:t>
      </w:r>
      <w:r>
        <w:rPr>
          <w:spacing w:val="2"/>
          <w:sz w:val="24"/>
        </w:rPr>
        <w:t> 或 </w:t>
      </w:r>
      <w:r>
        <w:rPr>
          <w:sz w:val="24"/>
        </w:rPr>
        <w:t>TBN</w:t>
      </w:r>
      <w:r>
        <w:rPr>
          <w:spacing w:val="2"/>
          <w:sz w:val="24"/>
        </w:rPr>
        <w:t> 合併使用時，易造成神經系統副作用。</w:t>
      </w:r>
    </w:p>
    <w:p>
      <w:pPr>
        <w:pStyle w:val="ListParagraph"/>
        <w:numPr>
          <w:ilvl w:val="1"/>
          <w:numId w:val="86"/>
        </w:numPr>
        <w:tabs>
          <w:tab w:pos="1450" w:val="left" w:leader="none"/>
        </w:tabs>
        <w:spacing w:line="429" w:lineRule="exact" w:before="0" w:after="0"/>
        <w:ind w:left="1449" w:right="0" w:hanging="489"/>
        <w:jc w:val="left"/>
        <w:rPr>
          <w:sz w:val="24"/>
        </w:rPr>
      </w:pPr>
      <w:r>
        <w:rPr>
          <w:spacing w:val="3"/>
          <w:sz w:val="24"/>
        </w:rPr>
        <w:t>會增加 </w:t>
      </w:r>
      <w:r>
        <w:rPr>
          <w:sz w:val="24"/>
        </w:rPr>
        <w:t>phenytoin</w:t>
      </w:r>
      <w:r>
        <w:rPr>
          <w:spacing w:val="1"/>
          <w:sz w:val="24"/>
        </w:rPr>
        <w:t> 之血中濃度。</w:t>
      </w:r>
    </w:p>
    <w:p>
      <w:pPr>
        <w:pStyle w:val="ListParagraph"/>
        <w:numPr>
          <w:ilvl w:val="2"/>
          <w:numId w:val="43"/>
        </w:numPr>
        <w:tabs>
          <w:tab w:pos="985" w:val="left" w:leader="none"/>
        </w:tabs>
        <w:spacing w:line="240" w:lineRule="auto" w:before="198" w:after="0"/>
        <w:ind w:left="984" w:right="0" w:hanging="684"/>
        <w:jc w:val="left"/>
        <w:rPr>
          <w:b/>
          <w:color w:val="FF0000"/>
          <w:sz w:val="24"/>
        </w:rPr>
      </w:pPr>
      <w:bookmarkStart w:name="6.2.6 Linezolid (LZD)" w:id="69"/>
      <w:bookmarkEnd w:id="69"/>
      <w:r>
        <w:rPr/>
      </w:r>
      <w:bookmarkStart w:name="6.2.6 Linezolid (LZD)" w:id="70"/>
      <w:bookmarkEnd w:id="70"/>
      <w:r>
        <w:rPr>
          <w:b/>
          <w:color w:val="FF0000"/>
          <w:sz w:val="24"/>
        </w:rPr>
        <w:t>Lin</w:t>
      </w:r>
      <w:r>
        <w:rPr>
          <w:b/>
          <w:color w:val="FF0000"/>
          <w:sz w:val="24"/>
        </w:rPr>
        <w:t>ezolid</w:t>
      </w:r>
      <w:r>
        <w:rPr>
          <w:b/>
          <w:color w:val="FF0000"/>
          <w:spacing w:val="4"/>
          <w:sz w:val="24"/>
        </w:rPr>
        <w:t> </w:t>
      </w:r>
      <w:r>
        <w:rPr>
          <w:b/>
          <w:color w:val="FF0000"/>
          <w:sz w:val="24"/>
        </w:rPr>
        <w:t>(LZD)</w:t>
      </w:r>
    </w:p>
    <w:p>
      <w:pPr>
        <w:pStyle w:val="ListParagraph"/>
        <w:numPr>
          <w:ilvl w:val="3"/>
          <w:numId w:val="43"/>
        </w:numPr>
        <w:tabs>
          <w:tab w:pos="984" w:val="left" w:leader="none"/>
        </w:tabs>
        <w:spacing w:line="223" w:lineRule="auto" w:before="32" w:after="0"/>
        <w:ind w:left="971" w:right="1361" w:hanging="263"/>
        <w:jc w:val="both"/>
        <w:rPr>
          <w:color w:val="FF0000"/>
          <w:sz w:val="24"/>
        </w:rPr>
      </w:pPr>
      <w:r>
        <w:rPr>
          <w:color w:val="FF0000"/>
          <w:spacing w:val="-7"/>
          <w:sz w:val="24"/>
        </w:rPr>
        <w:t>藥理作用：新一類人工合成的抗生素，屬於 </w:t>
      </w:r>
      <w:r>
        <w:rPr>
          <w:color w:val="FF0000"/>
          <w:sz w:val="24"/>
        </w:rPr>
        <w:t>oxazolidinone</w:t>
      </w:r>
      <w:r>
        <w:rPr>
          <w:color w:val="FF0000"/>
          <w:spacing w:val="-4"/>
          <w:sz w:val="24"/>
        </w:rPr>
        <w:t> 類，會與細菌 </w:t>
      </w:r>
      <w:r>
        <w:rPr>
          <w:color w:val="FF0000"/>
          <w:sz w:val="24"/>
        </w:rPr>
        <w:t>50S</w:t>
      </w:r>
      <w:r>
        <w:rPr>
          <w:color w:val="FF0000"/>
          <w:spacing w:val="4"/>
          <w:sz w:val="24"/>
        </w:rPr>
        <w:t> 核糖</w:t>
      </w:r>
      <w:r>
        <w:rPr>
          <w:color w:val="FF0000"/>
          <w:spacing w:val="2"/>
          <w:sz w:val="24"/>
        </w:rPr>
        <w:t>小體(</w:t>
      </w:r>
      <w:r>
        <w:rPr>
          <w:color w:val="FF0000"/>
          <w:sz w:val="24"/>
        </w:rPr>
        <w:t>subunit</w:t>
      </w:r>
      <w:r>
        <w:rPr>
          <w:color w:val="FF0000"/>
          <w:spacing w:val="7"/>
          <w:sz w:val="24"/>
        </w:rPr>
        <w:t>)上的 </w:t>
      </w:r>
      <w:r>
        <w:rPr>
          <w:color w:val="FF0000"/>
          <w:sz w:val="24"/>
        </w:rPr>
        <w:t>23S</w:t>
      </w:r>
      <w:r>
        <w:rPr>
          <w:color w:val="FF0000"/>
          <w:spacing w:val="15"/>
          <w:sz w:val="24"/>
        </w:rPr>
        <w:t> 核糖 </w:t>
      </w:r>
      <w:r>
        <w:rPr>
          <w:color w:val="FF0000"/>
          <w:sz w:val="24"/>
        </w:rPr>
        <w:t>RNA</w:t>
      </w:r>
      <w:r>
        <w:rPr>
          <w:color w:val="FF0000"/>
          <w:spacing w:val="5"/>
          <w:sz w:val="24"/>
        </w:rPr>
        <w:t> 結合和阻止功能性的 </w:t>
      </w:r>
      <w:r>
        <w:rPr>
          <w:color w:val="FF0000"/>
          <w:sz w:val="24"/>
        </w:rPr>
        <w:t>70S</w:t>
      </w:r>
      <w:r>
        <w:rPr>
          <w:color w:val="FF0000"/>
          <w:spacing w:val="2"/>
          <w:sz w:val="24"/>
        </w:rPr>
        <w:t> 起始復合體的形成， </w:t>
      </w:r>
      <w:r>
        <w:rPr>
          <w:color w:val="FF0000"/>
          <w:spacing w:val="-2"/>
          <w:sz w:val="24"/>
        </w:rPr>
        <w:t>抑制細菌蛋白質的合成。它的臨床用途主要適用於治療嗜氧性之結核分枝桿菌與革</w:t>
      </w:r>
      <w:r>
        <w:rPr>
          <w:color w:val="FF0000"/>
          <w:spacing w:val="2"/>
          <w:sz w:val="24"/>
        </w:rPr>
        <w:t>蘭氏陽性菌所造成的感染。</w:t>
      </w:r>
    </w:p>
    <w:p>
      <w:pPr>
        <w:pStyle w:val="ListParagraph"/>
        <w:numPr>
          <w:ilvl w:val="3"/>
          <w:numId w:val="43"/>
        </w:numPr>
        <w:tabs>
          <w:tab w:pos="984" w:val="left" w:leader="none"/>
        </w:tabs>
        <w:spacing w:line="402" w:lineRule="exact" w:before="0" w:after="0"/>
        <w:ind w:left="983" w:right="0" w:hanging="276"/>
        <w:jc w:val="both"/>
        <w:rPr>
          <w:color w:val="FF0000"/>
          <w:sz w:val="24"/>
        </w:rPr>
      </w:pPr>
      <w:r>
        <w:rPr>
          <w:color w:val="FF0000"/>
          <w:spacing w:val="2"/>
          <w:sz w:val="24"/>
        </w:rPr>
        <w:t>治療劑量：</w:t>
      </w:r>
      <w:r>
        <w:rPr>
          <w:color w:val="FF0000"/>
          <w:sz w:val="24"/>
        </w:rPr>
        <w:t>600mg/</w:t>
      </w:r>
      <w:r>
        <w:rPr>
          <w:color w:val="FF0000"/>
          <w:spacing w:val="3"/>
          <w:sz w:val="24"/>
        </w:rPr>
        <w:t>天，靜脈注射，口服（含脂肪食物會影響吸收</w:t>
      </w:r>
      <w:r>
        <w:rPr>
          <w:color w:val="FF0000"/>
          <w:spacing w:val="4"/>
          <w:sz w:val="24"/>
        </w:rPr>
        <w:t>）。</w:t>
      </w:r>
      <w:r>
        <w:rPr>
          <w:color w:val="FF0000"/>
          <w:spacing w:val="3"/>
          <w:sz w:val="24"/>
        </w:rPr>
        <w:t>（請參閱第</w:t>
      </w:r>
    </w:p>
    <w:p>
      <w:pPr>
        <w:pStyle w:val="BodyText"/>
        <w:spacing w:line="410" w:lineRule="exact"/>
        <w:ind w:left="971"/>
        <w:jc w:val="both"/>
      </w:pPr>
      <w:r>
        <w:rPr>
          <w:color w:val="FF0000"/>
        </w:rPr>
        <w:t>12 章 12.7）</w:t>
      </w:r>
    </w:p>
    <w:p>
      <w:pPr>
        <w:pStyle w:val="ListParagraph"/>
        <w:numPr>
          <w:ilvl w:val="3"/>
          <w:numId w:val="43"/>
        </w:numPr>
        <w:tabs>
          <w:tab w:pos="984" w:val="left" w:leader="none"/>
        </w:tabs>
        <w:spacing w:line="223" w:lineRule="auto" w:before="7" w:after="0"/>
        <w:ind w:left="990" w:right="1238" w:hanging="282"/>
        <w:jc w:val="both"/>
        <w:rPr>
          <w:color w:val="FF0000"/>
          <w:sz w:val="24"/>
        </w:rPr>
      </w:pPr>
      <w:r>
        <w:rPr>
          <w:color w:val="FF0000"/>
          <w:spacing w:val="-3"/>
          <w:sz w:val="24"/>
        </w:rPr>
        <w:t>不良反應：腹瀉、頭痛、噁心、嘔吐、失眠、便秘、皮疹、頭昏、發燒、貧血、白</w:t>
      </w:r>
      <w:r>
        <w:rPr>
          <w:color w:val="FF0000"/>
          <w:spacing w:val="-11"/>
          <w:sz w:val="24"/>
        </w:rPr>
        <w:t>血球偏低、血小板減少、周邊神經病變、視神經病變、肝功能異常、橫紋肌溶解症。</w:t>
      </w:r>
    </w:p>
    <w:p>
      <w:pPr>
        <w:pStyle w:val="ListParagraph"/>
        <w:numPr>
          <w:ilvl w:val="3"/>
          <w:numId w:val="43"/>
        </w:numPr>
        <w:tabs>
          <w:tab w:pos="1042" w:val="left" w:leader="none"/>
        </w:tabs>
        <w:spacing w:line="409" w:lineRule="exact" w:before="0" w:after="0"/>
        <w:ind w:left="1041" w:right="0" w:hanging="334"/>
        <w:jc w:val="both"/>
        <w:rPr>
          <w:color w:val="FF0000"/>
          <w:sz w:val="24"/>
        </w:rPr>
      </w:pPr>
      <w:r>
        <w:rPr>
          <w:color w:val="FF0000"/>
          <w:spacing w:val="2"/>
          <w:sz w:val="24"/>
        </w:rPr>
        <w:t>罕見不良反應：念珠菌病、高血壓、消化不良、局部腹痛、搔癢和舌頭變色。</w:t>
      </w:r>
    </w:p>
    <w:p>
      <w:pPr>
        <w:pStyle w:val="ListParagraph"/>
        <w:numPr>
          <w:ilvl w:val="3"/>
          <w:numId w:val="43"/>
        </w:numPr>
        <w:tabs>
          <w:tab w:pos="1042" w:val="left" w:leader="none"/>
        </w:tabs>
        <w:spacing w:line="225" w:lineRule="auto" w:before="6" w:after="0"/>
        <w:ind w:left="1037" w:right="1331" w:hanging="329"/>
        <w:jc w:val="both"/>
        <w:rPr>
          <w:color w:val="FF0000"/>
          <w:sz w:val="24"/>
        </w:rPr>
      </w:pPr>
      <w:r>
        <w:rPr>
          <w:color w:val="FF0000"/>
          <w:spacing w:val="2"/>
          <w:sz w:val="24"/>
        </w:rPr>
        <w:t>藥物交互作用：血清素作用劑(</w:t>
      </w:r>
      <w:r>
        <w:rPr>
          <w:color w:val="FF0000"/>
          <w:sz w:val="24"/>
        </w:rPr>
        <w:t>serotonergic</w:t>
      </w:r>
      <w:r>
        <w:rPr>
          <w:color w:val="FF0000"/>
          <w:spacing w:val="37"/>
          <w:sz w:val="24"/>
        </w:rPr>
        <w:t> </w:t>
      </w:r>
      <w:r>
        <w:rPr>
          <w:color w:val="FF0000"/>
          <w:sz w:val="24"/>
        </w:rPr>
        <w:t>agents)/</w:t>
      </w:r>
      <w:r>
        <w:rPr>
          <w:color w:val="FF0000"/>
          <w:spacing w:val="2"/>
          <w:sz w:val="24"/>
        </w:rPr>
        <w:t>抗抑鬱劑：如：單胺氧化脢</w:t>
      </w:r>
      <w:r>
        <w:rPr>
          <w:color w:val="FF0000"/>
          <w:spacing w:val="15"/>
          <w:sz w:val="24"/>
        </w:rPr>
        <w:t>抑制劑 (</w:t>
      </w:r>
      <w:r>
        <w:rPr>
          <w:color w:val="FF0000"/>
          <w:sz w:val="24"/>
        </w:rPr>
        <w:t>monoamine</w:t>
      </w:r>
      <w:r>
        <w:rPr>
          <w:color w:val="FF0000"/>
          <w:spacing w:val="8"/>
          <w:sz w:val="24"/>
        </w:rPr>
        <w:t> </w:t>
      </w:r>
      <w:r>
        <w:rPr>
          <w:color w:val="FF0000"/>
          <w:sz w:val="24"/>
        </w:rPr>
        <w:t>oxidase</w:t>
      </w:r>
      <w:r>
        <w:rPr>
          <w:color w:val="FF0000"/>
          <w:spacing w:val="8"/>
          <w:sz w:val="24"/>
        </w:rPr>
        <w:t> </w:t>
      </w:r>
      <w:r>
        <w:rPr>
          <w:color w:val="FF0000"/>
          <w:sz w:val="24"/>
        </w:rPr>
        <w:t>inhibitors</w:t>
      </w:r>
      <w:r>
        <w:rPr>
          <w:color w:val="FF0000"/>
          <w:spacing w:val="4"/>
          <w:sz w:val="24"/>
        </w:rPr>
        <w:t>, </w:t>
      </w:r>
      <w:r>
        <w:rPr>
          <w:color w:val="FF0000"/>
          <w:sz w:val="24"/>
        </w:rPr>
        <w:t>MAOIs)</w:t>
      </w:r>
      <w:r>
        <w:rPr>
          <w:color w:val="FF0000"/>
          <w:spacing w:val="24"/>
          <w:sz w:val="24"/>
        </w:rPr>
        <w:t> 、選擇性血清回收抑制劑</w:t>
      </w:r>
      <w:r>
        <w:rPr>
          <w:color w:val="FF0000"/>
          <w:sz w:val="24"/>
        </w:rPr>
        <w:t>(selective</w:t>
      </w:r>
      <w:r>
        <w:rPr>
          <w:color w:val="FF0000"/>
          <w:spacing w:val="-9"/>
          <w:sz w:val="24"/>
        </w:rPr>
        <w:t> </w:t>
      </w:r>
      <w:r>
        <w:rPr>
          <w:color w:val="FF0000"/>
          <w:sz w:val="24"/>
        </w:rPr>
        <w:t>serotonin</w:t>
      </w:r>
      <w:r>
        <w:rPr>
          <w:color w:val="FF0000"/>
          <w:spacing w:val="-9"/>
          <w:sz w:val="24"/>
        </w:rPr>
        <w:t> </w:t>
      </w:r>
      <w:r>
        <w:rPr>
          <w:color w:val="FF0000"/>
          <w:sz w:val="24"/>
        </w:rPr>
        <w:t>reuptake</w:t>
      </w:r>
      <w:r>
        <w:rPr>
          <w:color w:val="FF0000"/>
          <w:spacing w:val="-9"/>
          <w:sz w:val="24"/>
        </w:rPr>
        <w:t> </w:t>
      </w:r>
      <w:r>
        <w:rPr>
          <w:color w:val="FF0000"/>
          <w:sz w:val="24"/>
        </w:rPr>
        <w:t>inhibitors</w:t>
      </w:r>
      <w:r>
        <w:rPr>
          <w:color w:val="FF0000"/>
          <w:spacing w:val="1"/>
          <w:sz w:val="24"/>
        </w:rPr>
        <w:t>，如：</w:t>
      </w:r>
      <w:r>
        <w:rPr>
          <w:color w:val="FF0000"/>
          <w:sz w:val="24"/>
        </w:rPr>
        <w:t>fluoxetine</w:t>
      </w:r>
      <w:r>
        <w:rPr>
          <w:color w:val="FF0000"/>
          <w:spacing w:val="7"/>
          <w:sz w:val="24"/>
        </w:rPr>
        <w:t> 及 </w:t>
      </w:r>
      <w:r>
        <w:rPr>
          <w:color w:val="FF0000"/>
          <w:sz w:val="24"/>
        </w:rPr>
        <w:t>paroxetine</w:t>
      </w:r>
      <w:r>
        <w:rPr>
          <w:color w:val="FF0000"/>
          <w:spacing w:val="-6"/>
          <w:sz w:val="24"/>
        </w:rPr>
        <w:t>)、血清</w:t>
      </w:r>
      <w:r>
        <w:rPr>
          <w:color w:val="FF0000"/>
          <w:spacing w:val="2"/>
          <w:sz w:val="24"/>
        </w:rPr>
        <w:t>鋰鹽(</w:t>
      </w:r>
      <w:r>
        <w:rPr>
          <w:color w:val="FF0000"/>
          <w:sz w:val="24"/>
        </w:rPr>
        <w:t>lithium</w:t>
      </w:r>
      <w:r>
        <w:rPr>
          <w:color w:val="FF0000"/>
          <w:spacing w:val="-2"/>
          <w:sz w:val="24"/>
        </w:rPr>
        <w:t>)、三環抗鬱劑(</w:t>
      </w:r>
      <w:r>
        <w:rPr>
          <w:color w:val="FF0000"/>
          <w:sz w:val="24"/>
        </w:rPr>
        <w:t>tricyclic</w:t>
      </w:r>
      <w:r>
        <w:rPr>
          <w:color w:val="FF0000"/>
          <w:spacing w:val="9"/>
          <w:sz w:val="24"/>
        </w:rPr>
        <w:t> </w:t>
      </w:r>
      <w:r>
        <w:rPr>
          <w:color w:val="FF0000"/>
          <w:sz w:val="24"/>
        </w:rPr>
        <w:t>antidepressants</w:t>
      </w:r>
      <w:r>
        <w:rPr>
          <w:color w:val="FF0000"/>
          <w:spacing w:val="-3"/>
          <w:sz w:val="24"/>
        </w:rPr>
        <w:t>)等，可能會導致嚴重中樞神</w:t>
      </w:r>
      <w:r>
        <w:rPr>
          <w:color w:val="FF0000"/>
          <w:spacing w:val="3"/>
          <w:sz w:val="24"/>
        </w:rPr>
        <w:t>經系統反應，避免併用。</w:t>
      </w:r>
    </w:p>
    <w:p>
      <w:pPr>
        <w:spacing w:after="0" w:line="225" w:lineRule="auto"/>
        <w:jc w:val="both"/>
        <w:rPr>
          <w:sz w:val="24"/>
        </w:rPr>
        <w:sectPr>
          <w:pgSz w:w="12250" w:h="17190"/>
          <w:pgMar w:header="0" w:footer="748" w:top="1460" w:bottom="1020" w:left="1180" w:right="0"/>
        </w:sectPr>
      </w:pPr>
    </w:p>
    <w:p>
      <w:pPr>
        <w:pStyle w:val="Heading6"/>
        <w:numPr>
          <w:ilvl w:val="1"/>
          <w:numId w:val="43"/>
        </w:numPr>
        <w:tabs>
          <w:tab w:pos="664" w:val="left" w:leader="none"/>
        </w:tabs>
        <w:spacing w:line="445" w:lineRule="exact" w:before="9" w:after="0"/>
        <w:ind w:left="663" w:right="0" w:hanging="484"/>
        <w:jc w:val="both"/>
      </w:pPr>
      <w:bookmarkStart w:name="6.3 藥物與藥物交互作用（表 6-4）" w:id="71"/>
      <w:bookmarkEnd w:id="71"/>
      <w:r>
        <w:rPr>
          <w:b w:val="0"/>
        </w:rPr>
      </w:r>
      <w:bookmarkStart w:name="6.3 藥物與藥物交互作用（表 6-4）" w:id="72"/>
      <w:bookmarkEnd w:id="72"/>
      <w:r>
        <w:rPr>
          <w:spacing w:val="3"/>
        </w:rPr>
        <w:t>藥物與藥物交互作用</w:t>
      </w:r>
      <w:r>
        <w:rPr>
          <w:spacing w:val="4"/>
        </w:rPr>
        <w:t>（</w:t>
      </w:r>
      <w:r>
        <w:rPr>
          <w:spacing w:val="3"/>
        </w:rPr>
        <w:t>表 </w:t>
      </w:r>
      <w:r>
        <w:rPr/>
        <w:t>6-4）</w:t>
      </w:r>
    </w:p>
    <w:p>
      <w:pPr>
        <w:pStyle w:val="BodyText"/>
        <w:spacing w:line="228" w:lineRule="auto" w:before="2"/>
        <w:ind w:left="676" w:right="1301" w:firstLine="487"/>
        <w:jc w:val="both"/>
      </w:pPr>
      <w:r>
        <w:rPr/>
        <w:t>目前常用的抗結核病藥物中以 INH、RMP、quinolones 三類與其他藥物併用時較易出現藥物交互作用(表 6-4)。少數二線藥如 CS 與 TBN 併用時易造成神經性毒性如癲癇發作，PAS 會影響 INH 的代謝及降低維他命 B12 的吸收，合併使用 PAS 與TBN 可能引發低甲狀腺血症(hypothyroidism)，RMP 會降低抗 HIV 藥物如 non- nucleoside reverse transcription inhibitors (NNRTI) 及 protease inhibitors (PI) 之血中濃度。至於 PZA、EMB、SM 及 capreomycin 則尚無明顯藥物交互作用的報告。</w:t>
      </w:r>
    </w:p>
    <w:p>
      <w:pPr>
        <w:pStyle w:val="BodyText"/>
        <w:spacing w:before="10"/>
        <w:rPr>
          <w:sz w:val="20"/>
        </w:rPr>
      </w:pPr>
    </w:p>
    <w:p>
      <w:pPr>
        <w:pStyle w:val="Heading6"/>
        <w:numPr>
          <w:ilvl w:val="1"/>
          <w:numId w:val="43"/>
        </w:numPr>
        <w:tabs>
          <w:tab w:pos="664" w:val="left" w:leader="none"/>
        </w:tabs>
        <w:spacing w:line="457" w:lineRule="exact" w:before="0" w:after="0"/>
        <w:ind w:left="663" w:right="0" w:hanging="484"/>
        <w:jc w:val="both"/>
      </w:pPr>
      <w:bookmarkStart w:name="6.4 藥物與食物交互作用" w:id="73"/>
      <w:bookmarkEnd w:id="73"/>
      <w:r>
        <w:rPr>
          <w:b w:val="0"/>
        </w:rPr>
      </w:r>
      <w:bookmarkStart w:name="6.4 藥物與食物交互作用" w:id="74"/>
      <w:bookmarkEnd w:id="74"/>
      <w:r>
        <w:rPr>
          <w:spacing w:val="2"/>
        </w:rPr>
        <w:t>藥物與食物交互作用</w:t>
      </w:r>
    </w:p>
    <w:p>
      <w:pPr>
        <w:pStyle w:val="BodyText"/>
        <w:spacing w:line="228" w:lineRule="auto" w:before="13"/>
        <w:ind w:left="676" w:right="1303" w:firstLine="487"/>
        <w:jc w:val="both"/>
      </w:pPr>
      <w:r>
        <w:rPr>
          <w:spacing w:val="2"/>
        </w:rPr>
        <w:t>臨床上若發現病人的藥物療效不佳或發生副作用時，也要審慎考慮是否為病人飲食與藥物產生交互作用所造成的影響。食物對藥物的影響主要在干擾吸收、分佈、代</w:t>
      </w:r>
      <w:r>
        <w:rPr>
          <w:spacing w:val="3"/>
        </w:rPr>
        <w:t>謝、排除或藥理加成、拮抗作用。其中以影響吸收及代謝最為常見。</w:t>
      </w:r>
      <w:r>
        <w:rPr/>
        <w:t>INH</w:t>
      </w:r>
      <w:r>
        <w:rPr>
          <w:spacing w:val="14"/>
        </w:rPr>
        <w:t> 與 </w:t>
      </w:r>
      <w:r>
        <w:rPr/>
        <w:t>RMP</w:t>
      </w:r>
      <w:r>
        <w:rPr>
          <w:spacing w:val="10"/>
        </w:rPr>
        <w:t> 在</w:t>
      </w:r>
      <w:r>
        <w:rPr>
          <w:spacing w:val="2"/>
        </w:rPr>
        <w:t>酸性環境下，吸收效果較佳，與食物一起服用時，因胃液酸鹼值增高而減少其吸收， </w:t>
      </w:r>
      <w:r>
        <w:rPr>
          <w:spacing w:val="6"/>
        </w:rPr>
        <w:t>因此在服用時需間隔 </w:t>
      </w:r>
      <w:r>
        <w:rPr/>
        <w:t>1-2</w:t>
      </w:r>
      <w:r>
        <w:rPr>
          <w:spacing w:val="5"/>
        </w:rPr>
        <w:t> 小時，最好在空腹時服用效果較好。反之，</w:t>
      </w:r>
      <w:r>
        <w:rPr/>
        <w:t>rifapentine、clarithromycin</w:t>
      </w:r>
      <w:r>
        <w:rPr>
          <w:spacing w:val="-52"/>
        </w:rPr>
        <w:t>、</w:t>
      </w:r>
      <w:r>
        <w:rPr>
          <w:spacing w:val="3"/>
        </w:rPr>
        <w:t>clofazimine</w:t>
      </w:r>
      <w:r>
        <w:rPr>
          <w:spacing w:val="4"/>
        </w:rPr>
        <w:t> 及 </w:t>
      </w:r>
      <w:r>
        <w:rPr>
          <w:spacing w:val="2"/>
        </w:rPr>
        <w:t>PAS</w:t>
      </w:r>
      <w:r>
        <w:rPr>
          <w:spacing w:val="-3"/>
        </w:rPr>
        <w:t> 則最好與食物一起服用較佳。其他藥品如 </w:t>
      </w:r>
      <w:r>
        <w:rPr>
          <w:spacing w:val="-16"/>
        </w:rPr>
        <w:t>PZA</w:t>
      </w:r>
      <w:r>
        <w:rPr/>
        <w:t>、EMB</w:t>
      </w:r>
      <w:r>
        <w:rPr>
          <w:spacing w:val="4"/>
        </w:rPr>
        <w:t>、</w:t>
      </w:r>
      <w:r>
        <w:rPr/>
        <w:t>RFB</w:t>
      </w:r>
      <w:r>
        <w:rPr>
          <w:color w:val="FF0000"/>
          <w:spacing w:val="1"/>
        </w:rPr>
        <w:t>(但高脂肪食物降低腸道吸收)</w:t>
      </w:r>
      <w:r>
        <w:rPr>
          <w:spacing w:val="28"/>
        </w:rPr>
        <w:t>及 </w:t>
      </w:r>
      <w:r>
        <w:rPr/>
        <w:t>fluoroquinolone</w:t>
      </w:r>
      <w:r>
        <w:rPr>
          <w:spacing w:val="5"/>
        </w:rPr>
        <w:t> 則不受食物影響。二線</w:t>
      </w:r>
      <w:r>
        <w:rPr>
          <w:spacing w:val="3"/>
        </w:rPr>
        <w:t>藥與食物的交互作用的相關資料不多，</w:t>
      </w:r>
      <w:r>
        <w:rPr>
          <w:color w:val="FF0000"/>
          <w:spacing w:val="2"/>
        </w:rPr>
        <w:t>建議最好在空腹服用為宜。若無法適應，再考</w:t>
      </w:r>
      <w:r>
        <w:rPr>
          <w:color w:val="FF0000"/>
          <w:spacing w:val="3"/>
        </w:rPr>
        <w:t>慮與輕食一起服用。</w:t>
      </w:r>
    </w:p>
    <w:p>
      <w:pPr>
        <w:spacing w:after="0" w:line="228" w:lineRule="auto"/>
        <w:jc w:val="both"/>
        <w:sectPr>
          <w:pgSz w:w="12250" w:h="17190"/>
          <w:pgMar w:header="0" w:footer="748" w:top="1460" w:bottom="1020" w:left="1180" w:right="0"/>
        </w:sectPr>
      </w:pPr>
    </w:p>
    <w:p>
      <w:pPr>
        <w:pStyle w:val="Heading6"/>
        <w:spacing w:before="9"/>
        <w:ind w:left="180"/>
      </w:pPr>
      <w:r>
        <w:rPr/>
        <w:pict>
          <v:group style="position:absolute;margin-left:571.5pt;margin-top:.705901pt;width:40.9pt;height:316.05pt;mso-position-horizontal-relative:page;mso-position-vertical-relative:paragraph;z-index:251756544" coordorigin="11430,14" coordsize="818,6321">
            <v:shape style="position:absolute;left:11430;top:14;width:818;height:6321" coordorigin="11430,14" coordsize="818,6321" path="m12247,14l11595,14,11531,27,11478,63,11443,115,11430,179,11430,6170,11443,6234,11478,6287,11531,6322,11595,6335,12247,6335,12247,14xe" filled="true" fillcolor="#a6a6a6" stroked="false">
              <v:path arrowok="t"/>
              <v:fill type="solid"/>
            </v:shape>
            <v:shape style="position:absolute;left:11430;top:14;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bookmarkStart w:name="參考文獻" w:id="75"/>
      <w:bookmarkEnd w:id="75"/>
      <w:r>
        <w:rPr>
          <w:b w:val="0"/>
        </w:rPr>
      </w:r>
      <w:r>
        <w:rPr/>
        <w:t>參考文獻</w:t>
      </w:r>
    </w:p>
    <w:p>
      <w:pPr>
        <w:pStyle w:val="ListParagraph"/>
        <w:numPr>
          <w:ilvl w:val="0"/>
          <w:numId w:val="87"/>
        </w:numPr>
        <w:tabs>
          <w:tab w:pos="947" w:val="left" w:leader="none"/>
        </w:tabs>
        <w:spacing w:line="230" w:lineRule="auto" w:before="23" w:after="0"/>
        <w:ind w:left="946" w:right="1370" w:hanging="403"/>
        <w:jc w:val="both"/>
        <w:rPr>
          <w:sz w:val="23"/>
        </w:rPr>
      </w:pPr>
      <w:r>
        <w:rPr>
          <w:spacing w:val="-6"/>
          <w:sz w:val="23"/>
        </w:rPr>
        <w:t>Toman </w:t>
      </w:r>
      <w:r>
        <w:rPr>
          <w:sz w:val="23"/>
        </w:rPr>
        <w:t>K. </w:t>
      </w:r>
      <w:r>
        <w:rPr>
          <w:spacing w:val="-4"/>
          <w:sz w:val="23"/>
        </w:rPr>
        <w:t>Tuberculosis </w:t>
      </w:r>
      <w:r>
        <w:rPr>
          <w:sz w:val="23"/>
        </w:rPr>
        <w:t>Case-Finding and Chemotherapy. Question and Answers. 2nd ed. World Health Organization, Geneva, 2004:</w:t>
      </w:r>
      <w:r>
        <w:rPr>
          <w:spacing w:val="-21"/>
          <w:sz w:val="23"/>
        </w:rPr>
        <w:t> </w:t>
      </w:r>
      <w:r>
        <w:rPr>
          <w:sz w:val="23"/>
        </w:rPr>
        <w:t>152-8.</w:t>
      </w:r>
    </w:p>
    <w:p>
      <w:pPr>
        <w:pStyle w:val="ListParagraph"/>
        <w:numPr>
          <w:ilvl w:val="0"/>
          <w:numId w:val="87"/>
        </w:numPr>
        <w:tabs>
          <w:tab w:pos="970" w:val="left" w:leader="none"/>
        </w:tabs>
        <w:spacing w:line="230" w:lineRule="auto" w:before="2" w:after="0"/>
        <w:ind w:left="969" w:right="1367" w:hanging="426"/>
        <w:jc w:val="both"/>
        <w:rPr>
          <w:sz w:val="23"/>
        </w:rPr>
      </w:pPr>
      <w:r>
        <w:rPr>
          <w:sz w:val="23"/>
        </w:rPr>
        <w:t>Singh </w:t>
      </w:r>
      <w:r>
        <w:rPr>
          <w:spacing w:val="-3"/>
          <w:sz w:val="23"/>
        </w:rPr>
        <w:t>J, </w:t>
      </w:r>
      <w:r>
        <w:rPr>
          <w:sz w:val="23"/>
        </w:rPr>
        <w:t>Garg PK, </w:t>
      </w:r>
      <w:r>
        <w:rPr>
          <w:spacing w:val="-6"/>
          <w:sz w:val="23"/>
        </w:rPr>
        <w:t>Tandon </w:t>
      </w:r>
      <w:r>
        <w:rPr>
          <w:sz w:val="23"/>
        </w:rPr>
        <w:t>RK. Hepatotoxicity due to antituberculosis </w:t>
      </w:r>
      <w:r>
        <w:rPr>
          <w:spacing w:val="-4"/>
          <w:sz w:val="23"/>
        </w:rPr>
        <w:t>therapy. </w:t>
      </w:r>
      <w:r>
        <w:rPr>
          <w:sz w:val="23"/>
        </w:rPr>
        <w:t>Clinical profile and reintroduction of </w:t>
      </w:r>
      <w:r>
        <w:rPr>
          <w:spacing w:val="-4"/>
          <w:sz w:val="23"/>
        </w:rPr>
        <w:t>therapy. </w:t>
      </w:r>
      <w:r>
        <w:rPr>
          <w:sz w:val="23"/>
        </w:rPr>
        <w:t>J Clin Gastroenterol 1996; 22:</w:t>
      </w:r>
      <w:r>
        <w:rPr>
          <w:spacing w:val="-33"/>
          <w:sz w:val="23"/>
        </w:rPr>
        <w:t> </w:t>
      </w:r>
      <w:r>
        <w:rPr>
          <w:sz w:val="23"/>
        </w:rPr>
        <w:t>211-4.</w:t>
      </w:r>
    </w:p>
    <w:p>
      <w:pPr>
        <w:pStyle w:val="ListParagraph"/>
        <w:numPr>
          <w:ilvl w:val="0"/>
          <w:numId w:val="87"/>
        </w:numPr>
        <w:tabs>
          <w:tab w:pos="970" w:val="left" w:leader="none"/>
        </w:tabs>
        <w:spacing w:line="230" w:lineRule="auto" w:before="3" w:after="0"/>
        <w:ind w:left="969" w:right="1370" w:hanging="426"/>
        <w:jc w:val="both"/>
        <w:rPr>
          <w:sz w:val="23"/>
        </w:rPr>
      </w:pPr>
      <w:r>
        <w:rPr>
          <w:sz w:val="23"/>
        </w:rPr>
        <w:t>Thompson </w:t>
      </w:r>
      <w:r>
        <w:rPr>
          <w:spacing w:val="-10"/>
          <w:sz w:val="23"/>
        </w:rPr>
        <w:t>NP, </w:t>
      </w:r>
      <w:r>
        <w:rPr>
          <w:sz w:val="23"/>
        </w:rPr>
        <w:t>Caplin ME, Hamilton MI, et al. Anti-tuberculosis medication and the liver: dangers and recommendations in management. Eur Respir J 1995; 8: 1384-8.</w:t>
      </w:r>
    </w:p>
    <w:p>
      <w:pPr>
        <w:pStyle w:val="ListParagraph"/>
        <w:numPr>
          <w:ilvl w:val="0"/>
          <w:numId w:val="87"/>
        </w:numPr>
        <w:tabs>
          <w:tab w:pos="970" w:val="left" w:leader="none"/>
        </w:tabs>
        <w:spacing w:line="230" w:lineRule="auto" w:before="3" w:after="0"/>
        <w:ind w:left="969" w:right="1368" w:hanging="426"/>
        <w:jc w:val="both"/>
        <w:rPr>
          <w:sz w:val="23"/>
        </w:rPr>
      </w:pPr>
      <w:r>
        <w:rPr/>
        <w:pict>
          <v:shape style="position:absolute;margin-left:574.289001pt;margin-top:43.283848pt;width:16.650pt;height:5.55pt;mso-position-horizontal-relative:page;mso-position-vertical-relative:paragraph;z-index:251758592"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z w:val="23"/>
        </w:rPr>
        <w:t>Blumberg HM, Burman </w:t>
      </w:r>
      <w:r>
        <w:rPr>
          <w:spacing w:val="-4"/>
          <w:sz w:val="23"/>
        </w:rPr>
        <w:t>WJ, </w:t>
      </w:r>
      <w:r>
        <w:rPr>
          <w:sz w:val="23"/>
        </w:rPr>
        <w:t>Chaisson RE, et al. American Thoracic Society/Centers for Disease Control and Prevention/Infectious Diseases Society of America. </w:t>
      </w:r>
      <w:r>
        <w:rPr>
          <w:spacing w:val="-5"/>
          <w:sz w:val="23"/>
        </w:rPr>
        <w:t>Treatment </w:t>
      </w:r>
      <w:r>
        <w:rPr>
          <w:sz w:val="23"/>
        </w:rPr>
        <w:t>of tuberculosis. Am J Respir Crit Care Med 2003; 167:</w:t>
      </w:r>
      <w:r>
        <w:rPr>
          <w:spacing w:val="-24"/>
          <w:sz w:val="23"/>
        </w:rPr>
        <w:t> </w:t>
      </w:r>
      <w:r>
        <w:rPr>
          <w:sz w:val="23"/>
        </w:rPr>
        <w:t>603–62.</w:t>
      </w:r>
    </w:p>
    <w:p>
      <w:pPr>
        <w:pStyle w:val="ListParagraph"/>
        <w:numPr>
          <w:ilvl w:val="0"/>
          <w:numId w:val="87"/>
        </w:numPr>
        <w:tabs>
          <w:tab w:pos="970" w:val="left" w:leader="none"/>
        </w:tabs>
        <w:spacing w:line="230" w:lineRule="auto" w:before="3" w:after="0"/>
        <w:ind w:left="969" w:right="1368" w:hanging="426"/>
        <w:jc w:val="both"/>
        <w:rPr>
          <w:sz w:val="23"/>
        </w:rPr>
      </w:pPr>
      <w:r>
        <w:rPr>
          <w:sz w:val="23"/>
        </w:rPr>
        <w:t>Ormerod </w:t>
      </w:r>
      <w:r>
        <w:rPr>
          <w:spacing w:val="-10"/>
          <w:sz w:val="23"/>
        </w:rPr>
        <w:t>LP, </w:t>
      </w:r>
      <w:r>
        <w:rPr>
          <w:sz w:val="23"/>
        </w:rPr>
        <w:t>Skinner C, </w:t>
      </w:r>
      <w:r>
        <w:rPr>
          <w:spacing w:val="-4"/>
          <w:sz w:val="23"/>
        </w:rPr>
        <w:t>Wales </w:t>
      </w:r>
      <w:r>
        <w:rPr>
          <w:spacing w:val="-3"/>
          <w:sz w:val="23"/>
        </w:rPr>
        <w:t>J. </w:t>
      </w:r>
      <w:r>
        <w:rPr>
          <w:sz w:val="23"/>
        </w:rPr>
        <w:t>Hepatotoxicity of antituberculosis drugs. Thorax 1996; 51:</w:t>
      </w:r>
      <w:r>
        <w:rPr>
          <w:spacing w:val="-5"/>
          <w:sz w:val="23"/>
        </w:rPr>
        <w:t> </w:t>
      </w:r>
      <w:r>
        <w:rPr>
          <w:sz w:val="23"/>
        </w:rPr>
        <w:t>111-3.</w:t>
      </w:r>
    </w:p>
    <w:p>
      <w:pPr>
        <w:pStyle w:val="ListParagraph"/>
        <w:numPr>
          <w:ilvl w:val="0"/>
          <w:numId w:val="87"/>
        </w:numPr>
        <w:tabs>
          <w:tab w:pos="970" w:val="left" w:leader="none"/>
        </w:tabs>
        <w:spacing w:line="230" w:lineRule="auto" w:before="2" w:after="0"/>
        <w:ind w:left="969" w:right="1368" w:hanging="426"/>
        <w:jc w:val="both"/>
        <w:rPr>
          <w:sz w:val="23"/>
        </w:rPr>
      </w:pPr>
      <w:r>
        <w:rPr/>
        <w:pict>
          <v:shape style="position:absolute;margin-left:574.289001pt;margin-top:37.454643pt;width:16.650pt;height:5.55pt;mso-position-horizontal-relative:page;mso-position-vertical-relative:paragraph;z-index:251757568"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z w:val="23"/>
        </w:rPr>
        <w:t>Joint </w:t>
      </w:r>
      <w:r>
        <w:rPr>
          <w:spacing w:val="-4"/>
          <w:sz w:val="23"/>
        </w:rPr>
        <w:t>Tuberculosis </w:t>
      </w:r>
      <w:r>
        <w:rPr>
          <w:sz w:val="23"/>
        </w:rPr>
        <w:t>Committee of the British Thoracic </w:t>
      </w:r>
      <w:r>
        <w:rPr>
          <w:spacing w:val="-4"/>
          <w:sz w:val="23"/>
        </w:rPr>
        <w:t>Society. </w:t>
      </w:r>
      <w:r>
        <w:rPr>
          <w:sz w:val="23"/>
        </w:rPr>
        <w:t>Chemotherapy and management of tuberculosis in the United Kingdom: recommendations 1998. Thorax 1998; 53:</w:t>
      </w:r>
      <w:r>
        <w:rPr>
          <w:spacing w:val="-5"/>
          <w:sz w:val="23"/>
        </w:rPr>
        <w:t> </w:t>
      </w:r>
      <w:r>
        <w:rPr>
          <w:sz w:val="23"/>
        </w:rPr>
        <w:t>536-48.</w:t>
      </w:r>
    </w:p>
    <w:p>
      <w:pPr>
        <w:pStyle w:val="ListParagraph"/>
        <w:numPr>
          <w:ilvl w:val="0"/>
          <w:numId w:val="87"/>
        </w:numPr>
        <w:tabs>
          <w:tab w:pos="970" w:val="left" w:leader="none"/>
        </w:tabs>
        <w:spacing w:line="230" w:lineRule="auto" w:before="4" w:after="0"/>
        <w:ind w:left="969" w:right="1366" w:hanging="426"/>
        <w:jc w:val="both"/>
        <w:rPr>
          <w:sz w:val="23"/>
        </w:rPr>
      </w:pPr>
      <w:r>
        <w:rPr>
          <w:sz w:val="23"/>
        </w:rPr>
        <w:t>Ellard GA, Haslam RM. Observations on the reduction of the renal elimination </w:t>
      </w:r>
      <w:r>
        <w:rPr>
          <w:spacing w:val="-3"/>
          <w:sz w:val="23"/>
        </w:rPr>
        <w:t>of </w:t>
      </w:r>
      <w:r>
        <w:rPr>
          <w:sz w:val="23"/>
        </w:rPr>
        <w:t>urate</w:t>
      </w:r>
      <w:r>
        <w:rPr>
          <w:spacing w:val="-7"/>
          <w:sz w:val="23"/>
        </w:rPr>
        <w:t> </w:t>
      </w:r>
      <w:r>
        <w:rPr>
          <w:sz w:val="23"/>
        </w:rPr>
        <w:t>in</w:t>
      </w:r>
      <w:r>
        <w:rPr>
          <w:spacing w:val="-6"/>
          <w:sz w:val="23"/>
        </w:rPr>
        <w:t> </w:t>
      </w:r>
      <w:r>
        <w:rPr>
          <w:sz w:val="23"/>
        </w:rPr>
        <w:t>man</w:t>
      </w:r>
      <w:r>
        <w:rPr>
          <w:spacing w:val="-6"/>
          <w:sz w:val="23"/>
        </w:rPr>
        <w:t> </w:t>
      </w:r>
      <w:r>
        <w:rPr>
          <w:sz w:val="23"/>
        </w:rPr>
        <w:t>caused</w:t>
      </w:r>
      <w:r>
        <w:rPr>
          <w:spacing w:val="-7"/>
          <w:sz w:val="23"/>
        </w:rPr>
        <w:t> </w:t>
      </w:r>
      <w:r>
        <w:rPr>
          <w:sz w:val="23"/>
        </w:rPr>
        <w:t>by</w:t>
      </w:r>
      <w:r>
        <w:rPr>
          <w:spacing w:val="-6"/>
          <w:sz w:val="23"/>
        </w:rPr>
        <w:t> </w:t>
      </w:r>
      <w:r>
        <w:rPr>
          <w:sz w:val="23"/>
        </w:rPr>
        <w:t>the</w:t>
      </w:r>
      <w:r>
        <w:rPr>
          <w:spacing w:val="-6"/>
          <w:sz w:val="23"/>
        </w:rPr>
        <w:t> </w:t>
      </w:r>
      <w:r>
        <w:rPr>
          <w:sz w:val="23"/>
        </w:rPr>
        <w:t>administration</w:t>
      </w:r>
      <w:r>
        <w:rPr>
          <w:spacing w:val="-6"/>
          <w:sz w:val="23"/>
        </w:rPr>
        <w:t> </w:t>
      </w:r>
      <w:r>
        <w:rPr>
          <w:sz w:val="23"/>
        </w:rPr>
        <w:t>of</w:t>
      </w:r>
      <w:r>
        <w:rPr>
          <w:spacing w:val="-12"/>
          <w:sz w:val="23"/>
        </w:rPr>
        <w:t> </w:t>
      </w:r>
      <w:r>
        <w:rPr>
          <w:sz w:val="23"/>
        </w:rPr>
        <w:t>pyrazinamide.</w:t>
      </w:r>
      <w:r>
        <w:rPr>
          <w:spacing w:val="-7"/>
          <w:sz w:val="23"/>
        </w:rPr>
        <w:t> </w:t>
      </w:r>
      <w:r>
        <w:rPr>
          <w:spacing w:val="-5"/>
          <w:sz w:val="23"/>
        </w:rPr>
        <w:t>Tubercle</w:t>
      </w:r>
      <w:r>
        <w:rPr>
          <w:spacing w:val="-14"/>
          <w:sz w:val="23"/>
        </w:rPr>
        <w:t> </w:t>
      </w:r>
      <w:r>
        <w:rPr>
          <w:sz w:val="23"/>
        </w:rPr>
        <w:t>1976;</w:t>
      </w:r>
      <w:r>
        <w:rPr>
          <w:spacing w:val="-7"/>
          <w:sz w:val="23"/>
        </w:rPr>
        <w:t> </w:t>
      </w:r>
      <w:r>
        <w:rPr>
          <w:sz w:val="23"/>
        </w:rPr>
        <w:t>57:</w:t>
      </w:r>
      <w:r>
        <w:rPr>
          <w:spacing w:val="-8"/>
          <w:sz w:val="23"/>
        </w:rPr>
        <w:t> </w:t>
      </w:r>
      <w:r>
        <w:rPr>
          <w:sz w:val="23"/>
        </w:rPr>
        <w:t>97- 103.</w:t>
      </w:r>
    </w:p>
    <w:p>
      <w:pPr>
        <w:pStyle w:val="ListParagraph"/>
        <w:numPr>
          <w:ilvl w:val="0"/>
          <w:numId w:val="87"/>
        </w:numPr>
        <w:tabs>
          <w:tab w:pos="969" w:val="left" w:leader="none"/>
          <w:tab w:pos="970" w:val="left" w:leader="none"/>
        </w:tabs>
        <w:spacing w:line="230" w:lineRule="auto" w:before="2" w:after="0"/>
        <w:ind w:left="969" w:right="1369" w:hanging="426"/>
        <w:jc w:val="left"/>
        <w:rPr>
          <w:sz w:val="23"/>
        </w:rPr>
      </w:pPr>
      <w:r>
        <w:rPr>
          <w:sz w:val="23"/>
        </w:rPr>
        <w:t>Pozniak AL, Miller </w:t>
      </w:r>
      <w:r>
        <w:rPr>
          <w:spacing w:val="-6"/>
          <w:sz w:val="23"/>
        </w:rPr>
        <w:t>RF, </w:t>
      </w:r>
      <w:r>
        <w:rPr>
          <w:sz w:val="23"/>
        </w:rPr>
        <w:t>Lipman MCI, et al. </w:t>
      </w:r>
      <w:r>
        <w:rPr>
          <w:spacing w:val="-4"/>
          <w:sz w:val="23"/>
        </w:rPr>
        <w:t>BHIVA </w:t>
      </w:r>
      <w:r>
        <w:rPr>
          <w:spacing w:val="-5"/>
          <w:sz w:val="23"/>
        </w:rPr>
        <w:t>Treatment </w:t>
      </w:r>
      <w:r>
        <w:rPr>
          <w:sz w:val="23"/>
        </w:rPr>
        <w:t>Guidelines for TB/HIV Infection. HIV Med 2005; 6:</w:t>
      </w:r>
      <w:r>
        <w:rPr>
          <w:spacing w:val="-6"/>
          <w:sz w:val="23"/>
        </w:rPr>
        <w:t> </w:t>
      </w:r>
      <w:r>
        <w:rPr>
          <w:sz w:val="23"/>
        </w:rPr>
        <w:t>62-83.</w:t>
      </w:r>
    </w:p>
    <w:p>
      <w:pPr>
        <w:pStyle w:val="ListParagraph"/>
        <w:numPr>
          <w:ilvl w:val="0"/>
          <w:numId w:val="87"/>
        </w:numPr>
        <w:tabs>
          <w:tab w:pos="969" w:val="left" w:leader="none"/>
          <w:tab w:pos="970" w:val="left" w:leader="none"/>
        </w:tabs>
        <w:spacing w:line="230" w:lineRule="auto" w:before="2" w:after="0"/>
        <w:ind w:left="969" w:right="1368" w:hanging="426"/>
        <w:jc w:val="left"/>
        <w:rPr>
          <w:sz w:val="23"/>
        </w:rPr>
      </w:pPr>
      <w:r>
        <w:rPr>
          <w:sz w:val="23"/>
        </w:rPr>
        <w:t>Companion</w:t>
      </w:r>
      <w:r>
        <w:rPr>
          <w:spacing w:val="-14"/>
          <w:sz w:val="23"/>
        </w:rPr>
        <w:t> </w:t>
      </w:r>
      <w:r>
        <w:rPr>
          <w:sz w:val="23"/>
        </w:rPr>
        <w:t>handbook</w:t>
      </w:r>
      <w:r>
        <w:rPr>
          <w:spacing w:val="-15"/>
          <w:sz w:val="23"/>
        </w:rPr>
        <w:t> </w:t>
      </w:r>
      <w:r>
        <w:rPr>
          <w:sz w:val="23"/>
        </w:rPr>
        <w:t>to</w:t>
      </w:r>
      <w:r>
        <w:rPr>
          <w:spacing w:val="-15"/>
          <w:sz w:val="23"/>
        </w:rPr>
        <w:t> </w:t>
      </w:r>
      <w:r>
        <w:rPr>
          <w:sz w:val="23"/>
        </w:rPr>
        <w:t>the</w:t>
      </w:r>
      <w:r>
        <w:rPr>
          <w:spacing w:val="-16"/>
          <w:sz w:val="23"/>
        </w:rPr>
        <w:t> </w:t>
      </w:r>
      <w:r>
        <w:rPr>
          <w:sz w:val="23"/>
        </w:rPr>
        <w:t>WHO</w:t>
      </w:r>
      <w:r>
        <w:rPr>
          <w:spacing w:val="-14"/>
          <w:sz w:val="23"/>
        </w:rPr>
        <w:t> </w:t>
      </w:r>
      <w:r>
        <w:rPr>
          <w:sz w:val="23"/>
        </w:rPr>
        <w:t>guidelines</w:t>
      </w:r>
      <w:r>
        <w:rPr>
          <w:spacing w:val="-14"/>
          <w:sz w:val="23"/>
        </w:rPr>
        <w:t> </w:t>
      </w:r>
      <w:r>
        <w:rPr>
          <w:sz w:val="23"/>
        </w:rPr>
        <w:t>for</w:t>
      </w:r>
      <w:r>
        <w:rPr>
          <w:spacing w:val="-16"/>
          <w:sz w:val="23"/>
        </w:rPr>
        <w:t> </w:t>
      </w:r>
      <w:r>
        <w:rPr>
          <w:sz w:val="23"/>
        </w:rPr>
        <w:t>the</w:t>
      </w:r>
      <w:r>
        <w:rPr>
          <w:spacing w:val="-16"/>
          <w:sz w:val="23"/>
        </w:rPr>
        <w:t> </w:t>
      </w:r>
      <w:r>
        <w:rPr>
          <w:sz w:val="23"/>
        </w:rPr>
        <w:t>programmatic</w:t>
      </w:r>
      <w:r>
        <w:rPr>
          <w:spacing w:val="-14"/>
          <w:sz w:val="23"/>
        </w:rPr>
        <w:t> </w:t>
      </w:r>
      <w:r>
        <w:rPr>
          <w:sz w:val="23"/>
        </w:rPr>
        <w:t>management of drug-resistant tuberculosis. Geneva: World </w:t>
      </w:r>
      <w:r>
        <w:rPr>
          <w:spacing w:val="-5"/>
          <w:sz w:val="23"/>
        </w:rPr>
        <w:t>Health </w:t>
      </w:r>
      <w:r>
        <w:rPr>
          <w:sz w:val="23"/>
        </w:rPr>
        <w:t>Organization; 2014.</w:t>
      </w:r>
      <w:hyperlink r:id="rId37">
        <w:r>
          <w:rPr>
            <w:sz w:val="23"/>
            <w:u w:val="single"/>
          </w:rPr>
          <w:t> http://apps.who.int/iris/bitstream/10665/130918/1/9789241548809_eng.pdf</w:t>
        </w:r>
        <w:r>
          <w:rPr>
            <w:sz w:val="23"/>
          </w:rPr>
          <w:t>,</w:t>
        </w:r>
      </w:hyperlink>
      <w:r>
        <w:rPr>
          <w:sz w:val="23"/>
        </w:rPr>
        <w:t> online version accessed on</w:t>
      </w:r>
      <w:r>
        <w:rPr>
          <w:spacing w:val="-5"/>
          <w:sz w:val="23"/>
        </w:rPr>
        <w:t> </w:t>
      </w:r>
      <w:r>
        <w:rPr>
          <w:sz w:val="23"/>
        </w:rPr>
        <w:t>2017-07-19.</w:t>
      </w:r>
    </w:p>
    <w:p>
      <w:pPr>
        <w:pStyle w:val="ListParagraph"/>
        <w:numPr>
          <w:ilvl w:val="0"/>
          <w:numId w:val="87"/>
        </w:numPr>
        <w:tabs>
          <w:tab w:pos="969" w:val="left" w:leader="none"/>
        </w:tabs>
        <w:spacing w:line="230" w:lineRule="auto" w:before="3" w:after="0"/>
        <w:ind w:left="968" w:right="1427" w:hanging="426"/>
        <w:jc w:val="left"/>
        <w:rPr>
          <w:sz w:val="23"/>
        </w:rPr>
      </w:pPr>
      <w:r>
        <w:rPr>
          <w:sz w:val="23"/>
        </w:rPr>
        <w:t>WHO treatment guidelines for drug-resistant tuberculosis, 2016 update. Geneva: World Health Organization; 2016.</w:t>
      </w:r>
      <w:hyperlink r:id="rId38">
        <w:r>
          <w:rPr>
            <w:sz w:val="23"/>
            <w:u w:val="single"/>
          </w:rPr>
          <w:t> http://apps.who.int/iris/bitstream/10665/250125/1/9789241549639-eng.pdf</w:t>
        </w:r>
        <w:r>
          <w:rPr>
            <w:sz w:val="23"/>
          </w:rPr>
          <w:t>,</w:t>
        </w:r>
      </w:hyperlink>
      <w:r>
        <w:rPr>
          <w:sz w:val="23"/>
        </w:rPr>
        <w:t> online version accessed on</w:t>
      </w:r>
      <w:r>
        <w:rPr>
          <w:spacing w:val="-7"/>
          <w:sz w:val="23"/>
        </w:rPr>
        <w:t> </w:t>
      </w:r>
      <w:r>
        <w:rPr>
          <w:sz w:val="23"/>
        </w:rPr>
        <w:t>2017-07-19.</w:t>
      </w:r>
    </w:p>
    <w:p>
      <w:pPr>
        <w:pStyle w:val="ListParagraph"/>
        <w:numPr>
          <w:ilvl w:val="0"/>
          <w:numId w:val="87"/>
        </w:numPr>
        <w:tabs>
          <w:tab w:pos="969" w:val="left" w:leader="none"/>
        </w:tabs>
        <w:spacing w:line="230" w:lineRule="auto" w:before="4" w:after="0"/>
        <w:ind w:left="968" w:right="1371" w:hanging="426"/>
        <w:jc w:val="both"/>
        <w:rPr>
          <w:sz w:val="23"/>
        </w:rPr>
      </w:pPr>
      <w:r>
        <w:rPr>
          <w:sz w:val="23"/>
        </w:rPr>
        <w:t>Lienhardt C, </w:t>
      </w:r>
      <w:r>
        <w:rPr>
          <w:spacing w:val="-4"/>
          <w:sz w:val="23"/>
        </w:rPr>
        <w:t>Vernon </w:t>
      </w:r>
      <w:r>
        <w:rPr>
          <w:sz w:val="23"/>
        </w:rPr>
        <w:t>A, Raviglione MC. New drugs and new regimens for the treatment of tuberculosis: </w:t>
      </w:r>
      <w:r>
        <w:rPr>
          <w:spacing w:val="-3"/>
          <w:sz w:val="23"/>
        </w:rPr>
        <w:t>Review </w:t>
      </w:r>
      <w:r>
        <w:rPr>
          <w:sz w:val="23"/>
        </w:rPr>
        <w:t>of the drug development pipeline and implications for national programmes. Curr Opin Pulm Med 2010; 16:</w:t>
      </w:r>
      <w:r>
        <w:rPr>
          <w:spacing w:val="-48"/>
          <w:sz w:val="23"/>
        </w:rPr>
        <w:t> </w:t>
      </w:r>
      <w:r>
        <w:rPr>
          <w:sz w:val="23"/>
        </w:rPr>
        <w:t>186-93</w:t>
      </w:r>
    </w:p>
    <w:p>
      <w:pPr>
        <w:pStyle w:val="ListParagraph"/>
        <w:numPr>
          <w:ilvl w:val="0"/>
          <w:numId w:val="87"/>
        </w:numPr>
        <w:tabs>
          <w:tab w:pos="958" w:val="left" w:leader="none"/>
        </w:tabs>
        <w:spacing w:line="230" w:lineRule="auto" w:before="3" w:after="0"/>
        <w:ind w:left="957" w:right="1369" w:hanging="414"/>
        <w:jc w:val="both"/>
        <w:rPr>
          <w:sz w:val="23"/>
        </w:rPr>
      </w:pPr>
      <w:r>
        <w:rPr>
          <w:spacing w:val="-4"/>
          <w:sz w:val="23"/>
        </w:rPr>
        <w:t>Tuberculosis</w:t>
      </w:r>
      <w:r>
        <w:rPr>
          <w:spacing w:val="-13"/>
          <w:sz w:val="23"/>
        </w:rPr>
        <w:t> </w:t>
      </w:r>
      <w:r>
        <w:rPr>
          <w:sz w:val="23"/>
        </w:rPr>
        <w:t>Drug</w:t>
      </w:r>
      <w:r>
        <w:rPr>
          <w:spacing w:val="-6"/>
          <w:sz w:val="23"/>
        </w:rPr>
        <w:t> </w:t>
      </w:r>
      <w:r>
        <w:rPr>
          <w:sz w:val="23"/>
        </w:rPr>
        <w:t>Information</w:t>
      </w:r>
      <w:r>
        <w:rPr>
          <w:spacing w:val="-5"/>
          <w:sz w:val="23"/>
        </w:rPr>
        <w:t> </w:t>
      </w:r>
      <w:r>
        <w:rPr>
          <w:sz w:val="23"/>
        </w:rPr>
        <w:t>Guide.</w:t>
      </w:r>
      <w:r>
        <w:rPr>
          <w:spacing w:val="-7"/>
          <w:sz w:val="23"/>
        </w:rPr>
        <w:t> </w:t>
      </w:r>
      <w:r>
        <w:rPr>
          <w:sz w:val="23"/>
        </w:rPr>
        <w:t>Francis</w:t>
      </w:r>
      <w:r>
        <w:rPr>
          <w:spacing w:val="-6"/>
          <w:sz w:val="23"/>
        </w:rPr>
        <w:t> </w:t>
      </w:r>
      <w:r>
        <w:rPr>
          <w:spacing w:val="-3"/>
          <w:sz w:val="23"/>
        </w:rPr>
        <w:t>J.</w:t>
      </w:r>
      <w:r>
        <w:rPr>
          <w:spacing w:val="-16"/>
          <w:sz w:val="23"/>
        </w:rPr>
        <w:t> </w:t>
      </w:r>
      <w:r>
        <w:rPr>
          <w:sz w:val="23"/>
        </w:rPr>
        <w:t>Curry</w:t>
      </w:r>
      <w:r>
        <w:rPr>
          <w:spacing w:val="-6"/>
          <w:sz w:val="23"/>
        </w:rPr>
        <w:t> </w:t>
      </w:r>
      <w:r>
        <w:rPr>
          <w:sz w:val="23"/>
        </w:rPr>
        <w:t>National</w:t>
      </w:r>
      <w:r>
        <w:rPr>
          <w:spacing w:val="-5"/>
          <w:sz w:val="23"/>
        </w:rPr>
        <w:t> </w:t>
      </w:r>
      <w:r>
        <w:rPr>
          <w:spacing w:val="-4"/>
          <w:sz w:val="23"/>
        </w:rPr>
        <w:t>Tuberculosis</w:t>
      </w:r>
      <w:r>
        <w:rPr>
          <w:spacing w:val="-12"/>
          <w:sz w:val="23"/>
        </w:rPr>
        <w:t> </w:t>
      </w:r>
      <w:r>
        <w:rPr>
          <w:sz w:val="23"/>
        </w:rPr>
        <w:t>Center and California Department of Public Health,</w:t>
      </w:r>
      <w:r>
        <w:rPr>
          <w:spacing w:val="-14"/>
          <w:sz w:val="23"/>
        </w:rPr>
        <w:t> </w:t>
      </w:r>
      <w:r>
        <w:rPr>
          <w:sz w:val="23"/>
        </w:rPr>
        <w:t>2009.</w:t>
      </w:r>
    </w:p>
    <w:p>
      <w:pPr>
        <w:pStyle w:val="ListParagraph"/>
        <w:numPr>
          <w:ilvl w:val="0"/>
          <w:numId w:val="87"/>
        </w:numPr>
        <w:tabs>
          <w:tab w:pos="969" w:val="left" w:leader="none"/>
        </w:tabs>
        <w:spacing w:line="414" w:lineRule="exact" w:before="0" w:after="0"/>
        <w:ind w:left="968" w:right="0" w:hanging="427"/>
        <w:jc w:val="both"/>
        <w:rPr>
          <w:sz w:val="23"/>
        </w:rPr>
      </w:pPr>
      <w:r>
        <w:rPr>
          <w:sz w:val="23"/>
        </w:rPr>
        <w:t>A </w:t>
      </w:r>
      <w:r>
        <w:rPr>
          <w:spacing w:val="-4"/>
          <w:sz w:val="23"/>
        </w:rPr>
        <w:t>Tuberculosis </w:t>
      </w:r>
      <w:r>
        <w:rPr>
          <w:sz w:val="23"/>
        </w:rPr>
        <w:t>guide for specialist physicians, </w:t>
      </w:r>
      <w:r>
        <w:rPr>
          <w:spacing w:val="-7"/>
          <w:sz w:val="23"/>
        </w:rPr>
        <w:t>IUATLD, </w:t>
      </w:r>
      <w:r>
        <w:rPr>
          <w:sz w:val="23"/>
        </w:rPr>
        <w:t>2003:</w:t>
      </w:r>
      <w:r>
        <w:rPr>
          <w:spacing w:val="-13"/>
          <w:sz w:val="23"/>
        </w:rPr>
        <w:t> </w:t>
      </w:r>
      <w:r>
        <w:rPr>
          <w:sz w:val="23"/>
        </w:rPr>
        <w:t>1-368.</w:t>
      </w:r>
    </w:p>
    <w:p>
      <w:pPr>
        <w:spacing w:after="0" w:line="414" w:lineRule="exact"/>
        <w:jc w:val="both"/>
        <w:rPr>
          <w:sz w:val="23"/>
        </w:rPr>
        <w:sectPr>
          <w:pgSz w:w="12250" w:h="17190"/>
          <w:pgMar w:header="0" w:footer="748" w:top="1460" w:bottom="1020" w:left="1180" w:right="0"/>
        </w:sectPr>
      </w:pPr>
    </w:p>
    <w:p>
      <w:pPr>
        <w:pStyle w:val="ListParagraph"/>
        <w:numPr>
          <w:ilvl w:val="0"/>
          <w:numId w:val="87"/>
        </w:numPr>
        <w:tabs>
          <w:tab w:pos="969" w:val="left" w:leader="none"/>
        </w:tabs>
        <w:spacing w:line="230" w:lineRule="auto" w:before="26" w:after="0"/>
        <w:ind w:left="968" w:right="1370" w:hanging="426"/>
        <w:jc w:val="both"/>
        <w:rPr>
          <w:sz w:val="23"/>
        </w:rPr>
      </w:pPr>
      <w:r>
        <w:rPr>
          <w:sz w:val="23"/>
        </w:rPr>
        <w:t>Jindani A, Aber VR, Edwards EA, Mitchison </w:t>
      </w:r>
      <w:r>
        <w:rPr>
          <w:spacing w:val="-3"/>
          <w:sz w:val="23"/>
        </w:rPr>
        <w:t>DA. </w:t>
      </w:r>
      <w:r>
        <w:rPr>
          <w:sz w:val="23"/>
        </w:rPr>
        <w:t>The early bactericidal activity </w:t>
      </w:r>
      <w:r>
        <w:rPr>
          <w:spacing w:val="-4"/>
          <w:sz w:val="23"/>
        </w:rPr>
        <w:t>of </w:t>
      </w:r>
      <w:r>
        <w:rPr>
          <w:sz w:val="23"/>
        </w:rPr>
        <w:t>drugs in patients with pulmonary tuberculosiss. Am </w:t>
      </w:r>
      <w:r>
        <w:rPr>
          <w:spacing w:val="-3"/>
          <w:sz w:val="23"/>
        </w:rPr>
        <w:t>Rev </w:t>
      </w:r>
      <w:r>
        <w:rPr>
          <w:sz w:val="23"/>
        </w:rPr>
        <w:t>Respir Dis 1980; 121: 939-49.</w:t>
      </w:r>
    </w:p>
    <w:p>
      <w:pPr>
        <w:pStyle w:val="ListParagraph"/>
        <w:numPr>
          <w:ilvl w:val="0"/>
          <w:numId w:val="87"/>
        </w:numPr>
        <w:tabs>
          <w:tab w:pos="970" w:val="left" w:leader="none"/>
        </w:tabs>
        <w:spacing w:line="230" w:lineRule="auto" w:before="3" w:after="0"/>
        <w:ind w:left="969" w:right="1371" w:hanging="426"/>
        <w:jc w:val="both"/>
        <w:rPr>
          <w:sz w:val="23"/>
        </w:rPr>
      </w:pPr>
      <w:r>
        <w:rPr>
          <w:sz w:val="23"/>
        </w:rPr>
        <w:t>Chiang CY, Van Deun A, Rieder HL. Gatifloxacin for short, effective treatment of multidrug-resistant tuberculosiss. Int Tuberc Lung Dis 2016; 20:</w:t>
      </w:r>
      <w:r>
        <w:rPr>
          <w:spacing w:val="-12"/>
          <w:sz w:val="23"/>
        </w:rPr>
        <w:t> </w:t>
      </w:r>
      <w:r>
        <w:rPr>
          <w:sz w:val="23"/>
        </w:rPr>
        <w:t>1143-7.</w:t>
      </w:r>
    </w:p>
    <w:p>
      <w:pPr>
        <w:pStyle w:val="ListParagraph"/>
        <w:numPr>
          <w:ilvl w:val="0"/>
          <w:numId w:val="87"/>
        </w:numPr>
        <w:tabs>
          <w:tab w:pos="969" w:val="left" w:leader="none"/>
        </w:tabs>
        <w:spacing w:line="230" w:lineRule="auto" w:before="2" w:after="0"/>
        <w:ind w:left="968" w:right="1370" w:hanging="426"/>
        <w:jc w:val="both"/>
        <w:rPr>
          <w:color w:val="FF0000"/>
          <w:sz w:val="23"/>
        </w:rPr>
      </w:pPr>
      <w:r>
        <w:rPr>
          <w:color w:val="FF0000"/>
          <w:sz w:val="23"/>
        </w:rPr>
        <w:t>Zhang T, Jiang G, Wen S, et al. Infection and Drug Resistance Para-aminosalicylic acid increases the susceptibility to isoniazid in clinical isolates of Mycobacterium tuberculosis 2019:12</w:t>
      </w:r>
      <w:r>
        <w:rPr>
          <w:color w:val="FF0000"/>
          <w:spacing w:val="-2"/>
          <w:sz w:val="23"/>
        </w:rPr>
        <w:t> </w:t>
      </w:r>
      <w:r>
        <w:rPr>
          <w:color w:val="FF0000"/>
          <w:sz w:val="23"/>
        </w:rPr>
        <w:t>825–829</w:t>
      </w:r>
    </w:p>
    <w:p>
      <w:pPr>
        <w:pStyle w:val="ListParagraph"/>
        <w:numPr>
          <w:ilvl w:val="0"/>
          <w:numId w:val="87"/>
        </w:numPr>
        <w:tabs>
          <w:tab w:pos="969" w:val="left" w:leader="none"/>
        </w:tabs>
        <w:spacing w:line="230" w:lineRule="auto" w:before="4" w:after="0"/>
        <w:ind w:left="968" w:right="1370" w:hanging="426"/>
        <w:jc w:val="both"/>
        <w:rPr>
          <w:color w:val="FF0000"/>
          <w:sz w:val="23"/>
        </w:rPr>
      </w:pPr>
      <w:r>
        <w:rPr>
          <w:color w:val="FF0000"/>
          <w:sz w:val="23"/>
        </w:rPr>
        <w:t>Lin MY, Lin SJ, Chan LC, Lu YC. Impact of food and antacids on the pharmacokinetics of anti-tuberculosis drugs: systematic review and meta- analysis. Int J Tuberc Lung Dis. 2010; 14:</w:t>
      </w:r>
      <w:r>
        <w:rPr>
          <w:color w:val="FF0000"/>
          <w:spacing w:val="-8"/>
          <w:sz w:val="23"/>
        </w:rPr>
        <w:t> </w:t>
      </w:r>
      <w:r>
        <w:rPr>
          <w:color w:val="FF0000"/>
          <w:sz w:val="23"/>
        </w:rPr>
        <w:t>806-818.</w:t>
      </w:r>
    </w:p>
    <w:p>
      <w:pPr>
        <w:pStyle w:val="ListParagraph"/>
        <w:numPr>
          <w:ilvl w:val="0"/>
          <w:numId w:val="87"/>
        </w:numPr>
        <w:tabs>
          <w:tab w:pos="969" w:val="left" w:leader="none"/>
        </w:tabs>
        <w:spacing w:line="230" w:lineRule="auto" w:before="2" w:after="0"/>
        <w:ind w:left="968" w:right="1370" w:hanging="426"/>
        <w:jc w:val="both"/>
        <w:rPr>
          <w:color w:val="FF0000"/>
          <w:sz w:val="23"/>
        </w:rPr>
      </w:pPr>
      <w:r>
        <w:rPr>
          <w:color w:val="FF0000"/>
          <w:sz w:val="23"/>
        </w:rPr>
        <w:t>Lia G, Zhanga J, Jianga Y, Zhaoa LL, et. al. Cross-resistance of isoniazid, </w:t>
      </w:r>
      <w:r>
        <w:rPr>
          <w:color w:val="FF0000"/>
          <w:spacing w:val="-3"/>
          <w:sz w:val="23"/>
        </w:rPr>
        <w:t>para- aminosalicylic </w:t>
      </w:r>
      <w:r>
        <w:rPr>
          <w:color w:val="FF0000"/>
          <w:sz w:val="23"/>
        </w:rPr>
        <w:t>acid and </w:t>
      </w:r>
      <w:r>
        <w:rPr>
          <w:color w:val="FF0000"/>
          <w:spacing w:val="-3"/>
          <w:sz w:val="23"/>
        </w:rPr>
        <w:t>pasiniazid against isoniazid-resistant Mycobacterium </w:t>
      </w:r>
      <w:r>
        <w:rPr>
          <w:color w:val="FF0000"/>
          <w:sz w:val="23"/>
        </w:rPr>
        <w:t>tuberculosis</w:t>
      </w:r>
      <w:r>
        <w:rPr>
          <w:color w:val="FF0000"/>
          <w:spacing w:val="-13"/>
          <w:sz w:val="23"/>
        </w:rPr>
        <w:t> </w:t>
      </w:r>
      <w:r>
        <w:rPr>
          <w:color w:val="FF0000"/>
          <w:sz w:val="23"/>
        </w:rPr>
        <w:t>isolates</w:t>
      </w:r>
      <w:r>
        <w:rPr>
          <w:color w:val="FF0000"/>
          <w:spacing w:val="-13"/>
          <w:sz w:val="23"/>
        </w:rPr>
        <w:t> </w:t>
      </w:r>
      <w:r>
        <w:rPr>
          <w:color w:val="FF0000"/>
          <w:sz w:val="23"/>
        </w:rPr>
        <w:t>in</w:t>
      </w:r>
      <w:r>
        <w:rPr>
          <w:color w:val="FF0000"/>
          <w:spacing w:val="-14"/>
          <w:sz w:val="23"/>
        </w:rPr>
        <w:t> </w:t>
      </w:r>
      <w:r>
        <w:rPr>
          <w:color w:val="FF0000"/>
          <w:sz w:val="23"/>
        </w:rPr>
        <w:t>China.</w:t>
      </w:r>
      <w:r>
        <w:rPr>
          <w:color w:val="FF0000"/>
          <w:spacing w:val="-13"/>
          <w:sz w:val="23"/>
        </w:rPr>
        <w:t> </w:t>
      </w:r>
      <w:r>
        <w:rPr>
          <w:color w:val="FF0000"/>
          <w:sz w:val="23"/>
        </w:rPr>
        <w:t>Journal</w:t>
      </w:r>
      <w:r>
        <w:rPr>
          <w:color w:val="FF0000"/>
          <w:spacing w:val="-13"/>
          <w:sz w:val="23"/>
        </w:rPr>
        <w:t> </w:t>
      </w:r>
      <w:r>
        <w:rPr>
          <w:color w:val="FF0000"/>
          <w:sz w:val="23"/>
        </w:rPr>
        <w:t>of</w:t>
      </w:r>
      <w:r>
        <w:rPr>
          <w:color w:val="FF0000"/>
          <w:spacing w:val="-12"/>
          <w:sz w:val="23"/>
        </w:rPr>
        <w:t> </w:t>
      </w:r>
      <w:r>
        <w:rPr>
          <w:color w:val="FF0000"/>
          <w:sz w:val="23"/>
        </w:rPr>
        <w:t>Global</w:t>
      </w:r>
      <w:r>
        <w:rPr>
          <w:color w:val="FF0000"/>
          <w:spacing w:val="-13"/>
          <w:sz w:val="23"/>
        </w:rPr>
        <w:t> </w:t>
      </w:r>
      <w:r>
        <w:rPr>
          <w:color w:val="FF0000"/>
          <w:sz w:val="23"/>
        </w:rPr>
        <w:t>Antimicrobial</w:t>
      </w:r>
      <w:r>
        <w:rPr>
          <w:color w:val="FF0000"/>
          <w:spacing w:val="-13"/>
          <w:sz w:val="23"/>
        </w:rPr>
        <w:t> </w:t>
      </w:r>
      <w:r>
        <w:rPr>
          <w:color w:val="FF0000"/>
          <w:sz w:val="23"/>
        </w:rPr>
        <w:t>Resistance</w:t>
      </w:r>
      <w:r>
        <w:rPr>
          <w:color w:val="FF0000"/>
          <w:spacing w:val="-13"/>
          <w:sz w:val="23"/>
        </w:rPr>
        <w:t> </w:t>
      </w:r>
      <w:r>
        <w:rPr>
          <w:color w:val="FF0000"/>
          <w:sz w:val="23"/>
        </w:rPr>
        <w:t>20</w:t>
      </w:r>
      <w:r>
        <w:rPr>
          <w:color w:val="FF0000"/>
          <w:spacing w:val="-13"/>
          <w:sz w:val="23"/>
        </w:rPr>
        <w:t> </w:t>
      </w:r>
      <w:r>
        <w:rPr>
          <w:color w:val="FF0000"/>
          <w:sz w:val="23"/>
        </w:rPr>
        <w:t>(2020) 275–281.</w:t>
      </w:r>
    </w:p>
    <w:p>
      <w:pPr>
        <w:pStyle w:val="ListParagraph"/>
        <w:numPr>
          <w:ilvl w:val="0"/>
          <w:numId w:val="87"/>
        </w:numPr>
        <w:tabs>
          <w:tab w:pos="969" w:val="left" w:leader="none"/>
        </w:tabs>
        <w:spacing w:line="230" w:lineRule="auto" w:before="5" w:after="0"/>
        <w:ind w:left="968" w:right="1372" w:hanging="426"/>
        <w:jc w:val="both"/>
        <w:rPr>
          <w:color w:val="FF0000"/>
          <w:sz w:val="23"/>
        </w:rPr>
      </w:pPr>
      <w:r>
        <w:rPr>
          <w:color w:val="FF0000"/>
          <w:sz w:val="23"/>
        </w:rPr>
        <w:t>Narang PK, Lewis RC, Bianchine JR. Rifabutin absorption in humans: relative bioavailability and food effect. Clin Pharmacol Ther 1992; 52:</w:t>
      </w:r>
      <w:r>
        <w:rPr>
          <w:color w:val="FF0000"/>
          <w:spacing w:val="-13"/>
          <w:sz w:val="23"/>
        </w:rPr>
        <w:t> </w:t>
      </w:r>
      <w:r>
        <w:rPr>
          <w:color w:val="FF0000"/>
          <w:sz w:val="23"/>
        </w:rPr>
        <w:t>335-341.</w:t>
      </w:r>
    </w:p>
    <w:p>
      <w:pPr>
        <w:pStyle w:val="ListParagraph"/>
        <w:numPr>
          <w:ilvl w:val="0"/>
          <w:numId w:val="87"/>
        </w:numPr>
        <w:tabs>
          <w:tab w:pos="969" w:val="left" w:leader="none"/>
        </w:tabs>
        <w:spacing w:line="230" w:lineRule="auto" w:before="2" w:after="0"/>
        <w:ind w:left="968" w:right="1372" w:hanging="426"/>
        <w:jc w:val="both"/>
        <w:rPr>
          <w:color w:val="FF0000"/>
          <w:sz w:val="23"/>
        </w:rPr>
      </w:pPr>
      <w:r>
        <w:rPr>
          <w:color w:val="FF0000"/>
          <w:sz w:val="23"/>
        </w:rPr>
        <w:t>Wenning</w:t>
      </w:r>
      <w:r>
        <w:rPr>
          <w:color w:val="FF0000"/>
          <w:spacing w:val="-6"/>
          <w:sz w:val="23"/>
        </w:rPr>
        <w:t> </w:t>
      </w:r>
      <w:r>
        <w:rPr>
          <w:color w:val="FF0000"/>
          <w:sz w:val="23"/>
        </w:rPr>
        <w:t>GK</w:t>
      </w:r>
      <w:r>
        <w:rPr>
          <w:color w:val="FF0000"/>
          <w:spacing w:val="-3"/>
          <w:sz w:val="23"/>
        </w:rPr>
        <w:t>, </w:t>
      </w:r>
      <w:r>
        <w:rPr>
          <w:color w:val="FF0000"/>
          <w:sz w:val="23"/>
        </w:rPr>
        <w:t>O'Connell</w:t>
      </w:r>
      <w:r>
        <w:rPr>
          <w:color w:val="FF0000"/>
          <w:spacing w:val="-5"/>
          <w:sz w:val="23"/>
        </w:rPr>
        <w:t> </w:t>
      </w:r>
      <w:r>
        <w:rPr>
          <w:color w:val="FF0000"/>
          <w:sz w:val="23"/>
        </w:rPr>
        <w:t>MT,</w:t>
      </w:r>
      <w:r>
        <w:rPr>
          <w:color w:val="FF0000"/>
          <w:spacing w:val="-6"/>
          <w:sz w:val="23"/>
        </w:rPr>
        <w:t> </w:t>
      </w:r>
      <w:r>
        <w:rPr>
          <w:color w:val="FF0000"/>
          <w:sz w:val="23"/>
        </w:rPr>
        <w:t>Patsalos</w:t>
      </w:r>
      <w:r>
        <w:rPr>
          <w:color w:val="FF0000"/>
          <w:spacing w:val="-6"/>
          <w:sz w:val="23"/>
        </w:rPr>
        <w:t> </w:t>
      </w:r>
      <w:r>
        <w:rPr>
          <w:color w:val="FF0000"/>
          <w:sz w:val="23"/>
        </w:rPr>
        <w:t>PN</w:t>
      </w:r>
      <w:r>
        <w:rPr>
          <w:color w:val="FF0000"/>
          <w:spacing w:val="-5"/>
          <w:sz w:val="23"/>
        </w:rPr>
        <w:t> </w:t>
      </w:r>
      <w:r>
        <w:rPr>
          <w:color w:val="FF0000"/>
          <w:sz w:val="23"/>
        </w:rPr>
        <w:t>et</w:t>
      </w:r>
      <w:r>
        <w:rPr>
          <w:color w:val="FF0000"/>
          <w:spacing w:val="-6"/>
          <w:sz w:val="23"/>
        </w:rPr>
        <w:t> </w:t>
      </w:r>
      <w:r>
        <w:rPr>
          <w:color w:val="FF0000"/>
          <w:sz w:val="23"/>
        </w:rPr>
        <w:t>al</w:t>
      </w:r>
      <w:r>
        <w:rPr>
          <w:color w:val="FF0000"/>
          <w:spacing w:val="-3"/>
          <w:sz w:val="23"/>
        </w:rPr>
        <w:t>: </w:t>
      </w:r>
      <w:r>
        <w:rPr>
          <w:color w:val="FF0000"/>
          <w:sz w:val="23"/>
        </w:rPr>
        <w:t>A</w:t>
      </w:r>
      <w:r>
        <w:rPr>
          <w:color w:val="FF0000"/>
          <w:spacing w:val="-5"/>
          <w:sz w:val="23"/>
        </w:rPr>
        <w:t> </w:t>
      </w:r>
      <w:r>
        <w:rPr>
          <w:color w:val="FF0000"/>
          <w:sz w:val="23"/>
        </w:rPr>
        <w:t>clinical</w:t>
      </w:r>
      <w:r>
        <w:rPr>
          <w:color w:val="FF0000"/>
          <w:spacing w:val="-7"/>
          <w:sz w:val="23"/>
        </w:rPr>
        <w:t> </w:t>
      </w:r>
      <w:r>
        <w:rPr>
          <w:color w:val="FF0000"/>
          <w:sz w:val="23"/>
        </w:rPr>
        <w:t>and</w:t>
      </w:r>
      <w:r>
        <w:rPr>
          <w:color w:val="FF0000"/>
          <w:spacing w:val="-6"/>
          <w:sz w:val="23"/>
        </w:rPr>
        <w:t> </w:t>
      </w:r>
      <w:r>
        <w:rPr>
          <w:color w:val="FF0000"/>
          <w:sz w:val="23"/>
        </w:rPr>
        <w:t>pharmacokinetic</w:t>
      </w:r>
      <w:r>
        <w:rPr>
          <w:color w:val="FF0000"/>
          <w:spacing w:val="-6"/>
          <w:sz w:val="23"/>
        </w:rPr>
        <w:t> </w:t>
      </w:r>
      <w:r>
        <w:rPr>
          <w:color w:val="FF0000"/>
          <w:sz w:val="23"/>
        </w:rPr>
        <w:t>case study of an interaction of levodopa and antituberculous therapy in parkinson's disease</w:t>
      </w:r>
      <w:r>
        <w:rPr>
          <w:color w:val="FF0000"/>
          <w:spacing w:val="-1"/>
          <w:sz w:val="23"/>
        </w:rPr>
        <w:t>. </w:t>
      </w:r>
      <w:r>
        <w:rPr>
          <w:color w:val="FF0000"/>
          <w:sz w:val="23"/>
        </w:rPr>
        <w:t>Move</w:t>
      </w:r>
      <w:r>
        <w:rPr>
          <w:color w:val="FF0000"/>
          <w:spacing w:val="-1"/>
          <w:sz w:val="23"/>
        </w:rPr>
        <w:t> </w:t>
      </w:r>
      <w:r>
        <w:rPr>
          <w:color w:val="FF0000"/>
          <w:sz w:val="23"/>
        </w:rPr>
        <w:t>Disorder</w:t>
      </w:r>
      <w:r>
        <w:rPr>
          <w:color w:val="FF0000"/>
          <w:spacing w:val="-1"/>
          <w:sz w:val="23"/>
        </w:rPr>
        <w:t> </w:t>
      </w:r>
      <w:r>
        <w:rPr>
          <w:color w:val="FF0000"/>
          <w:sz w:val="23"/>
        </w:rPr>
        <w:t>1995</w:t>
      </w:r>
      <w:r>
        <w:rPr>
          <w:color w:val="FF0000"/>
          <w:spacing w:val="-1"/>
          <w:sz w:val="23"/>
        </w:rPr>
        <w:t>; </w:t>
      </w:r>
      <w:r>
        <w:rPr>
          <w:color w:val="FF0000"/>
          <w:sz w:val="23"/>
        </w:rPr>
        <w:t>10(5):664-667。</w:t>
      </w:r>
    </w:p>
    <w:p>
      <w:pPr>
        <w:pStyle w:val="ListParagraph"/>
        <w:numPr>
          <w:ilvl w:val="0"/>
          <w:numId w:val="87"/>
        </w:numPr>
        <w:tabs>
          <w:tab w:pos="969" w:val="left" w:leader="none"/>
        </w:tabs>
        <w:spacing w:line="406" w:lineRule="exact" w:before="0" w:after="0"/>
        <w:ind w:left="968" w:right="0" w:hanging="427"/>
        <w:jc w:val="both"/>
        <w:rPr>
          <w:color w:val="FF0000"/>
          <w:sz w:val="23"/>
        </w:rPr>
      </w:pPr>
      <w:r>
        <w:rPr>
          <w:color w:val="FF0000"/>
          <w:sz w:val="23"/>
        </w:rPr>
        <w:t>Otsuka</w:t>
      </w:r>
      <w:r>
        <w:rPr>
          <w:color w:val="FF0000"/>
          <w:spacing w:val="-2"/>
          <w:sz w:val="23"/>
        </w:rPr>
        <w:t> </w:t>
      </w:r>
      <w:r>
        <w:rPr>
          <w:color w:val="FF0000"/>
          <w:sz w:val="23"/>
        </w:rPr>
        <w:t>Novel Products</w:t>
      </w:r>
      <w:r>
        <w:rPr>
          <w:color w:val="FF0000"/>
          <w:spacing w:val="-1"/>
          <w:sz w:val="23"/>
        </w:rPr>
        <w:t> </w:t>
      </w:r>
      <w:r>
        <w:rPr>
          <w:color w:val="FF0000"/>
          <w:sz w:val="23"/>
        </w:rPr>
        <w:t>GmbH</w:t>
      </w:r>
      <w:r>
        <w:rPr>
          <w:color w:val="FF0000"/>
          <w:spacing w:val="-1"/>
          <w:sz w:val="23"/>
        </w:rPr>
        <w:t> (</w:t>
      </w:r>
      <w:r>
        <w:rPr>
          <w:color w:val="FF0000"/>
          <w:sz w:val="23"/>
        </w:rPr>
        <w:t>per</w:t>
      </w:r>
      <w:r>
        <w:rPr>
          <w:color w:val="FF0000"/>
          <w:spacing w:val="-2"/>
          <w:sz w:val="23"/>
        </w:rPr>
        <w:t> </w:t>
      </w:r>
      <w:r>
        <w:rPr>
          <w:color w:val="FF0000"/>
          <w:sz w:val="23"/>
        </w:rPr>
        <w:t>EMA</w:t>
      </w:r>
      <w:r>
        <w:rPr>
          <w:color w:val="FF0000"/>
          <w:spacing w:val="-1"/>
          <w:sz w:val="23"/>
        </w:rPr>
        <w:t>), </w:t>
      </w:r>
      <w:r>
        <w:rPr>
          <w:color w:val="FF0000"/>
          <w:sz w:val="23"/>
        </w:rPr>
        <w:t>Munchen,</w:t>
      </w:r>
      <w:r>
        <w:rPr>
          <w:color w:val="FF0000"/>
          <w:spacing w:val="-2"/>
          <w:sz w:val="23"/>
        </w:rPr>
        <w:t> </w:t>
      </w:r>
      <w:r>
        <w:rPr>
          <w:color w:val="FF0000"/>
          <w:sz w:val="23"/>
        </w:rPr>
        <w:t>Germany,</w:t>
      </w:r>
      <w:r>
        <w:rPr>
          <w:color w:val="FF0000"/>
          <w:spacing w:val="-1"/>
          <w:sz w:val="23"/>
        </w:rPr>
        <w:t> </w:t>
      </w:r>
      <w:r>
        <w:rPr>
          <w:color w:val="FF0000"/>
          <w:sz w:val="23"/>
        </w:rPr>
        <w:t>May,</w:t>
      </w:r>
      <w:r>
        <w:rPr>
          <w:color w:val="FF0000"/>
          <w:spacing w:val="-2"/>
          <w:sz w:val="23"/>
        </w:rPr>
        <w:t> </w:t>
      </w:r>
      <w:r>
        <w:rPr>
          <w:color w:val="FF0000"/>
          <w:sz w:val="23"/>
        </w:rPr>
        <w:t>2014.)。</w:t>
      </w:r>
    </w:p>
    <w:p>
      <w:pPr>
        <w:pStyle w:val="ListParagraph"/>
        <w:numPr>
          <w:ilvl w:val="0"/>
          <w:numId w:val="87"/>
        </w:numPr>
        <w:tabs>
          <w:tab w:pos="968" w:val="left" w:leader="none"/>
        </w:tabs>
        <w:spacing w:line="230" w:lineRule="auto" w:before="4" w:after="0"/>
        <w:ind w:left="967" w:right="1372" w:hanging="426"/>
        <w:jc w:val="both"/>
        <w:rPr>
          <w:color w:val="FF0000"/>
          <w:sz w:val="23"/>
        </w:rPr>
      </w:pPr>
      <w:r>
        <w:rPr>
          <w:color w:val="FF0000"/>
          <w:sz w:val="23"/>
        </w:rPr>
        <w:t>Lee</w:t>
      </w:r>
      <w:r>
        <w:rPr>
          <w:color w:val="FF0000"/>
          <w:spacing w:val="-17"/>
          <w:sz w:val="23"/>
        </w:rPr>
        <w:t> </w:t>
      </w:r>
      <w:r>
        <w:rPr>
          <w:color w:val="FF0000"/>
          <w:sz w:val="23"/>
        </w:rPr>
        <w:t>M,</w:t>
      </w:r>
      <w:r>
        <w:rPr>
          <w:color w:val="FF0000"/>
          <w:spacing w:val="-16"/>
          <w:sz w:val="23"/>
        </w:rPr>
        <w:t> </w:t>
      </w:r>
      <w:r>
        <w:rPr>
          <w:color w:val="FF0000"/>
          <w:sz w:val="23"/>
        </w:rPr>
        <w:t>Lee</w:t>
      </w:r>
      <w:r>
        <w:rPr>
          <w:color w:val="FF0000"/>
          <w:spacing w:val="-17"/>
          <w:sz w:val="23"/>
        </w:rPr>
        <w:t> </w:t>
      </w:r>
      <w:r>
        <w:rPr>
          <w:color w:val="FF0000"/>
          <w:sz w:val="23"/>
        </w:rPr>
        <w:t>J,</w:t>
      </w:r>
      <w:r>
        <w:rPr>
          <w:color w:val="FF0000"/>
          <w:spacing w:val="-16"/>
          <w:sz w:val="23"/>
        </w:rPr>
        <w:t> </w:t>
      </w:r>
      <w:r>
        <w:rPr>
          <w:color w:val="FF0000"/>
          <w:sz w:val="23"/>
        </w:rPr>
        <w:t>Carroll</w:t>
      </w:r>
      <w:r>
        <w:rPr>
          <w:color w:val="FF0000"/>
          <w:spacing w:val="-17"/>
          <w:sz w:val="23"/>
        </w:rPr>
        <w:t> </w:t>
      </w:r>
      <w:r>
        <w:rPr>
          <w:color w:val="FF0000"/>
          <w:sz w:val="23"/>
        </w:rPr>
        <w:t>MW,</w:t>
      </w:r>
      <w:r>
        <w:rPr>
          <w:color w:val="FF0000"/>
          <w:spacing w:val="-16"/>
          <w:sz w:val="23"/>
        </w:rPr>
        <w:t> </w:t>
      </w:r>
      <w:r>
        <w:rPr>
          <w:color w:val="FF0000"/>
          <w:sz w:val="23"/>
        </w:rPr>
        <w:t>et</w:t>
      </w:r>
      <w:r>
        <w:rPr>
          <w:color w:val="FF0000"/>
          <w:spacing w:val="-17"/>
          <w:sz w:val="23"/>
        </w:rPr>
        <w:t> </w:t>
      </w:r>
      <w:r>
        <w:rPr>
          <w:color w:val="FF0000"/>
          <w:sz w:val="23"/>
        </w:rPr>
        <w:t>al.</w:t>
      </w:r>
      <w:r>
        <w:rPr>
          <w:color w:val="FF0000"/>
          <w:spacing w:val="-16"/>
          <w:sz w:val="23"/>
        </w:rPr>
        <w:t> </w:t>
      </w:r>
      <w:r>
        <w:rPr>
          <w:color w:val="FF0000"/>
          <w:sz w:val="23"/>
        </w:rPr>
        <w:t>Linezolid</w:t>
      </w:r>
      <w:r>
        <w:rPr>
          <w:color w:val="FF0000"/>
          <w:spacing w:val="-16"/>
          <w:sz w:val="23"/>
        </w:rPr>
        <w:t> </w:t>
      </w:r>
      <w:r>
        <w:rPr>
          <w:color w:val="FF0000"/>
          <w:sz w:val="23"/>
        </w:rPr>
        <w:t>for</w:t>
      </w:r>
      <w:r>
        <w:rPr>
          <w:color w:val="FF0000"/>
          <w:spacing w:val="-16"/>
          <w:sz w:val="23"/>
        </w:rPr>
        <w:t> </w:t>
      </w:r>
      <w:r>
        <w:rPr>
          <w:color w:val="FF0000"/>
          <w:sz w:val="23"/>
        </w:rPr>
        <w:t>Treatment</w:t>
      </w:r>
      <w:r>
        <w:rPr>
          <w:color w:val="FF0000"/>
          <w:spacing w:val="-16"/>
          <w:sz w:val="23"/>
        </w:rPr>
        <w:t> </w:t>
      </w:r>
      <w:r>
        <w:rPr>
          <w:color w:val="FF0000"/>
          <w:sz w:val="23"/>
        </w:rPr>
        <w:t>of</w:t>
      </w:r>
      <w:r>
        <w:rPr>
          <w:color w:val="FF0000"/>
          <w:spacing w:val="-16"/>
          <w:sz w:val="23"/>
        </w:rPr>
        <w:t> </w:t>
      </w:r>
      <w:r>
        <w:rPr>
          <w:color w:val="FF0000"/>
          <w:sz w:val="23"/>
        </w:rPr>
        <w:t>Chronic</w:t>
      </w:r>
      <w:r>
        <w:rPr>
          <w:color w:val="FF0000"/>
          <w:spacing w:val="-17"/>
          <w:sz w:val="23"/>
        </w:rPr>
        <w:t> </w:t>
      </w:r>
      <w:r>
        <w:rPr>
          <w:color w:val="FF0000"/>
          <w:sz w:val="23"/>
        </w:rPr>
        <w:t>Extensively</w:t>
      </w:r>
      <w:r>
        <w:rPr>
          <w:color w:val="FF0000"/>
          <w:spacing w:val="-16"/>
          <w:sz w:val="23"/>
        </w:rPr>
        <w:t> </w:t>
      </w:r>
      <w:r>
        <w:rPr>
          <w:color w:val="FF0000"/>
          <w:sz w:val="23"/>
        </w:rPr>
        <w:t>Drug- Resistant Tuberculosis. N Engl J Med 2012;</w:t>
      </w:r>
      <w:r>
        <w:rPr>
          <w:color w:val="FF0000"/>
          <w:spacing w:val="-8"/>
          <w:sz w:val="23"/>
        </w:rPr>
        <w:t> </w:t>
      </w:r>
      <w:r>
        <w:rPr>
          <w:color w:val="FF0000"/>
          <w:sz w:val="23"/>
        </w:rPr>
        <w:t>367:1508-1518.</w:t>
      </w:r>
    </w:p>
    <w:p>
      <w:pPr>
        <w:pStyle w:val="ListParagraph"/>
        <w:numPr>
          <w:ilvl w:val="0"/>
          <w:numId w:val="87"/>
        </w:numPr>
        <w:tabs>
          <w:tab w:pos="968" w:val="left" w:leader="none"/>
        </w:tabs>
        <w:spacing w:line="230" w:lineRule="auto" w:before="2" w:after="0"/>
        <w:ind w:left="967" w:right="1371" w:hanging="426"/>
        <w:jc w:val="both"/>
        <w:rPr>
          <w:color w:val="FF0000"/>
          <w:sz w:val="23"/>
        </w:rPr>
      </w:pPr>
      <w:r>
        <w:rPr>
          <w:color w:val="FF0000"/>
          <w:sz w:val="23"/>
        </w:rPr>
        <w:t>Sotgiu G, Centis R, D'Ambrosio L, AlffenaarJWC, et.al. Efficacy, safety and tolerability of linezolid containing regimens in treating MDR-TB and XDR-TB: systematic</w:t>
      </w:r>
      <w:r>
        <w:rPr>
          <w:color w:val="FF0000"/>
          <w:spacing w:val="-19"/>
          <w:sz w:val="23"/>
        </w:rPr>
        <w:t> </w:t>
      </w:r>
      <w:r>
        <w:rPr>
          <w:color w:val="FF0000"/>
          <w:sz w:val="23"/>
        </w:rPr>
        <w:t>review</w:t>
      </w:r>
      <w:r>
        <w:rPr>
          <w:color w:val="FF0000"/>
          <w:spacing w:val="-17"/>
          <w:sz w:val="23"/>
        </w:rPr>
        <w:t> </w:t>
      </w:r>
      <w:r>
        <w:rPr>
          <w:color w:val="FF0000"/>
          <w:sz w:val="23"/>
        </w:rPr>
        <w:t>and</w:t>
      </w:r>
      <w:r>
        <w:rPr>
          <w:color w:val="FF0000"/>
          <w:spacing w:val="-17"/>
          <w:sz w:val="23"/>
        </w:rPr>
        <w:t> </w:t>
      </w:r>
      <w:r>
        <w:rPr>
          <w:color w:val="FF0000"/>
          <w:sz w:val="23"/>
        </w:rPr>
        <w:t>meta-analysis.</w:t>
      </w:r>
      <w:r>
        <w:rPr>
          <w:color w:val="FF0000"/>
          <w:spacing w:val="-19"/>
          <w:sz w:val="23"/>
        </w:rPr>
        <w:t> </w:t>
      </w:r>
      <w:r>
        <w:rPr>
          <w:color w:val="FF0000"/>
          <w:sz w:val="23"/>
        </w:rPr>
        <w:t>European</w:t>
      </w:r>
      <w:r>
        <w:rPr>
          <w:color w:val="FF0000"/>
          <w:spacing w:val="-16"/>
          <w:sz w:val="23"/>
        </w:rPr>
        <w:t> </w:t>
      </w:r>
      <w:r>
        <w:rPr>
          <w:color w:val="FF0000"/>
          <w:sz w:val="23"/>
        </w:rPr>
        <w:t>Respiratory</w:t>
      </w:r>
      <w:r>
        <w:rPr>
          <w:color w:val="FF0000"/>
          <w:spacing w:val="-16"/>
          <w:sz w:val="23"/>
        </w:rPr>
        <w:t> </w:t>
      </w:r>
      <w:r>
        <w:rPr>
          <w:color w:val="FF0000"/>
          <w:sz w:val="23"/>
        </w:rPr>
        <w:t>Journal</w:t>
      </w:r>
      <w:r>
        <w:rPr>
          <w:color w:val="FF0000"/>
          <w:spacing w:val="-19"/>
          <w:sz w:val="23"/>
        </w:rPr>
        <w:t> </w:t>
      </w:r>
      <w:r>
        <w:rPr>
          <w:color w:val="FF0000"/>
          <w:sz w:val="23"/>
        </w:rPr>
        <w:t>2012</w:t>
      </w:r>
      <w:r>
        <w:rPr>
          <w:color w:val="FF0000"/>
          <w:spacing w:val="-17"/>
          <w:sz w:val="23"/>
        </w:rPr>
        <w:t> </w:t>
      </w:r>
      <w:r>
        <w:rPr>
          <w:color w:val="FF0000"/>
          <w:sz w:val="23"/>
        </w:rPr>
        <w:t>40:</w:t>
      </w:r>
      <w:r>
        <w:rPr>
          <w:color w:val="FF0000"/>
          <w:spacing w:val="-17"/>
          <w:sz w:val="23"/>
        </w:rPr>
        <w:t> </w:t>
      </w:r>
      <w:r>
        <w:rPr>
          <w:color w:val="FF0000"/>
          <w:sz w:val="23"/>
        </w:rPr>
        <w:t>1430- 1442.</w:t>
      </w:r>
    </w:p>
    <w:p>
      <w:pPr>
        <w:pStyle w:val="ListParagraph"/>
        <w:numPr>
          <w:ilvl w:val="0"/>
          <w:numId w:val="87"/>
        </w:numPr>
        <w:tabs>
          <w:tab w:pos="968" w:val="left" w:leader="none"/>
        </w:tabs>
        <w:spacing w:line="230" w:lineRule="auto" w:before="4" w:after="0"/>
        <w:ind w:left="967" w:right="1372" w:hanging="426"/>
        <w:jc w:val="both"/>
        <w:rPr>
          <w:color w:val="FF0000"/>
          <w:sz w:val="23"/>
        </w:rPr>
      </w:pPr>
      <w:r>
        <w:rPr>
          <w:color w:val="FF0000"/>
          <w:sz w:val="23"/>
        </w:rPr>
        <w:t>Mehta J, Gandhi IS, Sane SB, Wamburkar MN. Effect of clofazimine and dapsone on rifampicin (Lositril) pharmacokinetics in multibacillary and paucibacillary leprosy cases. Indian J Lepr.</w:t>
      </w:r>
      <w:r>
        <w:rPr>
          <w:color w:val="FF0000"/>
          <w:spacing w:val="-6"/>
          <w:sz w:val="23"/>
        </w:rPr>
        <w:t> </w:t>
      </w:r>
      <w:r>
        <w:rPr>
          <w:color w:val="FF0000"/>
          <w:sz w:val="23"/>
        </w:rPr>
        <w:t>1985;57(2):297-310.</w:t>
      </w:r>
    </w:p>
    <w:p>
      <w:pPr>
        <w:pStyle w:val="ListParagraph"/>
        <w:numPr>
          <w:ilvl w:val="0"/>
          <w:numId w:val="87"/>
        </w:numPr>
        <w:tabs>
          <w:tab w:pos="968" w:val="left" w:leader="none"/>
        </w:tabs>
        <w:spacing w:line="230" w:lineRule="auto" w:before="3" w:after="0"/>
        <w:ind w:left="967" w:right="1373" w:hanging="426"/>
        <w:jc w:val="both"/>
        <w:rPr>
          <w:color w:val="FF0000"/>
          <w:sz w:val="23"/>
        </w:rPr>
      </w:pPr>
      <w:r>
        <w:rPr>
          <w:color w:val="FF0000"/>
          <w:sz w:val="23"/>
        </w:rPr>
        <w:t>25. Venkatesan K. Pharmacokinetic drug interactions with rifampicin. Clin Pharmacokinet</w:t>
      </w:r>
      <w:r>
        <w:rPr>
          <w:color w:val="FF0000"/>
          <w:spacing w:val="-1"/>
          <w:sz w:val="23"/>
        </w:rPr>
        <w:t> </w:t>
      </w:r>
      <w:r>
        <w:rPr>
          <w:color w:val="FF0000"/>
          <w:sz w:val="23"/>
        </w:rPr>
        <w:t>1992;22:47-65.</w:t>
      </w:r>
    </w:p>
    <w:p>
      <w:pPr>
        <w:spacing w:after="0" w:line="230" w:lineRule="auto"/>
        <w:jc w:val="both"/>
        <w:rPr>
          <w:sz w:val="23"/>
        </w:rPr>
        <w:sectPr>
          <w:pgSz w:w="12250" w:h="17190"/>
          <w:pgMar w:header="0" w:footer="748" w:top="1480" w:bottom="1020" w:left="1180" w:right="0"/>
        </w:sectPr>
      </w:pPr>
    </w:p>
    <w:p>
      <w:pPr>
        <w:pStyle w:val="Heading6"/>
        <w:spacing w:before="25"/>
        <w:ind w:left="2936"/>
      </w:pPr>
      <w:r>
        <w:rPr/>
        <w:pict>
          <v:group style="position:absolute;margin-left:571.5pt;margin-top:6.725749pt;width:40.9pt;height:316.05pt;mso-position-horizontal-relative:page;mso-position-vertical-relative:paragraph;z-index:251760640" coordorigin="11430,135" coordsize="818,6321">
            <v:shape style="position:absolute;left:11430;top:134;width:818;height:6321" coordorigin="11430,135" coordsize="818,6321" path="m12247,135l11595,135,11531,148,11478,183,11443,235,11430,300,11430,6290,11443,6355,11478,6407,11531,6443,11595,6456,12247,6456,12247,135xe" filled="true" fillcolor="#a6a6a6" stroked="false">
              <v:path arrowok="t"/>
              <v:fill type="solid"/>
            </v:shape>
            <v:shape style="position:absolute;left:11430;top:134;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pict>
          <v:group style="position:absolute;margin-left:377.399994pt;margin-top:56.395851pt;width:165.25pt;height:.5pt;mso-position-horizontal-relative:page;mso-position-vertical-relative:paragraph;z-index:-268745728" coordorigin="7548,1128" coordsize="3305,10">
            <v:line style="position:absolute" from="7548,1133" to="9149,1133" stroked="true" strokeweight=".48pt" strokecolor="#000000">
              <v:stroke dashstyle="solid"/>
            </v:line>
            <v:rect style="position:absolute;left:9148;top:1127;width:10;height:10" filled="true" fillcolor="#000000" stroked="false">
              <v:fill type="solid"/>
            </v:rect>
            <v:line style="position:absolute" from="9158,1133" to="10853,1133" stroked="true" strokeweight=".48pt" strokecolor="#000000">
              <v:stroke dashstyle="solid"/>
            </v:line>
            <w10:wrap type="none"/>
          </v:group>
        </w:pict>
      </w:r>
      <w:r>
        <w:rPr/>
        <w:pict>
          <v:shape style="position:absolute;margin-left:574.289001pt;margin-top:216.213455pt;width:16.650pt;height:5.55pt;mso-position-horizontal-relative:page;mso-position-vertical-relative:paragraph;z-index:251763712"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bookmarkStart w:name="表 6-1 第一線抗結核藥物-單方藥物" w:id="76"/>
      <w:bookmarkEnd w:id="76"/>
      <w:r>
        <w:rPr>
          <w:b w:val="0"/>
        </w:rPr>
      </w:r>
      <w:r>
        <w:rPr/>
        <w:t>表 6-1 第一線抗結核藥物-單方藥物</w:t>
      </w:r>
    </w:p>
    <w:p>
      <w:pPr>
        <w:pStyle w:val="BodyText"/>
        <w:spacing w:before="6"/>
        <w:rPr>
          <w:b/>
          <w:sz w:val="3"/>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6"/>
        <w:gridCol w:w="1317"/>
        <w:gridCol w:w="1357"/>
        <w:gridCol w:w="1857"/>
        <w:gridCol w:w="1527"/>
        <w:gridCol w:w="1769"/>
      </w:tblGrid>
      <w:tr>
        <w:trPr>
          <w:trHeight w:val="428" w:hRule="atLeast"/>
        </w:trPr>
        <w:tc>
          <w:tcPr>
            <w:tcW w:w="1646" w:type="dxa"/>
            <w:tcBorders>
              <w:top w:val="single" w:sz="18" w:space="0" w:color="000000"/>
            </w:tcBorders>
            <w:shd w:val="clear" w:color="auto" w:fill="F1F1F1"/>
          </w:tcPr>
          <w:p>
            <w:pPr>
              <w:pStyle w:val="TableParagraph"/>
              <w:rPr>
                <w:rFonts w:ascii="Times New Roman"/>
                <w:sz w:val="22"/>
              </w:rPr>
            </w:pPr>
          </w:p>
        </w:tc>
        <w:tc>
          <w:tcPr>
            <w:tcW w:w="1317" w:type="dxa"/>
            <w:tcBorders>
              <w:top w:val="single" w:sz="18" w:space="0" w:color="000000"/>
            </w:tcBorders>
            <w:shd w:val="clear" w:color="auto" w:fill="F1F1F1"/>
          </w:tcPr>
          <w:p>
            <w:pPr>
              <w:pStyle w:val="TableParagraph"/>
              <w:rPr>
                <w:rFonts w:ascii="Times New Roman"/>
                <w:sz w:val="22"/>
              </w:rPr>
            </w:pPr>
          </w:p>
        </w:tc>
        <w:tc>
          <w:tcPr>
            <w:tcW w:w="1357" w:type="dxa"/>
            <w:tcBorders>
              <w:top w:val="single" w:sz="18" w:space="0" w:color="000000"/>
            </w:tcBorders>
            <w:shd w:val="clear" w:color="auto" w:fill="F1F1F1"/>
          </w:tcPr>
          <w:p>
            <w:pPr>
              <w:pStyle w:val="TableParagraph"/>
              <w:rPr>
                <w:rFonts w:ascii="Times New Roman"/>
                <w:sz w:val="22"/>
              </w:rPr>
            </w:pPr>
          </w:p>
        </w:tc>
        <w:tc>
          <w:tcPr>
            <w:tcW w:w="1857" w:type="dxa"/>
            <w:vMerge w:val="restart"/>
            <w:tcBorders>
              <w:top w:val="single" w:sz="18" w:space="0" w:color="000000"/>
              <w:bottom w:val="single" w:sz="18" w:space="0" w:color="000000"/>
            </w:tcBorders>
            <w:shd w:val="clear" w:color="auto" w:fill="F1F1F1"/>
          </w:tcPr>
          <w:p>
            <w:pPr>
              <w:pStyle w:val="TableParagraph"/>
              <w:spacing w:line="175" w:lineRule="auto" w:before="23"/>
              <w:ind w:left="110" w:right="64"/>
              <w:jc w:val="center"/>
              <w:rPr>
                <w:sz w:val="24"/>
              </w:rPr>
            </w:pPr>
            <w:r>
              <w:rPr>
                <w:sz w:val="24"/>
              </w:rPr>
              <w:t>每日建議劑量依體重</w:t>
            </w:r>
          </w:p>
          <w:p>
            <w:pPr>
              <w:pStyle w:val="TableParagraph"/>
              <w:spacing w:line="290" w:lineRule="exact"/>
              <w:ind w:left="107" w:right="64"/>
              <w:jc w:val="center"/>
              <w:rPr>
                <w:sz w:val="24"/>
              </w:rPr>
            </w:pPr>
            <w:r>
              <w:rPr>
                <w:sz w:val="24"/>
              </w:rPr>
              <w:t>（mg/Kg）</w:t>
            </w:r>
          </w:p>
          <w:p>
            <w:pPr>
              <w:pStyle w:val="TableParagraph"/>
              <w:spacing w:line="320" w:lineRule="exact"/>
              <w:ind w:left="107" w:right="64"/>
              <w:jc w:val="center"/>
              <w:rPr>
                <w:sz w:val="24"/>
              </w:rPr>
            </w:pPr>
            <w:r>
              <w:rPr>
                <w:sz w:val="24"/>
              </w:rPr>
              <w:t>(容許範圍)</w:t>
            </w:r>
          </w:p>
          <w:p>
            <w:pPr>
              <w:pStyle w:val="TableParagraph"/>
              <w:spacing w:line="302" w:lineRule="exact"/>
              <w:ind w:left="106" w:right="64"/>
              <w:jc w:val="center"/>
              <w:rPr>
                <w:sz w:val="24"/>
              </w:rPr>
            </w:pPr>
            <w:r>
              <w:rPr>
                <w:sz w:val="24"/>
              </w:rPr>
              <w:t>Max(最大劑量)</w:t>
            </w:r>
          </w:p>
        </w:tc>
        <w:tc>
          <w:tcPr>
            <w:tcW w:w="3296" w:type="dxa"/>
            <w:gridSpan w:val="2"/>
            <w:tcBorders>
              <w:top w:val="single" w:sz="18" w:space="0" w:color="000000"/>
            </w:tcBorders>
            <w:shd w:val="clear" w:color="auto" w:fill="F1F1F1"/>
          </w:tcPr>
          <w:p>
            <w:pPr>
              <w:pStyle w:val="TableParagraph"/>
              <w:spacing w:line="369" w:lineRule="exact" w:before="39"/>
              <w:ind w:left="921"/>
              <w:rPr>
                <w:sz w:val="24"/>
              </w:rPr>
            </w:pPr>
            <w:r>
              <w:rPr>
                <w:sz w:val="24"/>
              </w:rPr>
              <w:t>一般用法劑量</w:t>
            </w:r>
          </w:p>
        </w:tc>
      </w:tr>
      <w:tr>
        <w:trPr>
          <w:trHeight w:val="441" w:hRule="atLeast"/>
        </w:trPr>
        <w:tc>
          <w:tcPr>
            <w:tcW w:w="1646" w:type="dxa"/>
            <w:vMerge w:val="restart"/>
            <w:tcBorders>
              <w:bottom w:val="single" w:sz="18" w:space="0" w:color="000000"/>
            </w:tcBorders>
            <w:shd w:val="clear" w:color="auto" w:fill="F1F1F1"/>
          </w:tcPr>
          <w:p>
            <w:pPr>
              <w:pStyle w:val="TableParagraph"/>
              <w:spacing w:line="318" w:lineRule="exact"/>
              <w:ind w:left="500" w:right="476"/>
              <w:jc w:val="center"/>
              <w:rPr>
                <w:sz w:val="24"/>
              </w:rPr>
            </w:pPr>
            <w:r>
              <w:rPr>
                <w:sz w:val="24"/>
              </w:rPr>
              <w:t>藥物</w:t>
            </w:r>
          </w:p>
          <w:p>
            <w:pPr>
              <w:pStyle w:val="TableParagraph"/>
              <w:spacing w:line="371" w:lineRule="exact"/>
              <w:ind w:left="500" w:right="476"/>
              <w:jc w:val="center"/>
              <w:rPr>
                <w:sz w:val="24"/>
              </w:rPr>
            </w:pPr>
            <w:r>
              <w:rPr>
                <w:spacing w:val="-1"/>
                <w:sz w:val="24"/>
              </w:rPr>
              <w:t>(縮寫)</w:t>
            </w:r>
          </w:p>
        </w:tc>
        <w:tc>
          <w:tcPr>
            <w:tcW w:w="1317" w:type="dxa"/>
            <w:vMerge w:val="restart"/>
            <w:tcBorders>
              <w:bottom w:val="single" w:sz="18" w:space="0" w:color="000000"/>
            </w:tcBorders>
            <w:shd w:val="clear" w:color="auto" w:fill="F1F1F1"/>
          </w:tcPr>
          <w:p>
            <w:pPr>
              <w:pStyle w:val="TableParagraph"/>
              <w:spacing w:line="163" w:lineRule="auto" w:before="49"/>
              <w:ind w:left="290" w:right="304" w:firstLine="69"/>
              <w:rPr>
                <w:sz w:val="24"/>
              </w:rPr>
            </w:pPr>
            <w:r>
              <w:rPr>
                <w:sz w:val="24"/>
              </w:rPr>
              <w:t>毒性/ 副作用</w:t>
            </w:r>
          </w:p>
        </w:tc>
        <w:tc>
          <w:tcPr>
            <w:tcW w:w="1357" w:type="dxa"/>
            <w:shd w:val="clear" w:color="auto" w:fill="F1F1F1"/>
          </w:tcPr>
          <w:p>
            <w:pPr>
              <w:pStyle w:val="TableParagraph"/>
              <w:spacing w:line="323" w:lineRule="exact" w:before="97"/>
              <w:ind w:left="201"/>
              <w:rPr>
                <w:sz w:val="24"/>
              </w:rPr>
            </w:pPr>
            <w:r>
              <w:rPr>
                <w:sz w:val="24"/>
              </w:rPr>
              <w:t>給藥方式</w:t>
            </w:r>
          </w:p>
        </w:tc>
        <w:tc>
          <w:tcPr>
            <w:tcW w:w="1857" w:type="dxa"/>
            <w:vMerge/>
            <w:tcBorders>
              <w:top w:val="nil"/>
              <w:bottom w:val="single" w:sz="18" w:space="0" w:color="000000"/>
            </w:tcBorders>
            <w:shd w:val="clear" w:color="auto" w:fill="F1F1F1"/>
          </w:tcPr>
          <w:p>
            <w:pPr>
              <w:rPr>
                <w:sz w:val="2"/>
                <w:szCs w:val="2"/>
              </w:rPr>
            </w:pPr>
          </w:p>
        </w:tc>
        <w:tc>
          <w:tcPr>
            <w:tcW w:w="1527" w:type="dxa"/>
            <w:shd w:val="clear" w:color="auto" w:fill="F1F1F1"/>
          </w:tcPr>
          <w:p>
            <w:pPr>
              <w:pStyle w:val="TableParagraph"/>
              <w:rPr>
                <w:rFonts w:ascii="Times New Roman"/>
                <w:sz w:val="22"/>
              </w:rPr>
            </w:pPr>
          </w:p>
        </w:tc>
        <w:tc>
          <w:tcPr>
            <w:tcW w:w="1769" w:type="dxa"/>
            <w:shd w:val="clear" w:color="auto" w:fill="F1F1F1"/>
          </w:tcPr>
          <w:p>
            <w:pPr>
              <w:pStyle w:val="TableParagraph"/>
              <w:rPr>
                <w:rFonts w:ascii="Times New Roman"/>
                <w:sz w:val="22"/>
              </w:rPr>
            </w:pPr>
          </w:p>
        </w:tc>
      </w:tr>
      <w:tr>
        <w:trPr>
          <w:trHeight w:val="640" w:hRule="atLeast"/>
        </w:trPr>
        <w:tc>
          <w:tcPr>
            <w:tcW w:w="1646" w:type="dxa"/>
            <w:vMerge/>
            <w:tcBorders>
              <w:top w:val="nil"/>
              <w:bottom w:val="single" w:sz="18" w:space="0" w:color="000000"/>
            </w:tcBorders>
            <w:shd w:val="clear" w:color="auto" w:fill="F1F1F1"/>
          </w:tcPr>
          <w:p>
            <w:pPr>
              <w:rPr>
                <w:sz w:val="2"/>
                <w:szCs w:val="2"/>
              </w:rPr>
            </w:pPr>
          </w:p>
        </w:tc>
        <w:tc>
          <w:tcPr>
            <w:tcW w:w="1317" w:type="dxa"/>
            <w:vMerge/>
            <w:tcBorders>
              <w:top w:val="nil"/>
              <w:bottom w:val="single" w:sz="18" w:space="0" w:color="000000"/>
            </w:tcBorders>
            <w:shd w:val="clear" w:color="auto" w:fill="F1F1F1"/>
          </w:tcPr>
          <w:p>
            <w:pPr>
              <w:rPr>
                <w:sz w:val="2"/>
                <w:szCs w:val="2"/>
              </w:rPr>
            </w:pPr>
          </w:p>
        </w:tc>
        <w:tc>
          <w:tcPr>
            <w:tcW w:w="1357" w:type="dxa"/>
            <w:tcBorders>
              <w:bottom w:val="single" w:sz="18" w:space="0" w:color="000000"/>
            </w:tcBorders>
            <w:shd w:val="clear" w:color="auto" w:fill="F1F1F1"/>
          </w:tcPr>
          <w:p>
            <w:pPr>
              <w:pStyle w:val="TableParagraph"/>
              <w:rPr>
                <w:rFonts w:ascii="Times New Roman"/>
                <w:sz w:val="22"/>
              </w:rPr>
            </w:pPr>
          </w:p>
        </w:tc>
        <w:tc>
          <w:tcPr>
            <w:tcW w:w="1857" w:type="dxa"/>
            <w:vMerge/>
            <w:tcBorders>
              <w:top w:val="nil"/>
              <w:bottom w:val="single" w:sz="18" w:space="0" w:color="000000"/>
            </w:tcBorders>
            <w:shd w:val="clear" w:color="auto" w:fill="F1F1F1"/>
          </w:tcPr>
          <w:p>
            <w:pPr>
              <w:rPr>
                <w:sz w:val="2"/>
                <w:szCs w:val="2"/>
              </w:rPr>
            </w:pPr>
          </w:p>
        </w:tc>
        <w:tc>
          <w:tcPr>
            <w:tcW w:w="1527" w:type="dxa"/>
            <w:tcBorders>
              <w:bottom w:val="single" w:sz="18" w:space="0" w:color="000000"/>
            </w:tcBorders>
            <w:shd w:val="clear" w:color="auto" w:fill="F1F1F1"/>
          </w:tcPr>
          <w:p>
            <w:pPr>
              <w:pStyle w:val="TableParagraph"/>
              <w:spacing w:line="343" w:lineRule="exact"/>
              <w:ind w:left="190"/>
              <w:rPr>
                <w:sz w:val="24"/>
              </w:rPr>
            </w:pPr>
            <w:r>
              <w:rPr>
                <w:sz w:val="24"/>
              </w:rPr>
              <w:t>50Kg 以下</w:t>
            </w:r>
          </w:p>
        </w:tc>
        <w:tc>
          <w:tcPr>
            <w:tcW w:w="1769" w:type="dxa"/>
            <w:tcBorders>
              <w:bottom w:val="single" w:sz="18" w:space="0" w:color="000000"/>
            </w:tcBorders>
            <w:shd w:val="clear" w:color="auto" w:fill="F1F1F1"/>
          </w:tcPr>
          <w:p>
            <w:pPr>
              <w:pStyle w:val="TableParagraph"/>
              <w:spacing w:line="343" w:lineRule="exact"/>
              <w:ind w:left="187"/>
              <w:rPr>
                <w:sz w:val="24"/>
              </w:rPr>
            </w:pPr>
            <w:r>
              <w:rPr>
                <w:sz w:val="24"/>
              </w:rPr>
              <w:t>50Kg</w:t>
            </w:r>
            <w:r>
              <w:rPr>
                <w:color w:val="FF0000"/>
                <w:sz w:val="24"/>
              </w:rPr>
              <w:t>(含)</w:t>
            </w:r>
            <w:r>
              <w:rPr>
                <w:sz w:val="24"/>
              </w:rPr>
              <w:t>以上</w:t>
            </w:r>
          </w:p>
        </w:tc>
      </w:tr>
      <w:tr>
        <w:trPr>
          <w:trHeight w:val="952" w:hRule="atLeast"/>
        </w:trPr>
        <w:tc>
          <w:tcPr>
            <w:tcW w:w="1646" w:type="dxa"/>
            <w:tcBorders>
              <w:top w:val="single" w:sz="18" w:space="0" w:color="000000"/>
              <w:bottom w:val="single" w:sz="4" w:space="0" w:color="000000"/>
            </w:tcBorders>
          </w:tcPr>
          <w:p>
            <w:pPr>
              <w:pStyle w:val="TableParagraph"/>
              <w:spacing w:line="389" w:lineRule="exact" w:before="97"/>
              <w:ind w:left="55"/>
              <w:rPr>
                <w:sz w:val="24"/>
              </w:rPr>
            </w:pPr>
            <w:r>
              <w:rPr>
                <w:sz w:val="24"/>
              </w:rPr>
              <w:t>isoniazid</w:t>
            </w:r>
          </w:p>
          <w:p>
            <w:pPr>
              <w:pStyle w:val="TableParagraph"/>
              <w:spacing w:line="389" w:lineRule="exact"/>
              <w:ind w:left="55"/>
              <w:rPr>
                <w:sz w:val="24"/>
              </w:rPr>
            </w:pPr>
            <w:r>
              <w:rPr>
                <w:sz w:val="24"/>
              </w:rPr>
              <w:t>（INH）</w:t>
            </w:r>
          </w:p>
        </w:tc>
        <w:tc>
          <w:tcPr>
            <w:tcW w:w="1317" w:type="dxa"/>
            <w:tcBorders>
              <w:top w:val="single" w:sz="18" w:space="0" w:color="000000"/>
              <w:bottom w:val="single" w:sz="4" w:space="0" w:color="000000"/>
            </w:tcBorders>
          </w:tcPr>
          <w:p>
            <w:pPr>
              <w:pStyle w:val="TableParagraph"/>
              <w:spacing w:line="163" w:lineRule="auto" w:before="217"/>
              <w:ind w:left="87" w:right="15"/>
              <w:rPr>
                <w:sz w:val="24"/>
              </w:rPr>
            </w:pPr>
            <w:r>
              <w:rPr>
                <w:sz w:val="24"/>
              </w:rPr>
              <w:t>肝、神經、皮膚敏感</w:t>
            </w:r>
          </w:p>
        </w:tc>
        <w:tc>
          <w:tcPr>
            <w:tcW w:w="1357" w:type="dxa"/>
            <w:tcBorders>
              <w:top w:val="single" w:sz="18" w:space="0" w:color="000000"/>
              <w:bottom w:val="single" w:sz="4" w:space="0" w:color="000000"/>
            </w:tcBorders>
          </w:tcPr>
          <w:p>
            <w:pPr>
              <w:pStyle w:val="TableParagraph"/>
              <w:spacing w:line="371" w:lineRule="exact" w:before="115"/>
              <w:ind w:left="47"/>
              <w:rPr>
                <w:sz w:val="24"/>
              </w:rPr>
            </w:pPr>
            <w:r>
              <w:rPr>
                <w:sz w:val="24"/>
              </w:rPr>
              <w:t>口服或肌肉</w:t>
            </w:r>
          </w:p>
          <w:p>
            <w:pPr>
              <w:pStyle w:val="TableParagraph"/>
              <w:spacing w:line="371" w:lineRule="exact"/>
              <w:ind w:left="47"/>
              <w:rPr>
                <w:sz w:val="24"/>
              </w:rPr>
            </w:pPr>
            <w:r>
              <w:rPr>
                <w:sz w:val="24"/>
              </w:rPr>
              <w:t>/靜脈注射</w:t>
            </w:r>
          </w:p>
        </w:tc>
        <w:tc>
          <w:tcPr>
            <w:tcW w:w="1857" w:type="dxa"/>
            <w:tcBorders>
              <w:top w:val="single" w:sz="18" w:space="0" w:color="000000"/>
              <w:bottom w:val="single" w:sz="4" w:space="0" w:color="000000"/>
            </w:tcBorders>
          </w:tcPr>
          <w:p>
            <w:pPr>
              <w:pStyle w:val="TableParagraph"/>
              <w:spacing w:line="182" w:lineRule="auto" w:before="173"/>
              <w:ind w:left="107" w:right="282"/>
              <w:rPr>
                <w:sz w:val="24"/>
              </w:rPr>
            </w:pPr>
            <w:r>
              <w:rPr>
                <w:sz w:val="24"/>
              </w:rPr>
              <w:t>5（4-6） Max: 300 mg</w:t>
            </w:r>
          </w:p>
        </w:tc>
        <w:tc>
          <w:tcPr>
            <w:tcW w:w="1527" w:type="dxa"/>
            <w:tcBorders>
              <w:top w:val="single" w:sz="18" w:space="0" w:color="000000"/>
              <w:bottom w:val="single" w:sz="4" w:space="0" w:color="000000"/>
            </w:tcBorders>
          </w:tcPr>
          <w:p>
            <w:pPr>
              <w:pStyle w:val="TableParagraph"/>
              <w:spacing w:line="163" w:lineRule="auto" w:before="217"/>
              <w:ind w:left="64" w:right="199"/>
              <w:rPr>
                <w:sz w:val="24"/>
              </w:rPr>
            </w:pPr>
            <w:r>
              <w:rPr>
                <w:sz w:val="24"/>
              </w:rPr>
              <w:t>100mg/tab 2-3 顆</w:t>
            </w:r>
          </w:p>
        </w:tc>
        <w:tc>
          <w:tcPr>
            <w:tcW w:w="1769" w:type="dxa"/>
            <w:tcBorders>
              <w:top w:val="single" w:sz="18" w:space="0" w:color="000000"/>
              <w:bottom w:val="single" w:sz="4" w:space="0" w:color="000000"/>
            </w:tcBorders>
          </w:tcPr>
          <w:p>
            <w:pPr>
              <w:pStyle w:val="TableParagraph"/>
              <w:spacing w:line="389" w:lineRule="exact" w:before="97"/>
              <w:ind w:left="137"/>
              <w:rPr>
                <w:sz w:val="24"/>
              </w:rPr>
            </w:pPr>
            <w:r>
              <w:rPr>
                <w:sz w:val="24"/>
              </w:rPr>
              <w:t>100 mg/tab</w:t>
            </w:r>
          </w:p>
          <w:p>
            <w:pPr>
              <w:pStyle w:val="TableParagraph"/>
              <w:spacing w:line="389" w:lineRule="exact"/>
              <w:ind w:left="138"/>
              <w:rPr>
                <w:sz w:val="24"/>
              </w:rPr>
            </w:pPr>
            <w:r>
              <w:rPr>
                <w:sz w:val="24"/>
              </w:rPr>
              <w:t>3 顆</w:t>
            </w:r>
          </w:p>
        </w:tc>
      </w:tr>
      <w:tr>
        <w:trPr>
          <w:trHeight w:val="1979" w:hRule="atLeast"/>
        </w:trPr>
        <w:tc>
          <w:tcPr>
            <w:tcW w:w="1646" w:type="dxa"/>
            <w:tcBorders>
              <w:top w:val="single" w:sz="4" w:space="0" w:color="000000"/>
              <w:bottom w:val="single" w:sz="4" w:space="0" w:color="000000"/>
            </w:tcBorders>
          </w:tcPr>
          <w:p>
            <w:pPr>
              <w:pStyle w:val="TableParagraph"/>
              <w:spacing w:before="3"/>
              <w:rPr>
                <w:b/>
                <w:sz w:val="33"/>
              </w:rPr>
            </w:pPr>
          </w:p>
          <w:p>
            <w:pPr>
              <w:pStyle w:val="TableParagraph"/>
              <w:spacing w:line="389" w:lineRule="exact"/>
              <w:ind w:left="55"/>
              <w:rPr>
                <w:sz w:val="24"/>
              </w:rPr>
            </w:pPr>
            <w:r>
              <w:rPr>
                <w:sz w:val="24"/>
              </w:rPr>
              <w:t>rifampin</w:t>
            </w:r>
          </w:p>
          <w:p>
            <w:pPr>
              <w:pStyle w:val="TableParagraph"/>
              <w:spacing w:line="389" w:lineRule="exact"/>
              <w:ind w:left="55"/>
              <w:rPr>
                <w:sz w:val="24"/>
              </w:rPr>
            </w:pPr>
            <w:r>
              <w:rPr>
                <w:sz w:val="24"/>
              </w:rPr>
              <w:t>（RMP）</w:t>
            </w:r>
          </w:p>
        </w:tc>
        <w:tc>
          <w:tcPr>
            <w:tcW w:w="1317" w:type="dxa"/>
            <w:tcBorders>
              <w:top w:val="single" w:sz="4" w:space="0" w:color="000000"/>
              <w:bottom w:val="single" w:sz="4" w:space="0" w:color="000000"/>
            </w:tcBorders>
          </w:tcPr>
          <w:p>
            <w:pPr>
              <w:pStyle w:val="TableParagraph"/>
              <w:spacing w:line="163" w:lineRule="auto" w:before="280"/>
              <w:ind w:left="87" w:right="46"/>
              <w:jc w:val="both"/>
              <w:rPr>
                <w:sz w:val="24"/>
              </w:rPr>
            </w:pPr>
            <w:r>
              <w:rPr>
                <w:spacing w:val="16"/>
                <w:sz w:val="24"/>
              </w:rPr>
              <w:t>體液/尿液</w:t>
            </w:r>
            <w:r>
              <w:rPr>
                <w:spacing w:val="-9"/>
                <w:sz w:val="24"/>
              </w:rPr>
              <w:t>變橘、肝、</w:t>
            </w:r>
            <w:r>
              <w:rPr>
                <w:spacing w:val="-16"/>
                <w:sz w:val="24"/>
              </w:rPr>
              <w:t>血液、胃腸</w:t>
            </w:r>
            <w:r>
              <w:rPr>
                <w:spacing w:val="-20"/>
                <w:sz w:val="24"/>
              </w:rPr>
              <w:t>不適、皮膚敏感</w:t>
            </w:r>
          </w:p>
        </w:tc>
        <w:tc>
          <w:tcPr>
            <w:tcW w:w="1357" w:type="dxa"/>
            <w:tcBorders>
              <w:top w:val="single" w:sz="4" w:space="0" w:color="000000"/>
              <w:bottom w:val="single" w:sz="4" w:space="0" w:color="000000"/>
            </w:tcBorders>
          </w:tcPr>
          <w:p>
            <w:pPr>
              <w:pStyle w:val="TableParagraph"/>
              <w:spacing w:before="13"/>
              <w:rPr>
                <w:b/>
                <w:sz w:val="39"/>
              </w:rPr>
            </w:pPr>
          </w:p>
          <w:p>
            <w:pPr>
              <w:pStyle w:val="TableParagraph"/>
              <w:spacing w:line="163" w:lineRule="auto"/>
              <w:ind w:left="47" w:right="107"/>
              <w:rPr>
                <w:sz w:val="24"/>
              </w:rPr>
            </w:pPr>
            <w:r>
              <w:rPr>
                <w:sz w:val="24"/>
              </w:rPr>
              <w:t>口服或靜脈注射</w:t>
            </w:r>
          </w:p>
        </w:tc>
        <w:tc>
          <w:tcPr>
            <w:tcW w:w="1857" w:type="dxa"/>
            <w:tcBorders>
              <w:top w:val="single" w:sz="4" w:space="0" w:color="000000"/>
              <w:bottom w:val="single" w:sz="4" w:space="0" w:color="000000"/>
            </w:tcBorders>
          </w:tcPr>
          <w:p>
            <w:pPr>
              <w:pStyle w:val="TableParagraph"/>
              <w:spacing w:before="3"/>
              <w:rPr>
                <w:b/>
                <w:sz w:val="33"/>
              </w:rPr>
            </w:pPr>
          </w:p>
          <w:p>
            <w:pPr>
              <w:pStyle w:val="TableParagraph"/>
              <w:spacing w:line="389" w:lineRule="exact"/>
              <w:ind w:left="140"/>
              <w:rPr>
                <w:sz w:val="24"/>
              </w:rPr>
            </w:pPr>
            <w:r>
              <w:rPr>
                <w:sz w:val="24"/>
              </w:rPr>
              <w:t>10（8-12）</w:t>
            </w:r>
          </w:p>
          <w:p>
            <w:pPr>
              <w:pStyle w:val="TableParagraph"/>
              <w:spacing w:line="389" w:lineRule="exact"/>
              <w:ind w:left="140"/>
              <w:rPr>
                <w:sz w:val="24"/>
              </w:rPr>
            </w:pPr>
            <w:r>
              <w:rPr>
                <w:sz w:val="24"/>
              </w:rPr>
              <w:t>Max: 600 mg</w:t>
            </w:r>
          </w:p>
        </w:tc>
        <w:tc>
          <w:tcPr>
            <w:tcW w:w="1527" w:type="dxa"/>
            <w:tcBorders>
              <w:top w:val="single" w:sz="4" w:space="0" w:color="000000"/>
              <w:bottom w:val="single" w:sz="4" w:space="0" w:color="000000"/>
            </w:tcBorders>
          </w:tcPr>
          <w:p>
            <w:pPr>
              <w:pStyle w:val="TableParagraph"/>
              <w:spacing w:before="3"/>
              <w:rPr>
                <w:b/>
                <w:sz w:val="33"/>
              </w:rPr>
            </w:pPr>
          </w:p>
          <w:p>
            <w:pPr>
              <w:pStyle w:val="TableParagraph"/>
              <w:spacing w:line="389" w:lineRule="exact"/>
              <w:ind w:left="64"/>
              <w:rPr>
                <w:sz w:val="24"/>
              </w:rPr>
            </w:pPr>
            <w:r>
              <w:rPr>
                <w:sz w:val="24"/>
              </w:rPr>
              <w:t>150 mg/tab</w:t>
            </w:r>
          </w:p>
          <w:p>
            <w:pPr>
              <w:pStyle w:val="TableParagraph"/>
              <w:spacing w:line="389" w:lineRule="exact"/>
              <w:ind w:left="64"/>
              <w:rPr>
                <w:sz w:val="24"/>
              </w:rPr>
            </w:pPr>
            <w:r>
              <w:rPr>
                <w:sz w:val="24"/>
              </w:rPr>
              <w:t>3 顆</w:t>
            </w:r>
          </w:p>
        </w:tc>
        <w:tc>
          <w:tcPr>
            <w:tcW w:w="1769" w:type="dxa"/>
            <w:tcBorders>
              <w:top w:val="single" w:sz="4" w:space="0" w:color="000000"/>
              <w:bottom w:val="single" w:sz="4" w:space="0" w:color="000000"/>
            </w:tcBorders>
          </w:tcPr>
          <w:p>
            <w:pPr>
              <w:pStyle w:val="TableParagraph"/>
              <w:spacing w:before="3"/>
              <w:rPr>
                <w:b/>
                <w:sz w:val="33"/>
              </w:rPr>
            </w:pPr>
          </w:p>
          <w:p>
            <w:pPr>
              <w:pStyle w:val="TableParagraph"/>
              <w:spacing w:line="389" w:lineRule="exact"/>
              <w:ind w:left="137"/>
              <w:rPr>
                <w:sz w:val="24"/>
              </w:rPr>
            </w:pPr>
            <w:r>
              <w:rPr>
                <w:sz w:val="24"/>
              </w:rPr>
              <w:t>300 mg/tab</w:t>
            </w:r>
          </w:p>
          <w:p>
            <w:pPr>
              <w:pStyle w:val="TableParagraph"/>
              <w:spacing w:line="389" w:lineRule="exact"/>
              <w:ind w:left="138"/>
              <w:rPr>
                <w:sz w:val="24"/>
              </w:rPr>
            </w:pPr>
            <w:r>
              <w:rPr>
                <w:sz w:val="24"/>
              </w:rPr>
              <w:t>2 顆</w:t>
            </w:r>
          </w:p>
        </w:tc>
      </w:tr>
      <w:tr>
        <w:trPr>
          <w:trHeight w:val="1836" w:hRule="atLeast"/>
        </w:trPr>
        <w:tc>
          <w:tcPr>
            <w:tcW w:w="1646" w:type="dxa"/>
            <w:tcBorders>
              <w:top w:val="single" w:sz="4" w:space="0" w:color="000000"/>
              <w:bottom w:val="single" w:sz="4" w:space="0" w:color="000000"/>
            </w:tcBorders>
          </w:tcPr>
          <w:p>
            <w:pPr>
              <w:pStyle w:val="TableParagraph"/>
              <w:spacing w:before="6"/>
              <w:rPr>
                <w:b/>
                <w:sz w:val="29"/>
              </w:rPr>
            </w:pPr>
          </w:p>
          <w:p>
            <w:pPr>
              <w:pStyle w:val="TableParagraph"/>
              <w:spacing w:line="389" w:lineRule="exact"/>
              <w:ind w:left="55"/>
              <w:rPr>
                <w:sz w:val="24"/>
              </w:rPr>
            </w:pPr>
            <w:r>
              <w:rPr>
                <w:sz w:val="24"/>
              </w:rPr>
              <w:t>rifabutin</w:t>
            </w:r>
          </w:p>
          <w:p>
            <w:pPr>
              <w:pStyle w:val="TableParagraph"/>
              <w:spacing w:line="389" w:lineRule="exact"/>
              <w:ind w:left="55"/>
              <w:rPr>
                <w:sz w:val="24"/>
              </w:rPr>
            </w:pPr>
            <w:r>
              <w:rPr>
                <w:sz w:val="24"/>
              </w:rPr>
              <w:t>（RFB）</w:t>
            </w:r>
          </w:p>
        </w:tc>
        <w:tc>
          <w:tcPr>
            <w:tcW w:w="1317" w:type="dxa"/>
            <w:tcBorders>
              <w:top w:val="single" w:sz="4" w:space="0" w:color="000000"/>
              <w:bottom w:val="single" w:sz="4" w:space="0" w:color="000000"/>
            </w:tcBorders>
          </w:tcPr>
          <w:p>
            <w:pPr>
              <w:pStyle w:val="TableParagraph"/>
              <w:spacing w:line="163" w:lineRule="auto" w:before="60"/>
              <w:ind w:left="87" w:right="268"/>
              <w:rPr>
                <w:sz w:val="24"/>
              </w:rPr>
            </w:pPr>
            <w:r>
              <w:rPr>
                <w:sz w:val="24"/>
              </w:rPr>
              <w:t>肝、白血球低下、皮 膚 敏 感、眼葡萄膜炎</w:t>
            </w:r>
          </w:p>
          <w:p>
            <w:pPr>
              <w:pStyle w:val="TableParagraph"/>
              <w:spacing w:line="256" w:lineRule="exact"/>
              <w:ind w:left="87"/>
              <w:rPr>
                <w:sz w:val="24"/>
              </w:rPr>
            </w:pPr>
            <w:r>
              <w:rPr>
                <w:sz w:val="24"/>
              </w:rPr>
              <w:t>(uveitis)</w:t>
            </w:r>
          </w:p>
        </w:tc>
        <w:tc>
          <w:tcPr>
            <w:tcW w:w="1357" w:type="dxa"/>
            <w:tcBorders>
              <w:top w:val="single" w:sz="4" w:space="0" w:color="000000"/>
              <w:bottom w:val="single" w:sz="4" w:space="0" w:color="000000"/>
            </w:tcBorders>
          </w:tcPr>
          <w:p>
            <w:pPr>
              <w:pStyle w:val="TableParagraph"/>
              <w:spacing w:before="9"/>
              <w:rPr>
                <w:b/>
                <w:sz w:val="38"/>
              </w:rPr>
            </w:pPr>
          </w:p>
          <w:p>
            <w:pPr>
              <w:pStyle w:val="TableParagraph"/>
              <w:ind w:left="47"/>
              <w:rPr>
                <w:sz w:val="24"/>
              </w:rPr>
            </w:pPr>
            <w:r>
              <w:rPr>
                <w:sz w:val="24"/>
              </w:rPr>
              <w:t>口服</w:t>
            </w:r>
          </w:p>
        </w:tc>
        <w:tc>
          <w:tcPr>
            <w:tcW w:w="1857" w:type="dxa"/>
            <w:tcBorders>
              <w:top w:val="single" w:sz="4" w:space="0" w:color="000000"/>
              <w:bottom w:val="single" w:sz="4" w:space="0" w:color="000000"/>
            </w:tcBorders>
          </w:tcPr>
          <w:p>
            <w:pPr>
              <w:pStyle w:val="TableParagraph"/>
              <w:spacing w:before="6"/>
              <w:rPr>
                <w:b/>
                <w:sz w:val="29"/>
              </w:rPr>
            </w:pPr>
          </w:p>
          <w:p>
            <w:pPr>
              <w:pStyle w:val="TableParagraph"/>
              <w:spacing w:line="389" w:lineRule="exact"/>
              <w:ind w:left="140"/>
              <w:rPr>
                <w:sz w:val="24"/>
              </w:rPr>
            </w:pPr>
            <w:r>
              <w:rPr>
                <w:sz w:val="24"/>
              </w:rPr>
              <w:t>5</w:t>
            </w:r>
          </w:p>
          <w:p>
            <w:pPr>
              <w:pStyle w:val="TableParagraph"/>
              <w:spacing w:line="389" w:lineRule="exact"/>
              <w:ind w:left="140"/>
              <w:rPr>
                <w:sz w:val="24"/>
              </w:rPr>
            </w:pPr>
            <w:r>
              <w:rPr>
                <w:sz w:val="24"/>
              </w:rPr>
              <w:t>Max: 300mg</w:t>
            </w:r>
          </w:p>
        </w:tc>
        <w:tc>
          <w:tcPr>
            <w:tcW w:w="3296" w:type="dxa"/>
            <w:gridSpan w:val="2"/>
            <w:tcBorders>
              <w:top w:val="single" w:sz="4" w:space="0" w:color="000000"/>
              <w:bottom w:val="single" w:sz="4" w:space="0" w:color="000000"/>
            </w:tcBorders>
          </w:tcPr>
          <w:p>
            <w:pPr>
              <w:pStyle w:val="TableParagraph"/>
              <w:spacing w:before="4"/>
              <w:rPr>
                <w:b/>
                <w:sz w:val="20"/>
              </w:rPr>
            </w:pPr>
          </w:p>
          <w:p>
            <w:pPr>
              <w:pStyle w:val="TableParagraph"/>
              <w:spacing w:line="389" w:lineRule="exact"/>
              <w:ind w:left="64"/>
              <w:rPr>
                <w:sz w:val="24"/>
              </w:rPr>
            </w:pPr>
            <w:r>
              <w:rPr>
                <w:rFonts w:ascii="Arial" w:hAnsi="Arial" w:eastAsia="Arial"/>
                <w:sz w:val="24"/>
              </w:rPr>
              <w:t>≤</w:t>
            </w:r>
            <w:r>
              <w:rPr>
                <w:sz w:val="24"/>
              </w:rPr>
              <w:t>30 kg: 150 mg 1 顆</w:t>
            </w:r>
          </w:p>
          <w:p>
            <w:pPr>
              <w:pStyle w:val="TableParagraph"/>
              <w:spacing w:line="336" w:lineRule="exact"/>
              <w:ind w:left="64"/>
              <w:rPr>
                <w:sz w:val="24"/>
              </w:rPr>
            </w:pPr>
            <w:r>
              <w:rPr>
                <w:sz w:val="24"/>
              </w:rPr>
              <w:t>31~45 kg: 150 mg 1.5 顆</w:t>
            </w:r>
          </w:p>
          <w:p>
            <w:pPr>
              <w:pStyle w:val="TableParagraph"/>
              <w:spacing w:line="389" w:lineRule="exact"/>
              <w:ind w:left="64"/>
              <w:rPr>
                <w:sz w:val="24"/>
              </w:rPr>
            </w:pPr>
            <w:r>
              <w:rPr>
                <w:rFonts w:ascii="Arial" w:hAnsi="Arial" w:eastAsia="Arial"/>
                <w:sz w:val="24"/>
              </w:rPr>
              <w:t>≥</w:t>
            </w:r>
            <w:r>
              <w:rPr>
                <w:sz w:val="24"/>
              </w:rPr>
              <w:t>46 kg: 150 mg 2 顆</w:t>
            </w:r>
          </w:p>
        </w:tc>
      </w:tr>
      <w:tr>
        <w:trPr>
          <w:trHeight w:val="1552" w:hRule="atLeast"/>
        </w:trPr>
        <w:tc>
          <w:tcPr>
            <w:tcW w:w="1646" w:type="dxa"/>
            <w:tcBorders>
              <w:top w:val="single" w:sz="4" w:space="0" w:color="000000"/>
              <w:bottom w:val="single" w:sz="4" w:space="0" w:color="000000"/>
            </w:tcBorders>
          </w:tcPr>
          <w:p>
            <w:pPr>
              <w:pStyle w:val="TableParagraph"/>
              <w:spacing w:before="10"/>
              <w:rPr>
                <w:b/>
                <w:sz w:val="21"/>
              </w:rPr>
            </w:pPr>
          </w:p>
          <w:p>
            <w:pPr>
              <w:pStyle w:val="TableParagraph"/>
              <w:spacing w:line="389" w:lineRule="exact" w:before="1"/>
              <w:ind w:left="55"/>
              <w:rPr>
                <w:sz w:val="24"/>
              </w:rPr>
            </w:pPr>
            <w:r>
              <w:rPr>
                <w:sz w:val="24"/>
              </w:rPr>
              <w:t>pyrazinamide</w:t>
            </w:r>
          </w:p>
          <w:p>
            <w:pPr>
              <w:pStyle w:val="TableParagraph"/>
              <w:spacing w:line="389" w:lineRule="exact"/>
              <w:ind w:left="55"/>
              <w:rPr>
                <w:sz w:val="24"/>
              </w:rPr>
            </w:pPr>
            <w:r>
              <w:rPr>
                <w:sz w:val="24"/>
              </w:rPr>
              <w:t>（PZA）</w:t>
            </w:r>
          </w:p>
        </w:tc>
        <w:tc>
          <w:tcPr>
            <w:tcW w:w="1317" w:type="dxa"/>
            <w:tcBorders>
              <w:top w:val="single" w:sz="4" w:space="0" w:color="000000"/>
              <w:bottom w:val="single" w:sz="4" w:space="0" w:color="000000"/>
            </w:tcBorders>
          </w:tcPr>
          <w:p>
            <w:pPr>
              <w:pStyle w:val="TableParagraph"/>
              <w:spacing w:before="2"/>
              <w:rPr>
                <w:b/>
                <w:sz w:val="28"/>
              </w:rPr>
            </w:pPr>
          </w:p>
          <w:p>
            <w:pPr>
              <w:pStyle w:val="TableParagraph"/>
              <w:spacing w:line="163" w:lineRule="auto"/>
              <w:ind w:left="88" w:right="25"/>
              <w:rPr>
                <w:sz w:val="24"/>
              </w:rPr>
            </w:pPr>
            <w:r>
              <w:rPr>
                <w:sz w:val="24"/>
              </w:rPr>
              <w:t>肝、高尿酸血症</w:t>
            </w:r>
          </w:p>
        </w:tc>
        <w:tc>
          <w:tcPr>
            <w:tcW w:w="1357" w:type="dxa"/>
            <w:tcBorders>
              <w:top w:val="single" w:sz="4" w:space="0" w:color="000000"/>
              <w:bottom w:val="single" w:sz="4" w:space="0" w:color="000000"/>
            </w:tcBorders>
          </w:tcPr>
          <w:p>
            <w:pPr>
              <w:pStyle w:val="TableParagraph"/>
              <w:spacing w:before="13"/>
              <w:rPr>
                <w:b/>
                <w:sz w:val="30"/>
              </w:rPr>
            </w:pPr>
          </w:p>
          <w:p>
            <w:pPr>
              <w:pStyle w:val="TableParagraph"/>
              <w:ind w:left="47"/>
              <w:rPr>
                <w:sz w:val="24"/>
              </w:rPr>
            </w:pPr>
            <w:r>
              <w:rPr>
                <w:sz w:val="24"/>
              </w:rPr>
              <w:t>口服</w:t>
            </w:r>
          </w:p>
        </w:tc>
        <w:tc>
          <w:tcPr>
            <w:tcW w:w="1857" w:type="dxa"/>
            <w:tcBorders>
              <w:top w:val="single" w:sz="4" w:space="0" w:color="000000"/>
              <w:bottom w:val="single" w:sz="4" w:space="0" w:color="000000"/>
            </w:tcBorders>
          </w:tcPr>
          <w:p>
            <w:pPr>
              <w:pStyle w:val="TableParagraph"/>
              <w:spacing w:before="10"/>
              <w:rPr>
                <w:b/>
                <w:sz w:val="21"/>
              </w:rPr>
            </w:pPr>
          </w:p>
          <w:p>
            <w:pPr>
              <w:pStyle w:val="TableParagraph"/>
              <w:spacing w:line="389" w:lineRule="exact" w:before="1"/>
              <w:ind w:left="140"/>
              <w:rPr>
                <w:sz w:val="24"/>
              </w:rPr>
            </w:pPr>
            <w:r>
              <w:rPr>
                <w:sz w:val="24"/>
              </w:rPr>
              <w:t>25（15-30）</w:t>
            </w:r>
          </w:p>
          <w:p>
            <w:pPr>
              <w:pStyle w:val="TableParagraph"/>
              <w:spacing w:line="389" w:lineRule="exact"/>
              <w:ind w:left="140"/>
              <w:rPr>
                <w:sz w:val="24"/>
              </w:rPr>
            </w:pPr>
            <w:r>
              <w:rPr>
                <w:sz w:val="24"/>
              </w:rPr>
              <w:t>Max: 2000 mg</w:t>
            </w:r>
          </w:p>
        </w:tc>
        <w:tc>
          <w:tcPr>
            <w:tcW w:w="3296" w:type="dxa"/>
            <w:gridSpan w:val="2"/>
            <w:tcBorders>
              <w:top w:val="single" w:sz="4" w:space="0" w:color="000000"/>
              <w:bottom w:val="single" w:sz="4" w:space="0" w:color="000000"/>
            </w:tcBorders>
          </w:tcPr>
          <w:p>
            <w:pPr>
              <w:pStyle w:val="TableParagraph"/>
              <w:spacing w:line="371" w:lineRule="exact" w:before="247"/>
              <w:ind w:left="64"/>
              <w:rPr>
                <w:sz w:val="24"/>
              </w:rPr>
            </w:pPr>
            <w:r>
              <w:rPr>
                <w:sz w:val="24"/>
              </w:rPr>
              <w:t>40~55 kg: 500 mg/tab 2 顆</w:t>
            </w:r>
          </w:p>
          <w:p>
            <w:pPr>
              <w:pStyle w:val="TableParagraph"/>
              <w:spacing w:line="318" w:lineRule="exact"/>
              <w:ind w:left="64"/>
              <w:rPr>
                <w:sz w:val="24"/>
              </w:rPr>
            </w:pPr>
            <w:r>
              <w:rPr>
                <w:sz w:val="24"/>
              </w:rPr>
              <w:t>56~75 kg: 500 mg/tab 3 顆</w:t>
            </w:r>
          </w:p>
          <w:p>
            <w:pPr>
              <w:pStyle w:val="TableParagraph"/>
              <w:spacing w:line="389" w:lineRule="exact"/>
              <w:ind w:left="64"/>
              <w:rPr>
                <w:sz w:val="24"/>
              </w:rPr>
            </w:pPr>
            <w:r>
              <w:rPr>
                <w:rFonts w:ascii="Arial" w:hAnsi="Arial" w:eastAsia="Arial"/>
                <w:sz w:val="24"/>
              </w:rPr>
              <w:t>≥</w:t>
            </w:r>
            <w:r>
              <w:rPr>
                <w:sz w:val="24"/>
              </w:rPr>
              <w:t>76 kg: 500 mg/tab 4 顆</w:t>
            </w:r>
          </w:p>
        </w:tc>
      </w:tr>
      <w:tr>
        <w:trPr>
          <w:trHeight w:val="1560" w:hRule="atLeast"/>
        </w:trPr>
        <w:tc>
          <w:tcPr>
            <w:tcW w:w="1646" w:type="dxa"/>
            <w:tcBorders>
              <w:top w:val="single" w:sz="4" w:space="0" w:color="000000"/>
              <w:bottom w:val="single" w:sz="4" w:space="0" w:color="000000"/>
            </w:tcBorders>
          </w:tcPr>
          <w:p>
            <w:pPr>
              <w:pStyle w:val="TableParagraph"/>
              <w:spacing w:before="15"/>
              <w:rPr>
                <w:b/>
                <w:sz w:val="21"/>
              </w:rPr>
            </w:pPr>
          </w:p>
          <w:p>
            <w:pPr>
              <w:pStyle w:val="TableParagraph"/>
              <w:spacing w:line="389" w:lineRule="exact"/>
              <w:ind w:left="55"/>
              <w:rPr>
                <w:sz w:val="24"/>
              </w:rPr>
            </w:pPr>
            <w:r>
              <w:rPr>
                <w:sz w:val="24"/>
              </w:rPr>
              <w:t>ethambutol</w:t>
            </w:r>
          </w:p>
          <w:p>
            <w:pPr>
              <w:pStyle w:val="TableParagraph"/>
              <w:spacing w:line="389" w:lineRule="exact"/>
              <w:ind w:left="55"/>
              <w:rPr>
                <w:sz w:val="24"/>
              </w:rPr>
            </w:pPr>
            <w:r>
              <w:rPr>
                <w:sz w:val="24"/>
              </w:rPr>
              <w:t>（EMB）</w:t>
            </w:r>
          </w:p>
        </w:tc>
        <w:tc>
          <w:tcPr>
            <w:tcW w:w="1317" w:type="dxa"/>
            <w:tcBorders>
              <w:top w:val="single" w:sz="4" w:space="0" w:color="000000"/>
              <w:bottom w:val="single" w:sz="4" w:space="0" w:color="000000"/>
            </w:tcBorders>
          </w:tcPr>
          <w:p>
            <w:pPr>
              <w:pStyle w:val="TableParagraph"/>
              <w:spacing w:before="18"/>
              <w:rPr>
                <w:b/>
                <w:sz w:val="30"/>
              </w:rPr>
            </w:pPr>
          </w:p>
          <w:p>
            <w:pPr>
              <w:pStyle w:val="TableParagraph"/>
              <w:ind w:left="87"/>
              <w:rPr>
                <w:sz w:val="24"/>
              </w:rPr>
            </w:pPr>
            <w:r>
              <w:rPr>
                <w:sz w:val="24"/>
              </w:rPr>
              <w:t>視神經炎</w:t>
            </w:r>
          </w:p>
        </w:tc>
        <w:tc>
          <w:tcPr>
            <w:tcW w:w="1357" w:type="dxa"/>
            <w:tcBorders>
              <w:top w:val="single" w:sz="4" w:space="0" w:color="000000"/>
              <w:bottom w:val="single" w:sz="4" w:space="0" w:color="000000"/>
            </w:tcBorders>
          </w:tcPr>
          <w:p>
            <w:pPr>
              <w:pStyle w:val="TableParagraph"/>
              <w:spacing w:before="18"/>
              <w:rPr>
                <w:b/>
                <w:sz w:val="30"/>
              </w:rPr>
            </w:pPr>
          </w:p>
          <w:p>
            <w:pPr>
              <w:pStyle w:val="TableParagraph"/>
              <w:ind w:left="47"/>
              <w:rPr>
                <w:sz w:val="24"/>
              </w:rPr>
            </w:pPr>
            <w:r>
              <w:rPr>
                <w:sz w:val="24"/>
              </w:rPr>
              <w:t>口服</w:t>
            </w:r>
          </w:p>
        </w:tc>
        <w:tc>
          <w:tcPr>
            <w:tcW w:w="1857" w:type="dxa"/>
            <w:tcBorders>
              <w:top w:val="single" w:sz="4" w:space="0" w:color="000000"/>
              <w:bottom w:val="single" w:sz="4" w:space="0" w:color="000000"/>
            </w:tcBorders>
          </w:tcPr>
          <w:p>
            <w:pPr>
              <w:pStyle w:val="TableParagraph"/>
              <w:spacing w:before="15"/>
              <w:rPr>
                <w:b/>
                <w:sz w:val="22"/>
              </w:rPr>
            </w:pPr>
          </w:p>
          <w:p>
            <w:pPr>
              <w:pStyle w:val="TableParagraph"/>
              <w:spacing w:line="371" w:lineRule="exact"/>
              <w:ind w:left="140"/>
              <w:rPr>
                <w:sz w:val="24"/>
              </w:rPr>
            </w:pPr>
            <w:r>
              <w:rPr>
                <w:sz w:val="24"/>
              </w:rPr>
              <w:t>15（15-20）</w:t>
            </w:r>
          </w:p>
          <w:p>
            <w:pPr>
              <w:pStyle w:val="TableParagraph"/>
              <w:spacing w:line="371" w:lineRule="exact"/>
              <w:ind w:left="140"/>
              <w:rPr>
                <w:sz w:val="24"/>
              </w:rPr>
            </w:pPr>
            <w:r>
              <w:rPr>
                <w:sz w:val="24"/>
              </w:rPr>
              <w:t>Max: 1600 mg</w:t>
            </w:r>
          </w:p>
        </w:tc>
        <w:tc>
          <w:tcPr>
            <w:tcW w:w="3296" w:type="dxa"/>
            <w:gridSpan w:val="2"/>
            <w:tcBorders>
              <w:top w:val="single" w:sz="4" w:space="0" w:color="000000"/>
              <w:bottom w:val="single" w:sz="4" w:space="0" w:color="000000"/>
            </w:tcBorders>
          </w:tcPr>
          <w:p>
            <w:pPr>
              <w:pStyle w:val="TableParagraph"/>
              <w:spacing w:line="371" w:lineRule="exact" w:before="251"/>
              <w:ind w:left="64"/>
              <w:rPr>
                <w:sz w:val="24"/>
              </w:rPr>
            </w:pPr>
            <w:r>
              <w:rPr>
                <w:sz w:val="24"/>
              </w:rPr>
              <w:t>40~55 kg: 400 mg/tab 2 顆</w:t>
            </w:r>
          </w:p>
          <w:p>
            <w:pPr>
              <w:pStyle w:val="TableParagraph"/>
              <w:spacing w:line="318" w:lineRule="exact"/>
              <w:ind w:left="64"/>
              <w:rPr>
                <w:sz w:val="24"/>
              </w:rPr>
            </w:pPr>
            <w:r>
              <w:rPr>
                <w:sz w:val="24"/>
              </w:rPr>
              <w:t>56~75 kg: 400 mg/tab 3 顆</w:t>
            </w:r>
          </w:p>
          <w:p>
            <w:pPr>
              <w:pStyle w:val="TableParagraph"/>
              <w:spacing w:line="389" w:lineRule="exact"/>
              <w:ind w:left="64"/>
              <w:rPr>
                <w:sz w:val="24"/>
              </w:rPr>
            </w:pPr>
            <w:r>
              <w:rPr>
                <w:rFonts w:ascii="Arial" w:hAnsi="Arial" w:eastAsia="Arial"/>
                <w:sz w:val="24"/>
              </w:rPr>
              <w:t>≥</w:t>
            </w:r>
            <w:r>
              <w:rPr>
                <w:sz w:val="24"/>
              </w:rPr>
              <w:t>76 kg: 400 mg/tab 4 顆</w:t>
            </w:r>
          </w:p>
        </w:tc>
      </w:tr>
    </w:tbl>
    <w:p>
      <w:pPr>
        <w:spacing w:before="23"/>
        <w:ind w:left="180" w:right="0" w:firstLine="0"/>
        <w:jc w:val="left"/>
        <w:rPr>
          <w:sz w:val="23"/>
        </w:rPr>
      </w:pPr>
      <w:r>
        <w:rPr/>
        <w:pict>
          <v:shape style="position:absolute;margin-left:574.289001pt;margin-top:-196.151459pt;width:16.650pt;height:5.55pt;mso-position-horizontal-relative:page;mso-position-vertical-relative:paragraph;z-index:251762688"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z w:val="24"/>
        </w:rPr>
        <w:t>*</w:t>
      </w:r>
      <w:r>
        <w:rPr>
          <w:spacing w:val="54"/>
          <w:sz w:val="24"/>
        </w:rPr>
        <w:t> </w:t>
      </w:r>
      <w:r>
        <w:rPr>
          <w:sz w:val="23"/>
        </w:rPr>
        <w:t>累積總劑量不超過 120 gm</w:t>
      </w:r>
    </w:p>
    <w:p>
      <w:pPr>
        <w:spacing w:after="0"/>
        <w:jc w:val="left"/>
        <w:rPr>
          <w:sz w:val="23"/>
        </w:rPr>
        <w:sectPr>
          <w:pgSz w:w="12250" w:h="17190"/>
          <w:pgMar w:header="0" w:footer="748" w:top="1340" w:bottom="1020" w:left="1180" w:right="0"/>
        </w:sectPr>
      </w:pPr>
    </w:p>
    <w:p>
      <w:pPr>
        <w:pStyle w:val="BodyText"/>
        <w:spacing w:before="16"/>
        <w:rPr>
          <w:sz w:val="10"/>
        </w:rPr>
      </w:pPr>
    </w:p>
    <w:p>
      <w:pPr>
        <w:spacing w:after="0"/>
        <w:rPr>
          <w:sz w:val="10"/>
        </w:rPr>
        <w:sectPr>
          <w:pgSz w:w="12250" w:h="17190"/>
          <w:pgMar w:header="0" w:footer="748" w:top="1640" w:bottom="940" w:left="1180" w:right="0"/>
        </w:sectPr>
      </w:pPr>
    </w:p>
    <w:p>
      <w:pPr>
        <w:pStyle w:val="Heading6"/>
        <w:spacing w:before="25"/>
        <w:ind w:left="2936"/>
      </w:pPr>
      <w:r>
        <w:rPr/>
        <w:pict>
          <v:group style="position:absolute;margin-left:571.5pt;margin-top:6.725749pt;width:40.9pt;height:316.05pt;mso-position-horizontal-relative:page;mso-position-vertical-relative:paragraph;z-index:251765760" coordorigin="11430,135" coordsize="818,6321">
            <v:shape style="position:absolute;left:11430;top:134;width:818;height:6321" coordorigin="11430,135" coordsize="818,6321" path="m12247,135l11595,135,11531,148,11478,183,11443,235,11430,300,11430,6290,11443,6355,11478,6407,11531,6443,11595,6456,12247,6456,12247,135xe" filled="true" fillcolor="#a6a6a6" stroked="false">
              <v:path arrowok="t"/>
              <v:fill type="solid"/>
            </v:shape>
            <v:shape style="position:absolute;left:11430;top:134;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bookmarkStart w:name="表 6-2 第一線抗結核藥物-複方藥物" w:id="77"/>
      <w:bookmarkEnd w:id="77"/>
      <w:r>
        <w:rPr>
          <w:b w:val="0"/>
        </w:rPr>
      </w:r>
      <w:r>
        <w:rPr/>
        <w:t>表 6-2 第一線抗結核藥物-複方藥物</w:t>
      </w:r>
    </w:p>
    <w:p>
      <w:pPr>
        <w:pStyle w:val="BodyText"/>
        <w:spacing w:before="6"/>
        <w:rPr>
          <w:b/>
          <w:sz w:val="3"/>
        </w:rPr>
      </w:pPr>
    </w:p>
    <w:tbl>
      <w:tblPr>
        <w:tblW w:w="0" w:type="auto"/>
        <w:jc w:val="left"/>
        <w:tblInd w:w="11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3782"/>
        <w:gridCol w:w="1926"/>
        <w:gridCol w:w="723"/>
        <w:gridCol w:w="1610"/>
        <w:gridCol w:w="1611"/>
      </w:tblGrid>
      <w:tr>
        <w:trPr>
          <w:trHeight w:val="820" w:hRule="atLeast"/>
        </w:trPr>
        <w:tc>
          <w:tcPr>
            <w:tcW w:w="3782" w:type="dxa"/>
            <w:tcBorders>
              <w:left w:val="nil"/>
              <w:right w:val="nil"/>
            </w:tcBorders>
            <w:shd w:val="clear" w:color="auto" w:fill="F1F1F1"/>
          </w:tcPr>
          <w:p>
            <w:pPr>
              <w:pStyle w:val="TableParagraph"/>
              <w:spacing w:before="187"/>
              <w:ind w:left="1600"/>
              <w:rPr>
                <w:sz w:val="24"/>
              </w:rPr>
            </w:pPr>
            <w:r>
              <w:rPr>
                <w:sz w:val="24"/>
              </w:rPr>
              <w:t>藥物 (縮寫)</w:t>
            </w:r>
          </w:p>
        </w:tc>
        <w:tc>
          <w:tcPr>
            <w:tcW w:w="1926" w:type="dxa"/>
            <w:tcBorders>
              <w:left w:val="nil"/>
              <w:right w:val="nil"/>
            </w:tcBorders>
            <w:shd w:val="clear" w:color="auto" w:fill="F1F1F1"/>
          </w:tcPr>
          <w:p>
            <w:pPr>
              <w:pStyle w:val="TableParagraph"/>
              <w:spacing w:line="175" w:lineRule="auto" w:before="113"/>
              <w:ind w:left="876" w:right="327" w:firstLine="69"/>
              <w:rPr>
                <w:sz w:val="24"/>
              </w:rPr>
            </w:pPr>
            <w:r>
              <w:rPr>
                <w:sz w:val="24"/>
              </w:rPr>
              <w:t>毒性/ 副作用</w:t>
            </w:r>
          </w:p>
        </w:tc>
        <w:tc>
          <w:tcPr>
            <w:tcW w:w="723" w:type="dxa"/>
            <w:tcBorders>
              <w:left w:val="nil"/>
              <w:right w:val="nil"/>
            </w:tcBorders>
            <w:shd w:val="clear" w:color="auto" w:fill="F1F1F1"/>
          </w:tcPr>
          <w:p>
            <w:pPr>
              <w:pStyle w:val="TableParagraph"/>
              <w:spacing w:line="175" w:lineRule="auto" w:before="113"/>
              <w:ind w:left="74" w:right="166"/>
              <w:rPr>
                <w:sz w:val="24"/>
              </w:rPr>
            </w:pPr>
            <w:r>
              <w:rPr>
                <w:sz w:val="24"/>
              </w:rPr>
              <w:t>給藥方式</w:t>
            </w:r>
          </w:p>
        </w:tc>
        <w:tc>
          <w:tcPr>
            <w:tcW w:w="3221" w:type="dxa"/>
            <w:gridSpan w:val="2"/>
            <w:tcBorders>
              <w:left w:val="nil"/>
              <w:right w:val="nil"/>
            </w:tcBorders>
            <w:shd w:val="clear" w:color="auto" w:fill="F1F1F1"/>
          </w:tcPr>
          <w:p>
            <w:pPr>
              <w:pStyle w:val="TableParagraph"/>
              <w:spacing w:before="187"/>
              <w:ind w:left="891"/>
              <w:rPr>
                <w:sz w:val="24"/>
              </w:rPr>
            </w:pPr>
            <w:r>
              <w:rPr>
                <w:sz w:val="24"/>
              </w:rPr>
              <w:t>一般用法劑量</w:t>
            </w:r>
          </w:p>
        </w:tc>
      </w:tr>
      <w:tr>
        <w:trPr>
          <w:trHeight w:val="579" w:hRule="atLeast"/>
        </w:trPr>
        <w:tc>
          <w:tcPr>
            <w:tcW w:w="3782" w:type="dxa"/>
            <w:vMerge w:val="restart"/>
            <w:tcBorders>
              <w:left w:val="nil"/>
              <w:bottom w:val="single" w:sz="4" w:space="0" w:color="000000"/>
              <w:right w:val="nil"/>
            </w:tcBorders>
          </w:tcPr>
          <w:p>
            <w:pPr>
              <w:pStyle w:val="TableParagraph"/>
              <w:spacing w:before="14"/>
              <w:rPr>
                <w:b/>
                <w:sz w:val="19"/>
              </w:rPr>
            </w:pPr>
          </w:p>
          <w:p>
            <w:pPr>
              <w:pStyle w:val="TableParagraph"/>
              <w:spacing w:line="382" w:lineRule="exact"/>
              <w:ind w:left="41"/>
              <w:rPr>
                <w:sz w:val="23"/>
              </w:rPr>
            </w:pPr>
            <w:r>
              <w:rPr>
                <w:sz w:val="23"/>
              </w:rPr>
              <w:t>Rifinah150 (RFN)</w:t>
            </w:r>
          </w:p>
          <w:p>
            <w:pPr>
              <w:pStyle w:val="TableParagraph"/>
              <w:spacing w:line="340" w:lineRule="exact"/>
              <w:ind w:left="41"/>
              <w:rPr>
                <w:sz w:val="23"/>
              </w:rPr>
            </w:pPr>
            <w:r>
              <w:rPr>
                <w:spacing w:val="-4"/>
                <w:sz w:val="23"/>
              </w:rPr>
              <w:t>(RMP 150 </w:t>
            </w:r>
            <w:r>
              <w:rPr>
                <w:spacing w:val="-3"/>
                <w:sz w:val="23"/>
              </w:rPr>
              <w:t>mg </w:t>
            </w:r>
            <w:r>
              <w:rPr>
                <w:sz w:val="23"/>
              </w:rPr>
              <w:t>+ </w:t>
            </w:r>
            <w:r>
              <w:rPr>
                <w:spacing w:val="-4"/>
                <w:sz w:val="23"/>
              </w:rPr>
              <w:t>INH 100</w:t>
            </w:r>
            <w:r>
              <w:rPr>
                <w:spacing w:val="-22"/>
                <w:sz w:val="23"/>
              </w:rPr>
              <w:t> </w:t>
            </w:r>
            <w:r>
              <w:rPr>
                <w:spacing w:val="-3"/>
                <w:sz w:val="23"/>
              </w:rPr>
              <w:t>mg)</w:t>
            </w:r>
          </w:p>
          <w:p>
            <w:pPr>
              <w:pStyle w:val="TableParagraph"/>
              <w:spacing w:line="192" w:lineRule="auto" w:before="19"/>
              <w:ind w:left="41" w:right="143"/>
              <w:rPr>
                <w:sz w:val="23"/>
              </w:rPr>
            </w:pPr>
            <w:r>
              <w:rPr>
                <w:spacing w:val="-5"/>
                <w:sz w:val="23"/>
              </w:rPr>
              <w:t>Rifinah300/RINA/ </w:t>
            </w:r>
            <w:r>
              <w:rPr>
                <w:spacing w:val="-4"/>
                <w:sz w:val="23"/>
              </w:rPr>
              <w:t>Macox Plus (RMP 300 </w:t>
            </w:r>
            <w:r>
              <w:rPr>
                <w:spacing w:val="-3"/>
                <w:sz w:val="23"/>
              </w:rPr>
              <w:t>mg </w:t>
            </w:r>
            <w:r>
              <w:rPr>
                <w:sz w:val="23"/>
              </w:rPr>
              <w:t>+ </w:t>
            </w:r>
            <w:r>
              <w:rPr>
                <w:spacing w:val="-4"/>
                <w:sz w:val="23"/>
              </w:rPr>
              <w:t>INH 150</w:t>
            </w:r>
            <w:r>
              <w:rPr>
                <w:spacing w:val="-24"/>
                <w:sz w:val="23"/>
              </w:rPr>
              <w:t> </w:t>
            </w:r>
            <w:r>
              <w:rPr>
                <w:spacing w:val="-3"/>
                <w:sz w:val="23"/>
              </w:rPr>
              <w:t>mg)</w:t>
            </w:r>
          </w:p>
        </w:tc>
        <w:tc>
          <w:tcPr>
            <w:tcW w:w="1926" w:type="dxa"/>
            <w:vMerge w:val="restart"/>
            <w:tcBorders>
              <w:left w:val="nil"/>
              <w:bottom w:val="single" w:sz="4" w:space="0" w:color="000000"/>
              <w:right w:val="nil"/>
            </w:tcBorders>
          </w:tcPr>
          <w:p>
            <w:pPr>
              <w:pStyle w:val="TableParagraph"/>
              <w:spacing w:before="6"/>
              <w:rPr>
                <w:b/>
                <w:sz w:val="32"/>
              </w:rPr>
            </w:pPr>
          </w:p>
          <w:p>
            <w:pPr>
              <w:pStyle w:val="TableParagraph"/>
              <w:spacing w:line="192" w:lineRule="auto"/>
              <w:ind w:left="667" w:right="73" w:firstLine="33"/>
              <w:jc w:val="both"/>
              <w:rPr>
                <w:sz w:val="23"/>
              </w:rPr>
            </w:pPr>
            <w:r>
              <w:rPr>
                <w:sz w:val="23"/>
              </w:rPr>
              <w:t>肝、血液、胃腸不適、皮膚敏感</w:t>
            </w:r>
          </w:p>
        </w:tc>
        <w:tc>
          <w:tcPr>
            <w:tcW w:w="723" w:type="dxa"/>
            <w:vMerge w:val="restart"/>
            <w:tcBorders>
              <w:left w:val="nil"/>
              <w:bottom w:val="single" w:sz="4" w:space="0" w:color="000000"/>
              <w:right w:val="nil"/>
            </w:tcBorders>
          </w:tcPr>
          <w:p>
            <w:pPr>
              <w:pStyle w:val="TableParagraph"/>
              <w:rPr>
                <w:b/>
                <w:sz w:val="30"/>
              </w:rPr>
            </w:pPr>
          </w:p>
          <w:p>
            <w:pPr>
              <w:pStyle w:val="TableParagraph"/>
              <w:spacing w:before="9"/>
              <w:rPr>
                <w:b/>
                <w:sz w:val="17"/>
              </w:rPr>
            </w:pPr>
          </w:p>
          <w:p>
            <w:pPr>
              <w:pStyle w:val="TableParagraph"/>
              <w:ind w:left="84"/>
              <w:rPr>
                <w:sz w:val="23"/>
              </w:rPr>
            </w:pPr>
            <w:r>
              <w:rPr>
                <w:sz w:val="23"/>
              </w:rPr>
              <w:t>口服</w:t>
            </w:r>
          </w:p>
        </w:tc>
        <w:tc>
          <w:tcPr>
            <w:tcW w:w="1610" w:type="dxa"/>
            <w:tcBorders>
              <w:left w:val="nil"/>
              <w:bottom w:val="single" w:sz="4" w:space="0" w:color="000000"/>
              <w:right w:val="single" w:sz="4" w:space="0" w:color="000000"/>
            </w:tcBorders>
          </w:tcPr>
          <w:p>
            <w:pPr>
              <w:pStyle w:val="TableParagraph"/>
              <w:spacing w:before="80"/>
              <w:ind w:left="278" w:right="270"/>
              <w:jc w:val="center"/>
              <w:rPr>
                <w:sz w:val="23"/>
              </w:rPr>
            </w:pPr>
            <w:r>
              <w:rPr>
                <w:sz w:val="23"/>
              </w:rPr>
              <w:t>50Kg以下</w:t>
            </w:r>
          </w:p>
        </w:tc>
        <w:tc>
          <w:tcPr>
            <w:tcW w:w="1611" w:type="dxa"/>
            <w:tcBorders>
              <w:left w:val="single" w:sz="4" w:space="0" w:color="000000"/>
              <w:bottom w:val="single" w:sz="4" w:space="0" w:color="000000"/>
              <w:right w:val="nil"/>
            </w:tcBorders>
          </w:tcPr>
          <w:p>
            <w:pPr>
              <w:pStyle w:val="TableParagraph"/>
              <w:spacing w:before="67"/>
              <w:ind w:left="77" w:right="79"/>
              <w:jc w:val="center"/>
              <w:rPr>
                <w:sz w:val="23"/>
              </w:rPr>
            </w:pPr>
            <w:r>
              <w:rPr>
                <w:sz w:val="23"/>
              </w:rPr>
              <w:t>50Kg</w:t>
            </w:r>
            <w:r>
              <w:rPr>
                <w:color w:val="FF0000"/>
                <w:sz w:val="24"/>
              </w:rPr>
              <w:t>(含)</w:t>
            </w:r>
            <w:r>
              <w:rPr>
                <w:sz w:val="23"/>
              </w:rPr>
              <w:t>以上</w:t>
            </w:r>
          </w:p>
        </w:tc>
      </w:tr>
      <w:tr>
        <w:trPr>
          <w:trHeight w:val="817" w:hRule="atLeast"/>
        </w:trPr>
        <w:tc>
          <w:tcPr>
            <w:tcW w:w="3782" w:type="dxa"/>
            <w:vMerge/>
            <w:tcBorders>
              <w:top w:val="nil"/>
              <w:left w:val="nil"/>
              <w:bottom w:val="single" w:sz="4" w:space="0" w:color="000000"/>
              <w:right w:val="nil"/>
            </w:tcBorders>
          </w:tcPr>
          <w:p>
            <w:pPr>
              <w:rPr>
                <w:sz w:val="2"/>
                <w:szCs w:val="2"/>
              </w:rPr>
            </w:pPr>
          </w:p>
        </w:tc>
        <w:tc>
          <w:tcPr>
            <w:tcW w:w="1926" w:type="dxa"/>
            <w:vMerge/>
            <w:tcBorders>
              <w:top w:val="nil"/>
              <w:left w:val="nil"/>
              <w:bottom w:val="single" w:sz="4" w:space="0" w:color="000000"/>
              <w:right w:val="nil"/>
            </w:tcBorders>
          </w:tcPr>
          <w:p>
            <w:pPr>
              <w:rPr>
                <w:sz w:val="2"/>
                <w:szCs w:val="2"/>
              </w:rPr>
            </w:pPr>
          </w:p>
        </w:tc>
        <w:tc>
          <w:tcPr>
            <w:tcW w:w="723" w:type="dxa"/>
            <w:vMerge/>
            <w:tcBorders>
              <w:top w:val="nil"/>
              <w:left w:val="nil"/>
              <w:bottom w:val="single" w:sz="4" w:space="0" w:color="000000"/>
              <w:right w:val="nil"/>
            </w:tcBorders>
          </w:tcPr>
          <w:p>
            <w:pPr>
              <w:rPr>
                <w:sz w:val="2"/>
                <w:szCs w:val="2"/>
              </w:rPr>
            </w:pPr>
          </w:p>
        </w:tc>
        <w:tc>
          <w:tcPr>
            <w:tcW w:w="1610" w:type="dxa"/>
            <w:tcBorders>
              <w:top w:val="single" w:sz="4" w:space="0" w:color="000000"/>
              <w:left w:val="nil"/>
              <w:bottom w:val="single" w:sz="4" w:space="0" w:color="000000"/>
              <w:right w:val="single" w:sz="4" w:space="0" w:color="000000"/>
            </w:tcBorders>
          </w:tcPr>
          <w:p>
            <w:pPr>
              <w:pStyle w:val="TableParagraph"/>
              <w:spacing w:line="371" w:lineRule="exact" w:before="40"/>
              <w:ind w:left="1" w:right="-15"/>
              <w:jc w:val="center"/>
              <w:rPr>
                <w:sz w:val="23"/>
              </w:rPr>
            </w:pPr>
            <w:r>
              <w:rPr>
                <w:spacing w:val="-1"/>
                <w:sz w:val="23"/>
              </w:rPr>
              <w:t>【Rifinah150</w:t>
            </w:r>
            <w:r>
              <w:rPr>
                <w:sz w:val="23"/>
              </w:rPr>
              <w:t>】</w:t>
            </w:r>
          </w:p>
          <w:p>
            <w:pPr>
              <w:pStyle w:val="TableParagraph"/>
              <w:spacing w:line="371" w:lineRule="exact"/>
              <w:ind w:left="276" w:right="270"/>
              <w:jc w:val="center"/>
              <w:rPr>
                <w:sz w:val="23"/>
              </w:rPr>
            </w:pPr>
            <w:r>
              <w:rPr>
                <w:sz w:val="23"/>
              </w:rPr>
              <w:t>3 錠</w:t>
            </w:r>
          </w:p>
        </w:tc>
        <w:tc>
          <w:tcPr>
            <w:tcW w:w="1611" w:type="dxa"/>
            <w:tcBorders>
              <w:top w:val="single" w:sz="4" w:space="0" w:color="000000"/>
              <w:left w:val="single" w:sz="4" w:space="0" w:color="000000"/>
              <w:bottom w:val="single" w:sz="4" w:space="0" w:color="000000"/>
              <w:right w:val="nil"/>
            </w:tcBorders>
          </w:tcPr>
          <w:p>
            <w:pPr>
              <w:pStyle w:val="TableParagraph"/>
              <w:spacing w:before="200"/>
              <w:ind w:left="77" w:right="78"/>
              <w:jc w:val="center"/>
              <w:rPr>
                <w:sz w:val="23"/>
              </w:rPr>
            </w:pPr>
            <w:r>
              <w:rPr>
                <w:sz w:val="23"/>
              </w:rPr>
              <w:t>---</w:t>
            </w:r>
          </w:p>
        </w:tc>
      </w:tr>
      <w:tr>
        <w:trPr>
          <w:trHeight w:val="737" w:hRule="atLeast"/>
        </w:trPr>
        <w:tc>
          <w:tcPr>
            <w:tcW w:w="3782" w:type="dxa"/>
            <w:vMerge/>
            <w:tcBorders>
              <w:top w:val="nil"/>
              <w:left w:val="nil"/>
              <w:bottom w:val="single" w:sz="4" w:space="0" w:color="000000"/>
              <w:right w:val="nil"/>
            </w:tcBorders>
          </w:tcPr>
          <w:p>
            <w:pPr>
              <w:rPr>
                <w:sz w:val="2"/>
                <w:szCs w:val="2"/>
              </w:rPr>
            </w:pPr>
          </w:p>
        </w:tc>
        <w:tc>
          <w:tcPr>
            <w:tcW w:w="1926" w:type="dxa"/>
            <w:vMerge/>
            <w:tcBorders>
              <w:top w:val="nil"/>
              <w:left w:val="nil"/>
              <w:bottom w:val="single" w:sz="4" w:space="0" w:color="000000"/>
              <w:right w:val="nil"/>
            </w:tcBorders>
          </w:tcPr>
          <w:p>
            <w:pPr>
              <w:rPr>
                <w:sz w:val="2"/>
                <w:szCs w:val="2"/>
              </w:rPr>
            </w:pPr>
          </w:p>
        </w:tc>
        <w:tc>
          <w:tcPr>
            <w:tcW w:w="723" w:type="dxa"/>
            <w:vMerge/>
            <w:tcBorders>
              <w:top w:val="nil"/>
              <w:left w:val="nil"/>
              <w:bottom w:val="single" w:sz="4" w:space="0" w:color="000000"/>
              <w:right w:val="nil"/>
            </w:tcBorders>
          </w:tcPr>
          <w:p>
            <w:pPr>
              <w:rPr>
                <w:sz w:val="2"/>
                <w:szCs w:val="2"/>
              </w:rPr>
            </w:pPr>
          </w:p>
        </w:tc>
        <w:tc>
          <w:tcPr>
            <w:tcW w:w="1610" w:type="dxa"/>
            <w:tcBorders>
              <w:top w:val="single" w:sz="4" w:space="0" w:color="000000"/>
              <w:left w:val="nil"/>
              <w:bottom w:val="single" w:sz="4" w:space="0" w:color="000000"/>
              <w:right w:val="single" w:sz="4" w:space="0" w:color="000000"/>
            </w:tcBorders>
          </w:tcPr>
          <w:p>
            <w:pPr>
              <w:pStyle w:val="TableParagraph"/>
              <w:spacing w:before="159"/>
              <w:ind w:left="278" w:right="270"/>
              <w:jc w:val="center"/>
              <w:rPr>
                <w:sz w:val="23"/>
              </w:rPr>
            </w:pPr>
            <w:r>
              <w:rPr>
                <w:sz w:val="23"/>
              </w:rPr>
              <w:t>---</w:t>
            </w:r>
          </w:p>
        </w:tc>
        <w:tc>
          <w:tcPr>
            <w:tcW w:w="1611" w:type="dxa"/>
            <w:tcBorders>
              <w:top w:val="single" w:sz="4" w:space="0" w:color="000000"/>
              <w:left w:val="single" w:sz="4" w:space="0" w:color="000000"/>
              <w:bottom w:val="single" w:sz="4" w:space="0" w:color="000000"/>
              <w:right w:val="nil"/>
            </w:tcBorders>
          </w:tcPr>
          <w:p>
            <w:pPr>
              <w:pStyle w:val="TableParagraph"/>
              <w:spacing w:line="371" w:lineRule="exact"/>
              <w:ind w:left="-4"/>
              <w:jc w:val="center"/>
              <w:rPr>
                <w:sz w:val="23"/>
              </w:rPr>
            </w:pPr>
            <w:r>
              <w:rPr>
                <w:sz w:val="23"/>
              </w:rPr>
              <w:t>【Rifinah300</w:t>
            </w:r>
            <w:r>
              <w:rPr>
                <w:spacing w:val="-16"/>
                <w:sz w:val="23"/>
              </w:rPr>
              <w:t>】</w:t>
            </w:r>
          </w:p>
          <w:p>
            <w:pPr>
              <w:pStyle w:val="TableParagraph"/>
              <w:spacing w:line="347" w:lineRule="exact"/>
              <w:ind w:left="77" w:right="79"/>
              <w:jc w:val="center"/>
              <w:rPr>
                <w:sz w:val="23"/>
              </w:rPr>
            </w:pPr>
            <w:r>
              <w:rPr>
                <w:sz w:val="23"/>
              </w:rPr>
              <w:t>2 錠</w:t>
            </w:r>
          </w:p>
        </w:tc>
      </w:tr>
    </w:tbl>
    <w:p>
      <w:pPr>
        <w:pStyle w:val="BodyText"/>
        <w:spacing w:before="14"/>
        <w:rPr>
          <w:b/>
          <w:sz w:val="3"/>
        </w:rPr>
      </w:pPr>
    </w:p>
    <w:p>
      <w:pPr>
        <w:spacing w:after="0"/>
        <w:rPr>
          <w:sz w:val="3"/>
        </w:rPr>
        <w:sectPr>
          <w:pgSz w:w="12250" w:h="17190"/>
          <w:pgMar w:header="0" w:footer="748" w:top="1340" w:bottom="940" w:left="1180" w:right="0"/>
        </w:sectPr>
      </w:pPr>
    </w:p>
    <w:p>
      <w:pPr>
        <w:pStyle w:val="BodyText"/>
        <w:spacing w:before="18"/>
        <w:rPr>
          <w:b/>
          <w:sz w:val="32"/>
        </w:rPr>
      </w:pPr>
    </w:p>
    <w:p>
      <w:pPr>
        <w:spacing w:before="0"/>
        <w:ind w:left="151" w:right="0" w:firstLine="0"/>
        <w:jc w:val="left"/>
        <w:rPr>
          <w:sz w:val="23"/>
        </w:rPr>
      </w:pPr>
      <w:r>
        <w:rPr>
          <w:spacing w:val="-4"/>
          <w:sz w:val="23"/>
        </w:rPr>
        <w:t>Rifater </w:t>
      </w:r>
      <w:r>
        <w:rPr>
          <w:spacing w:val="-5"/>
          <w:sz w:val="23"/>
        </w:rPr>
        <w:t>(RFT)</w:t>
      </w:r>
    </w:p>
    <w:p>
      <w:pPr>
        <w:spacing w:line="381" w:lineRule="exact" w:before="267"/>
        <w:ind w:left="151" w:right="0" w:firstLine="0"/>
        <w:jc w:val="left"/>
        <w:rPr>
          <w:sz w:val="23"/>
        </w:rPr>
      </w:pPr>
      <w:r>
        <w:rPr/>
        <w:br w:type="column"/>
      </w:r>
      <w:r>
        <w:rPr>
          <w:sz w:val="23"/>
        </w:rPr>
        <w:t>肝、血液、</w:t>
      </w:r>
    </w:p>
    <w:p>
      <w:pPr>
        <w:spacing w:line="206" w:lineRule="auto" w:before="0"/>
        <w:ind w:left="151" w:right="0" w:firstLine="0"/>
        <w:jc w:val="left"/>
        <w:rPr>
          <w:sz w:val="23"/>
        </w:rPr>
      </w:pPr>
      <w:r>
        <w:rPr/>
        <w:pict>
          <v:shape style="position:absolute;margin-left:574.289001pt;margin-top:96.462105pt;width:16.650pt;height:5.55pt;mso-position-horizontal-relative:page;mso-position-vertical-relative:paragraph;z-index:251766784"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z w:val="23"/>
        </w:rPr>
        <w:t>胃腸不適、 </w:t>
      </w:r>
      <w:r>
        <w:rPr>
          <w:position w:val="-16"/>
          <w:sz w:val="23"/>
        </w:rPr>
        <w:t>口服</w:t>
      </w:r>
    </w:p>
    <w:p>
      <w:pPr>
        <w:pStyle w:val="ListParagraph"/>
        <w:numPr>
          <w:ilvl w:val="0"/>
          <w:numId w:val="88"/>
        </w:numPr>
        <w:tabs>
          <w:tab w:pos="454" w:val="left" w:leader="none"/>
        </w:tabs>
        <w:spacing w:line="199" w:lineRule="auto" w:before="29" w:after="0"/>
        <w:ind w:left="461" w:right="1350" w:hanging="310"/>
        <w:jc w:val="left"/>
        <w:rPr>
          <w:sz w:val="23"/>
        </w:rPr>
      </w:pPr>
      <w:r>
        <w:rPr>
          <w:spacing w:val="1"/>
          <w:w w:val="100"/>
          <w:sz w:val="23"/>
        </w:rPr>
        <w:br w:type="column"/>
      </w:r>
      <w:r>
        <w:rPr>
          <w:sz w:val="23"/>
        </w:rPr>
        <w:t>成人依體重每增加10kg</w:t>
      </w:r>
      <w:r>
        <w:rPr>
          <w:spacing w:val="-6"/>
          <w:sz w:val="23"/>
        </w:rPr>
        <w:t>，加</w:t>
      </w:r>
      <w:r>
        <w:rPr>
          <w:sz w:val="23"/>
        </w:rPr>
        <w:t>服1</w:t>
      </w:r>
      <w:r>
        <w:rPr>
          <w:spacing w:val="6"/>
          <w:sz w:val="23"/>
        </w:rPr>
        <w:t> 錠，每日最多</w:t>
      </w:r>
      <w:r>
        <w:rPr>
          <w:sz w:val="23"/>
        </w:rPr>
        <w:t>5錠。</w:t>
      </w:r>
    </w:p>
    <w:p>
      <w:pPr>
        <w:pStyle w:val="ListParagraph"/>
        <w:numPr>
          <w:ilvl w:val="0"/>
          <w:numId w:val="88"/>
        </w:numPr>
        <w:tabs>
          <w:tab w:pos="457" w:val="left" w:leader="none"/>
        </w:tabs>
        <w:spacing w:line="369" w:lineRule="exact" w:before="0" w:after="0"/>
        <w:ind w:left="456" w:right="0" w:hanging="306"/>
        <w:jc w:val="left"/>
        <w:rPr>
          <w:sz w:val="23"/>
        </w:rPr>
      </w:pPr>
      <w:r>
        <w:rPr/>
        <w:pict>
          <v:shape style="position:absolute;margin-left:574.289001pt;margin-top:-4.841162pt;width:16.650pt;height:5.55pt;mso-position-horizontal-relative:page;mso-position-vertical-relative:paragraph;z-index:251767808"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pict>
          <v:shape style="position:absolute;margin-left:64.5pt;margin-top:15.207915pt;width:482.7pt;height:449pt;mso-position-horizontal-relative:page;mso-position-vertical-relative:paragraph;z-index:25176883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56"/>
                    <w:gridCol w:w="350"/>
                    <w:gridCol w:w="2948"/>
                  </w:tblGrid>
                  <w:tr>
                    <w:trPr>
                      <w:trHeight w:val="992" w:hRule="atLeast"/>
                    </w:trPr>
                    <w:tc>
                      <w:tcPr>
                        <w:tcW w:w="6356" w:type="dxa"/>
                        <w:tcBorders>
                          <w:bottom w:val="single" w:sz="4" w:space="0" w:color="000000"/>
                        </w:tcBorders>
                      </w:tcPr>
                      <w:p>
                        <w:pPr>
                          <w:pStyle w:val="TableParagraph"/>
                          <w:spacing w:line="292" w:lineRule="exact"/>
                          <w:ind w:left="41"/>
                          <w:rPr>
                            <w:sz w:val="23"/>
                          </w:rPr>
                        </w:pPr>
                        <w:r>
                          <w:rPr>
                            <w:sz w:val="23"/>
                          </w:rPr>
                          <w:t>(RMP 120 mg + INH 80 mg+PZA 250 mg)  皮膚敏感、</w:t>
                        </w:r>
                      </w:p>
                      <w:p>
                        <w:pPr>
                          <w:pStyle w:val="TableParagraph"/>
                          <w:spacing w:line="382" w:lineRule="exact"/>
                          <w:ind w:left="4449"/>
                          <w:rPr>
                            <w:sz w:val="23"/>
                          </w:rPr>
                        </w:pPr>
                        <w:r>
                          <w:rPr>
                            <w:sz w:val="23"/>
                          </w:rPr>
                          <w:t>高尿酸</w:t>
                        </w:r>
                      </w:p>
                    </w:tc>
                    <w:tc>
                      <w:tcPr>
                        <w:tcW w:w="350" w:type="dxa"/>
                        <w:tcBorders>
                          <w:bottom w:val="single" w:sz="4" w:space="0" w:color="000000"/>
                        </w:tcBorders>
                      </w:tcPr>
                      <w:p>
                        <w:pPr>
                          <w:pStyle w:val="TableParagraph"/>
                          <w:rPr>
                            <w:rFonts w:ascii="Times New Roman"/>
                            <w:sz w:val="22"/>
                          </w:rPr>
                        </w:pPr>
                      </w:p>
                    </w:tc>
                    <w:tc>
                      <w:tcPr>
                        <w:tcW w:w="2948" w:type="dxa"/>
                        <w:tcBorders>
                          <w:bottom w:val="single" w:sz="4" w:space="0" w:color="000000"/>
                        </w:tcBorders>
                      </w:tcPr>
                      <w:p>
                        <w:pPr>
                          <w:pStyle w:val="TableParagraph"/>
                          <w:spacing w:line="199" w:lineRule="auto" w:before="44"/>
                          <w:ind w:left="63" w:right="48"/>
                          <w:rPr>
                            <w:sz w:val="23"/>
                          </w:rPr>
                        </w:pPr>
                        <w:r>
                          <w:rPr>
                            <w:spacing w:val="-8"/>
                            <w:sz w:val="23"/>
                          </w:rPr>
                          <w:t>人，不建議使用</w:t>
                        </w:r>
                        <w:r>
                          <w:rPr>
                            <w:spacing w:val="-13"/>
                            <w:sz w:val="23"/>
                          </w:rPr>
                          <w:t>RFT</w:t>
                        </w:r>
                        <w:r>
                          <w:rPr>
                            <w:spacing w:val="-7"/>
                            <w:sz w:val="23"/>
                          </w:rPr>
                          <w:t>，需單方</w:t>
                        </w:r>
                        <w:r>
                          <w:rPr>
                            <w:sz w:val="23"/>
                          </w:rPr>
                          <w:t>開立並依體重調整劑量。</w:t>
                        </w:r>
                      </w:p>
                    </w:tc>
                  </w:tr>
                  <w:tr>
                    <w:trPr>
                      <w:trHeight w:val="433" w:hRule="atLeast"/>
                    </w:trPr>
                    <w:tc>
                      <w:tcPr>
                        <w:tcW w:w="6356" w:type="dxa"/>
                        <w:tcBorders>
                          <w:top w:val="single" w:sz="4" w:space="0" w:color="000000"/>
                        </w:tcBorders>
                      </w:tcPr>
                      <w:p>
                        <w:pPr>
                          <w:pStyle w:val="TableParagraph"/>
                          <w:rPr>
                            <w:rFonts w:ascii="Times New Roman"/>
                            <w:sz w:val="22"/>
                          </w:rPr>
                        </w:pPr>
                      </w:p>
                    </w:tc>
                    <w:tc>
                      <w:tcPr>
                        <w:tcW w:w="350" w:type="dxa"/>
                        <w:tcBorders>
                          <w:top w:val="single" w:sz="4" w:space="0" w:color="000000"/>
                        </w:tcBorders>
                      </w:tcPr>
                      <w:p>
                        <w:pPr>
                          <w:pStyle w:val="TableParagraph"/>
                          <w:spacing w:line="366" w:lineRule="exact" w:before="48"/>
                          <w:ind w:left="82" w:right="39"/>
                          <w:jc w:val="center"/>
                          <w:rPr>
                            <w:sz w:val="23"/>
                          </w:rPr>
                        </w:pPr>
                        <w:r>
                          <w:rPr>
                            <w:sz w:val="23"/>
                          </w:rPr>
                          <w:t>1.</w:t>
                        </w:r>
                      </w:p>
                    </w:tc>
                    <w:tc>
                      <w:tcPr>
                        <w:tcW w:w="2948" w:type="dxa"/>
                        <w:tcBorders>
                          <w:top w:val="single" w:sz="4" w:space="0" w:color="000000"/>
                        </w:tcBorders>
                      </w:tcPr>
                      <w:p>
                        <w:pPr>
                          <w:pStyle w:val="TableParagraph"/>
                          <w:spacing w:line="366" w:lineRule="exact" w:before="48"/>
                          <w:ind w:left="60"/>
                          <w:rPr>
                            <w:sz w:val="23"/>
                          </w:rPr>
                        </w:pPr>
                        <w:r>
                          <w:rPr>
                            <w:sz w:val="23"/>
                          </w:rPr>
                          <w:t>依體重分級，30-37Kg者每</w:t>
                        </w:r>
                      </w:p>
                    </w:tc>
                  </w:tr>
                  <w:tr>
                    <w:trPr>
                      <w:trHeight w:val="349" w:hRule="atLeast"/>
                    </w:trPr>
                    <w:tc>
                      <w:tcPr>
                        <w:tcW w:w="6356" w:type="dxa"/>
                      </w:tcPr>
                      <w:p>
                        <w:pPr>
                          <w:pStyle w:val="TableParagraph"/>
                          <w:rPr>
                            <w:rFonts w:ascii="Times New Roman"/>
                            <w:sz w:val="22"/>
                          </w:rPr>
                        </w:pPr>
                      </w:p>
                    </w:tc>
                    <w:tc>
                      <w:tcPr>
                        <w:tcW w:w="350" w:type="dxa"/>
                      </w:tcPr>
                      <w:p>
                        <w:pPr>
                          <w:pStyle w:val="TableParagraph"/>
                          <w:rPr>
                            <w:rFonts w:ascii="Times New Roman"/>
                            <w:sz w:val="22"/>
                          </w:rPr>
                        </w:pPr>
                      </w:p>
                    </w:tc>
                    <w:tc>
                      <w:tcPr>
                        <w:tcW w:w="2948" w:type="dxa"/>
                      </w:tcPr>
                      <w:p>
                        <w:pPr>
                          <w:pStyle w:val="TableParagraph"/>
                          <w:spacing w:line="330" w:lineRule="exact"/>
                          <w:ind w:left="62"/>
                          <w:rPr>
                            <w:sz w:val="23"/>
                          </w:rPr>
                        </w:pPr>
                        <w:r>
                          <w:rPr>
                            <w:sz w:val="23"/>
                          </w:rPr>
                          <w:t>日口服2</w:t>
                        </w:r>
                        <w:r>
                          <w:rPr>
                            <w:spacing w:val="-19"/>
                            <w:sz w:val="23"/>
                          </w:rPr>
                          <w:t>錠，</w:t>
                        </w:r>
                        <w:r>
                          <w:rPr>
                            <w:spacing w:val="-5"/>
                            <w:sz w:val="23"/>
                          </w:rPr>
                          <w:t>38-54Kg</w:t>
                        </w:r>
                        <w:r>
                          <w:rPr>
                            <w:sz w:val="23"/>
                          </w:rPr>
                          <w:t>者每日</w:t>
                        </w:r>
                      </w:p>
                    </w:tc>
                  </w:tr>
                  <w:tr>
                    <w:trPr>
                      <w:trHeight w:val="350" w:hRule="atLeast"/>
                    </w:trPr>
                    <w:tc>
                      <w:tcPr>
                        <w:tcW w:w="6356" w:type="dxa"/>
                      </w:tcPr>
                      <w:p>
                        <w:pPr>
                          <w:pStyle w:val="TableParagraph"/>
                          <w:rPr>
                            <w:rFonts w:ascii="Times New Roman"/>
                            <w:sz w:val="22"/>
                          </w:rPr>
                        </w:pPr>
                      </w:p>
                    </w:tc>
                    <w:tc>
                      <w:tcPr>
                        <w:tcW w:w="350" w:type="dxa"/>
                      </w:tcPr>
                      <w:p>
                        <w:pPr>
                          <w:pStyle w:val="TableParagraph"/>
                          <w:rPr>
                            <w:rFonts w:ascii="Times New Roman"/>
                            <w:sz w:val="22"/>
                          </w:rPr>
                        </w:pPr>
                      </w:p>
                    </w:tc>
                    <w:tc>
                      <w:tcPr>
                        <w:tcW w:w="2948" w:type="dxa"/>
                      </w:tcPr>
                      <w:p>
                        <w:pPr>
                          <w:pStyle w:val="TableParagraph"/>
                          <w:spacing w:line="330" w:lineRule="exact"/>
                          <w:ind w:left="62"/>
                          <w:rPr>
                            <w:sz w:val="23"/>
                          </w:rPr>
                        </w:pPr>
                        <w:r>
                          <w:rPr>
                            <w:sz w:val="23"/>
                          </w:rPr>
                          <w:t>3 錠（50Kg以上，可考慮依</w:t>
                        </w:r>
                      </w:p>
                    </w:tc>
                  </w:tr>
                  <w:tr>
                    <w:trPr>
                      <w:trHeight w:val="349" w:hRule="atLeast"/>
                    </w:trPr>
                    <w:tc>
                      <w:tcPr>
                        <w:tcW w:w="6356" w:type="dxa"/>
                      </w:tcPr>
                      <w:p>
                        <w:pPr>
                          <w:pStyle w:val="TableParagraph"/>
                          <w:spacing w:line="330" w:lineRule="exact"/>
                          <w:ind w:right="753"/>
                          <w:jc w:val="right"/>
                          <w:rPr>
                            <w:sz w:val="23"/>
                          </w:rPr>
                        </w:pPr>
                        <w:r>
                          <w:rPr>
                            <w:sz w:val="23"/>
                          </w:rPr>
                          <w:t>肝、血液、</w:t>
                        </w:r>
                      </w:p>
                    </w:tc>
                    <w:tc>
                      <w:tcPr>
                        <w:tcW w:w="350" w:type="dxa"/>
                      </w:tcPr>
                      <w:p>
                        <w:pPr>
                          <w:pStyle w:val="TableParagraph"/>
                          <w:rPr>
                            <w:rFonts w:ascii="Times New Roman"/>
                            <w:sz w:val="22"/>
                          </w:rPr>
                        </w:pPr>
                      </w:p>
                    </w:tc>
                    <w:tc>
                      <w:tcPr>
                        <w:tcW w:w="2948" w:type="dxa"/>
                      </w:tcPr>
                      <w:p>
                        <w:pPr>
                          <w:pStyle w:val="TableParagraph"/>
                          <w:spacing w:line="330" w:lineRule="exact"/>
                          <w:ind w:left="62"/>
                          <w:rPr>
                            <w:sz w:val="23"/>
                          </w:rPr>
                        </w:pPr>
                        <w:r>
                          <w:rPr>
                            <w:sz w:val="23"/>
                          </w:rPr>
                          <w:t>病人肝腎功能調整至每日4</w:t>
                        </w:r>
                      </w:p>
                    </w:tc>
                  </w:tr>
                  <w:tr>
                    <w:trPr>
                      <w:trHeight w:val="700" w:hRule="atLeast"/>
                    </w:trPr>
                    <w:tc>
                      <w:tcPr>
                        <w:tcW w:w="6356" w:type="dxa"/>
                      </w:tcPr>
                      <w:p>
                        <w:pPr>
                          <w:pStyle w:val="TableParagraph"/>
                          <w:tabs>
                            <w:tab w:pos="4449" w:val="left" w:leader="none"/>
                          </w:tabs>
                          <w:spacing w:line="340" w:lineRule="exact"/>
                          <w:ind w:left="41"/>
                          <w:rPr>
                            <w:sz w:val="23"/>
                          </w:rPr>
                        </w:pPr>
                        <w:r>
                          <w:rPr>
                            <w:spacing w:val="-5"/>
                            <w:sz w:val="23"/>
                          </w:rPr>
                          <w:t>AKuriT-4 (</w:t>
                        </w:r>
                        <w:r>
                          <w:rPr>
                            <w:spacing w:val="-4"/>
                            <w:sz w:val="23"/>
                          </w:rPr>
                          <w:t>AKT-4)/ Trac </w:t>
                        </w:r>
                        <w:r>
                          <w:rPr>
                            <w:sz w:val="23"/>
                          </w:rPr>
                          <w:t>4 </w:t>
                        </w:r>
                        <w:r>
                          <w:rPr>
                            <w:spacing w:val="-5"/>
                            <w:sz w:val="23"/>
                          </w:rPr>
                          <w:t>tablets</w:t>
                        </w:r>
                        <w:r>
                          <w:rPr>
                            <w:spacing w:val="-12"/>
                            <w:sz w:val="23"/>
                          </w:rPr>
                          <w:t> (</w:t>
                        </w:r>
                        <w:r>
                          <w:rPr>
                            <w:spacing w:val="-4"/>
                            <w:sz w:val="23"/>
                          </w:rPr>
                          <w:t>Trac</w:t>
                        </w:r>
                        <w:r>
                          <w:rPr>
                            <w:spacing w:val="-6"/>
                            <w:sz w:val="23"/>
                          </w:rPr>
                          <w:t> </w:t>
                        </w:r>
                        <w:r>
                          <w:rPr>
                            <w:spacing w:val="-3"/>
                            <w:sz w:val="23"/>
                          </w:rPr>
                          <w:t>4)</w:t>
                          <w:tab/>
                        </w:r>
                        <w:r>
                          <w:rPr>
                            <w:sz w:val="23"/>
                          </w:rPr>
                          <w:t>胃腸不適、</w:t>
                        </w:r>
                      </w:p>
                      <w:p>
                        <w:pPr>
                          <w:pStyle w:val="TableParagraph"/>
                          <w:tabs>
                            <w:tab w:pos="4449" w:val="left" w:leader="none"/>
                          </w:tabs>
                          <w:spacing w:line="340" w:lineRule="exact"/>
                          <w:ind w:left="41"/>
                          <w:rPr>
                            <w:sz w:val="23"/>
                          </w:rPr>
                        </w:pPr>
                        <w:r>
                          <w:rPr>
                            <w:spacing w:val="-4"/>
                            <w:sz w:val="23"/>
                          </w:rPr>
                          <w:t>(RMP 150 </w:t>
                        </w:r>
                        <w:r>
                          <w:rPr>
                            <w:spacing w:val="-3"/>
                            <w:sz w:val="23"/>
                          </w:rPr>
                          <w:t>mg</w:t>
                        </w:r>
                        <w:r>
                          <w:rPr>
                            <w:spacing w:val="-2"/>
                            <w:sz w:val="23"/>
                          </w:rPr>
                          <w:t> + </w:t>
                        </w:r>
                        <w:r>
                          <w:rPr>
                            <w:spacing w:val="-4"/>
                            <w:sz w:val="23"/>
                          </w:rPr>
                          <w:t>INH </w:t>
                        </w:r>
                        <w:r>
                          <w:rPr>
                            <w:spacing w:val="-3"/>
                            <w:sz w:val="23"/>
                          </w:rPr>
                          <w:t>75 mg</w:t>
                        </w:r>
                        <w:r>
                          <w:rPr>
                            <w:spacing w:val="-13"/>
                            <w:sz w:val="23"/>
                          </w:rPr>
                          <w:t> + </w:t>
                        </w:r>
                        <w:r>
                          <w:rPr>
                            <w:spacing w:val="-4"/>
                            <w:sz w:val="23"/>
                          </w:rPr>
                          <w:t>PZA</w:t>
                        </w:r>
                        <w:r>
                          <w:rPr>
                            <w:spacing w:val="-7"/>
                            <w:sz w:val="23"/>
                          </w:rPr>
                          <w:t> </w:t>
                        </w:r>
                        <w:r>
                          <w:rPr>
                            <w:spacing w:val="-4"/>
                            <w:sz w:val="23"/>
                          </w:rPr>
                          <w:t>400</w:t>
                          <w:tab/>
                        </w:r>
                        <w:r>
                          <w:rPr>
                            <w:spacing w:val="1"/>
                            <w:sz w:val="23"/>
                          </w:rPr>
                          <w:t>皮膚敏感、 口服</w:t>
                        </w:r>
                      </w:p>
                    </w:tc>
                    <w:tc>
                      <w:tcPr>
                        <w:tcW w:w="350" w:type="dxa"/>
                      </w:tcPr>
                      <w:p>
                        <w:pPr>
                          <w:pStyle w:val="TableParagraph"/>
                          <w:rPr>
                            <w:rFonts w:ascii="Times New Roman"/>
                            <w:sz w:val="22"/>
                          </w:rPr>
                        </w:pPr>
                      </w:p>
                    </w:tc>
                    <w:tc>
                      <w:tcPr>
                        <w:tcW w:w="2948" w:type="dxa"/>
                      </w:tcPr>
                      <w:p>
                        <w:pPr>
                          <w:pStyle w:val="TableParagraph"/>
                          <w:spacing w:line="350" w:lineRule="exact"/>
                          <w:ind w:left="62"/>
                          <w:rPr>
                            <w:sz w:val="23"/>
                          </w:rPr>
                        </w:pPr>
                        <w:r>
                          <w:rPr>
                            <w:spacing w:val="21"/>
                            <w:sz w:val="23"/>
                          </w:rPr>
                          <w:t>錠</w:t>
                        </w:r>
                        <w:r>
                          <w:rPr>
                            <w:spacing w:val="10"/>
                            <w:sz w:val="23"/>
                          </w:rPr>
                          <w:t>）</w:t>
                        </w:r>
                        <w:r>
                          <w:rPr>
                            <w:spacing w:val="-13"/>
                            <w:sz w:val="23"/>
                          </w:rPr>
                          <w:t>， </w:t>
                        </w:r>
                        <w:r>
                          <w:rPr>
                            <w:sz w:val="23"/>
                          </w:rPr>
                          <w:t>55-70Kg</w:t>
                        </w:r>
                        <w:r>
                          <w:rPr>
                            <w:spacing w:val="14"/>
                            <w:sz w:val="23"/>
                          </w:rPr>
                          <w:t>  者每日  </w:t>
                        </w:r>
                        <w:r>
                          <w:rPr>
                            <w:sz w:val="23"/>
                          </w:rPr>
                          <w:t>4</w:t>
                        </w:r>
                      </w:p>
                      <w:p>
                        <w:pPr>
                          <w:pStyle w:val="TableParagraph"/>
                          <w:spacing w:line="330" w:lineRule="exact"/>
                          <w:ind w:left="63"/>
                          <w:rPr>
                            <w:sz w:val="23"/>
                          </w:rPr>
                        </w:pPr>
                        <w:r>
                          <w:rPr>
                            <w:spacing w:val="5"/>
                            <w:sz w:val="23"/>
                          </w:rPr>
                          <w:t>錠，</w:t>
                        </w:r>
                        <w:r>
                          <w:rPr>
                            <w:rFonts w:ascii="Arial" w:hAnsi="Arial" w:eastAsia="Arial"/>
                            <w:spacing w:val="2"/>
                            <w:sz w:val="24"/>
                          </w:rPr>
                          <w:t>≥</w:t>
                        </w:r>
                        <w:r>
                          <w:rPr>
                            <w:spacing w:val="2"/>
                            <w:sz w:val="23"/>
                          </w:rPr>
                          <w:t>71Kg</w:t>
                        </w:r>
                        <w:r>
                          <w:rPr>
                            <w:spacing w:val="6"/>
                            <w:sz w:val="23"/>
                          </w:rPr>
                          <w:t>者可考慮投與每</w:t>
                        </w:r>
                      </w:p>
                    </w:tc>
                  </w:tr>
                  <w:tr>
                    <w:trPr>
                      <w:trHeight w:val="349" w:hRule="atLeast"/>
                    </w:trPr>
                    <w:tc>
                      <w:tcPr>
                        <w:tcW w:w="6356" w:type="dxa"/>
                      </w:tcPr>
                      <w:p>
                        <w:pPr>
                          <w:pStyle w:val="TableParagraph"/>
                          <w:tabs>
                            <w:tab w:pos="4449" w:val="left" w:leader="none"/>
                          </w:tabs>
                          <w:spacing w:line="330" w:lineRule="exact"/>
                          <w:ind w:left="41"/>
                          <w:rPr>
                            <w:sz w:val="23"/>
                          </w:rPr>
                        </w:pPr>
                        <w:r>
                          <w:rPr>
                            <w:spacing w:val="-3"/>
                            <w:sz w:val="23"/>
                          </w:rPr>
                          <w:t>mg</w:t>
                        </w:r>
                        <w:r>
                          <w:rPr>
                            <w:spacing w:val="-2"/>
                            <w:sz w:val="23"/>
                          </w:rPr>
                          <w:t> + </w:t>
                        </w:r>
                        <w:r>
                          <w:rPr>
                            <w:spacing w:val="-3"/>
                            <w:sz w:val="23"/>
                          </w:rPr>
                          <w:t>EMB</w:t>
                        </w:r>
                        <w:r>
                          <w:rPr>
                            <w:spacing w:val="-23"/>
                            <w:sz w:val="23"/>
                          </w:rPr>
                          <w:t> </w:t>
                        </w:r>
                        <w:r>
                          <w:rPr>
                            <w:spacing w:val="-3"/>
                            <w:sz w:val="23"/>
                          </w:rPr>
                          <w:t>275</w:t>
                        </w:r>
                        <w:r>
                          <w:rPr>
                            <w:spacing w:val="-8"/>
                            <w:sz w:val="23"/>
                          </w:rPr>
                          <w:t> </w:t>
                        </w:r>
                        <w:r>
                          <w:rPr>
                            <w:spacing w:val="-4"/>
                            <w:sz w:val="23"/>
                          </w:rPr>
                          <w:t>mg)</w:t>
                          <w:tab/>
                        </w:r>
                        <w:r>
                          <w:rPr>
                            <w:sz w:val="23"/>
                          </w:rPr>
                          <w:t>高尿酸、</w:t>
                        </w:r>
                      </w:p>
                    </w:tc>
                    <w:tc>
                      <w:tcPr>
                        <w:tcW w:w="350" w:type="dxa"/>
                      </w:tcPr>
                      <w:p>
                        <w:pPr>
                          <w:pStyle w:val="TableParagraph"/>
                          <w:rPr>
                            <w:rFonts w:ascii="Times New Roman"/>
                            <w:sz w:val="22"/>
                          </w:rPr>
                        </w:pPr>
                      </w:p>
                    </w:tc>
                    <w:tc>
                      <w:tcPr>
                        <w:tcW w:w="2948" w:type="dxa"/>
                      </w:tcPr>
                      <w:p>
                        <w:pPr>
                          <w:pStyle w:val="TableParagraph"/>
                          <w:spacing w:line="330" w:lineRule="exact"/>
                          <w:ind w:left="63"/>
                          <w:rPr>
                            <w:sz w:val="23"/>
                          </w:rPr>
                        </w:pPr>
                        <w:r>
                          <w:rPr>
                            <w:sz w:val="23"/>
                          </w:rPr>
                          <w:t>日 5 錠 。</w:t>
                        </w:r>
                      </w:p>
                    </w:tc>
                  </w:tr>
                  <w:tr>
                    <w:trPr>
                      <w:trHeight w:val="349" w:hRule="atLeast"/>
                    </w:trPr>
                    <w:tc>
                      <w:tcPr>
                        <w:tcW w:w="6356" w:type="dxa"/>
                      </w:tcPr>
                      <w:p>
                        <w:pPr>
                          <w:pStyle w:val="TableParagraph"/>
                          <w:spacing w:line="330" w:lineRule="exact"/>
                          <w:ind w:right="982"/>
                          <w:jc w:val="right"/>
                          <w:rPr>
                            <w:sz w:val="23"/>
                          </w:rPr>
                        </w:pPr>
                        <w:r>
                          <w:rPr>
                            <w:sz w:val="23"/>
                          </w:rPr>
                          <w:t>視神經炎</w:t>
                        </w:r>
                      </w:p>
                    </w:tc>
                    <w:tc>
                      <w:tcPr>
                        <w:tcW w:w="350" w:type="dxa"/>
                      </w:tcPr>
                      <w:p>
                        <w:pPr>
                          <w:pStyle w:val="TableParagraph"/>
                          <w:spacing w:line="330" w:lineRule="exact"/>
                          <w:ind w:left="82" w:right="39"/>
                          <w:jc w:val="center"/>
                          <w:rPr>
                            <w:sz w:val="23"/>
                          </w:rPr>
                        </w:pPr>
                        <w:r>
                          <w:rPr>
                            <w:sz w:val="23"/>
                          </w:rPr>
                          <w:t>2.</w:t>
                        </w:r>
                      </w:p>
                    </w:tc>
                    <w:tc>
                      <w:tcPr>
                        <w:tcW w:w="2948" w:type="dxa"/>
                      </w:tcPr>
                      <w:p>
                        <w:pPr>
                          <w:pStyle w:val="TableParagraph"/>
                          <w:spacing w:line="330" w:lineRule="exact"/>
                          <w:ind w:left="66"/>
                          <w:rPr>
                            <w:sz w:val="23"/>
                          </w:rPr>
                        </w:pPr>
                        <w:r>
                          <w:rPr>
                            <w:sz w:val="23"/>
                          </w:rPr>
                          <w:t>依體重每日劑量超過5錠或</w:t>
                        </w:r>
                      </w:p>
                    </w:tc>
                  </w:tr>
                  <w:tr>
                    <w:trPr>
                      <w:trHeight w:val="350" w:hRule="atLeast"/>
                    </w:trPr>
                    <w:tc>
                      <w:tcPr>
                        <w:tcW w:w="6356" w:type="dxa"/>
                      </w:tcPr>
                      <w:p>
                        <w:pPr>
                          <w:pStyle w:val="TableParagraph"/>
                          <w:rPr>
                            <w:rFonts w:ascii="Times New Roman"/>
                            <w:sz w:val="22"/>
                          </w:rPr>
                        </w:pPr>
                      </w:p>
                    </w:tc>
                    <w:tc>
                      <w:tcPr>
                        <w:tcW w:w="350" w:type="dxa"/>
                      </w:tcPr>
                      <w:p>
                        <w:pPr>
                          <w:pStyle w:val="TableParagraph"/>
                          <w:rPr>
                            <w:rFonts w:ascii="Times New Roman"/>
                            <w:sz w:val="22"/>
                          </w:rPr>
                        </w:pPr>
                      </w:p>
                    </w:tc>
                    <w:tc>
                      <w:tcPr>
                        <w:tcW w:w="2948" w:type="dxa"/>
                      </w:tcPr>
                      <w:p>
                        <w:pPr>
                          <w:pStyle w:val="TableParagraph"/>
                          <w:spacing w:line="330" w:lineRule="exact"/>
                          <w:ind w:left="63"/>
                          <w:rPr>
                            <w:sz w:val="23"/>
                          </w:rPr>
                        </w:pPr>
                        <w:r>
                          <w:rPr>
                            <w:sz w:val="23"/>
                          </w:rPr>
                          <w:t>體重小於30公斤的病人不建</w:t>
                        </w:r>
                      </w:p>
                    </w:tc>
                  </w:tr>
                  <w:tr>
                    <w:trPr>
                      <w:trHeight w:val="350" w:hRule="atLeast"/>
                    </w:trPr>
                    <w:tc>
                      <w:tcPr>
                        <w:tcW w:w="6356" w:type="dxa"/>
                      </w:tcPr>
                      <w:p>
                        <w:pPr>
                          <w:pStyle w:val="TableParagraph"/>
                          <w:rPr>
                            <w:rFonts w:ascii="Times New Roman"/>
                            <w:sz w:val="22"/>
                          </w:rPr>
                        </w:pPr>
                      </w:p>
                    </w:tc>
                    <w:tc>
                      <w:tcPr>
                        <w:tcW w:w="350" w:type="dxa"/>
                      </w:tcPr>
                      <w:p>
                        <w:pPr>
                          <w:pStyle w:val="TableParagraph"/>
                          <w:rPr>
                            <w:rFonts w:ascii="Times New Roman"/>
                            <w:sz w:val="22"/>
                          </w:rPr>
                        </w:pPr>
                      </w:p>
                    </w:tc>
                    <w:tc>
                      <w:tcPr>
                        <w:tcW w:w="2948" w:type="dxa"/>
                      </w:tcPr>
                      <w:p>
                        <w:pPr>
                          <w:pStyle w:val="TableParagraph"/>
                          <w:spacing w:line="330" w:lineRule="exact"/>
                          <w:ind w:left="63"/>
                          <w:rPr>
                            <w:sz w:val="23"/>
                          </w:rPr>
                        </w:pPr>
                        <w:r>
                          <w:rPr>
                            <w:sz w:val="23"/>
                          </w:rPr>
                          <w:t>議使用 AKT，須單方開立並</w:t>
                        </w:r>
                      </w:p>
                    </w:tc>
                  </w:tr>
                  <w:tr>
                    <w:trPr>
                      <w:trHeight w:val="385" w:hRule="atLeast"/>
                    </w:trPr>
                    <w:tc>
                      <w:tcPr>
                        <w:tcW w:w="6356" w:type="dxa"/>
                        <w:tcBorders>
                          <w:bottom w:val="single" w:sz="4" w:space="0" w:color="000000"/>
                        </w:tcBorders>
                      </w:tcPr>
                      <w:p>
                        <w:pPr>
                          <w:pStyle w:val="TableParagraph"/>
                          <w:rPr>
                            <w:rFonts w:ascii="Times New Roman"/>
                            <w:sz w:val="22"/>
                          </w:rPr>
                        </w:pPr>
                      </w:p>
                    </w:tc>
                    <w:tc>
                      <w:tcPr>
                        <w:tcW w:w="350" w:type="dxa"/>
                        <w:tcBorders>
                          <w:bottom w:val="single" w:sz="4" w:space="0" w:color="000000"/>
                        </w:tcBorders>
                      </w:tcPr>
                      <w:p>
                        <w:pPr>
                          <w:pStyle w:val="TableParagraph"/>
                          <w:rPr>
                            <w:rFonts w:ascii="Times New Roman"/>
                            <w:sz w:val="22"/>
                          </w:rPr>
                        </w:pPr>
                      </w:p>
                    </w:tc>
                    <w:tc>
                      <w:tcPr>
                        <w:tcW w:w="2948" w:type="dxa"/>
                        <w:tcBorders>
                          <w:bottom w:val="single" w:sz="4" w:space="0" w:color="000000"/>
                        </w:tcBorders>
                      </w:tcPr>
                      <w:p>
                        <w:pPr>
                          <w:pStyle w:val="TableParagraph"/>
                          <w:spacing w:line="366" w:lineRule="exact"/>
                          <w:ind w:left="63"/>
                          <w:rPr>
                            <w:sz w:val="23"/>
                          </w:rPr>
                        </w:pPr>
                        <w:r>
                          <w:rPr>
                            <w:sz w:val="23"/>
                          </w:rPr>
                          <w:t>依體重調整劑量。</w:t>
                        </w:r>
                      </w:p>
                    </w:tc>
                  </w:tr>
                  <w:tr>
                    <w:trPr>
                      <w:trHeight w:val="421" w:hRule="atLeast"/>
                    </w:trPr>
                    <w:tc>
                      <w:tcPr>
                        <w:tcW w:w="6356" w:type="dxa"/>
                        <w:tcBorders>
                          <w:top w:val="single" w:sz="4" w:space="0" w:color="000000"/>
                        </w:tcBorders>
                      </w:tcPr>
                      <w:p>
                        <w:pPr>
                          <w:pStyle w:val="TableParagraph"/>
                          <w:rPr>
                            <w:rFonts w:ascii="Times New Roman"/>
                            <w:sz w:val="22"/>
                          </w:rPr>
                        </w:pPr>
                      </w:p>
                    </w:tc>
                    <w:tc>
                      <w:tcPr>
                        <w:tcW w:w="350" w:type="dxa"/>
                        <w:tcBorders>
                          <w:top w:val="single" w:sz="4" w:space="0" w:color="000000"/>
                        </w:tcBorders>
                      </w:tcPr>
                      <w:p>
                        <w:pPr>
                          <w:pStyle w:val="TableParagraph"/>
                          <w:spacing w:line="367" w:lineRule="exact" w:before="34"/>
                          <w:ind w:left="82" w:right="40"/>
                          <w:jc w:val="center"/>
                          <w:rPr>
                            <w:sz w:val="23"/>
                          </w:rPr>
                        </w:pPr>
                        <w:r>
                          <w:rPr>
                            <w:sz w:val="23"/>
                          </w:rPr>
                          <w:t>1.</w:t>
                        </w:r>
                      </w:p>
                    </w:tc>
                    <w:tc>
                      <w:tcPr>
                        <w:tcW w:w="2948" w:type="dxa"/>
                        <w:tcBorders>
                          <w:top w:val="single" w:sz="4" w:space="0" w:color="000000"/>
                        </w:tcBorders>
                      </w:tcPr>
                      <w:p>
                        <w:pPr>
                          <w:pStyle w:val="TableParagraph"/>
                          <w:spacing w:line="367" w:lineRule="exact" w:before="34"/>
                          <w:ind w:left="60"/>
                          <w:rPr>
                            <w:sz w:val="23"/>
                          </w:rPr>
                        </w:pPr>
                        <w:r>
                          <w:rPr>
                            <w:sz w:val="23"/>
                          </w:rPr>
                          <w:t>依體重分級，30-37Kg者每</w:t>
                        </w:r>
                      </w:p>
                    </w:tc>
                  </w:tr>
                  <w:tr>
                    <w:trPr>
                      <w:trHeight w:val="349" w:hRule="atLeast"/>
                    </w:trPr>
                    <w:tc>
                      <w:tcPr>
                        <w:tcW w:w="6356" w:type="dxa"/>
                      </w:tcPr>
                      <w:p>
                        <w:pPr>
                          <w:pStyle w:val="TableParagraph"/>
                          <w:rPr>
                            <w:rFonts w:ascii="Times New Roman"/>
                            <w:sz w:val="22"/>
                          </w:rPr>
                        </w:pPr>
                      </w:p>
                    </w:tc>
                    <w:tc>
                      <w:tcPr>
                        <w:tcW w:w="350" w:type="dxa"/>
                      </w:tcPr>
                      <w:p>
                        <w:pPr>
                          <w:pStyle w:val="TableParagraph"/>
                          <w:rPr>
                            <w:rFonts w:ascii="Times New Roman"/>
                            <w:sz w:val="22"/>
                          </w:rPr>
                        </w:pPr>
                      </w:p>
                    </w:tc>
                    <w:tc>
                      <w:tcPr>
                        <w:tcW w:w="2948" w:type="dxa"/>
                      </w:tcPr>
                      <w:p>
                        <w:pPr>
                          <w:pStyle w:val="TableParagraph"/>
                          <w:spacing w:line="330" w:lineRule="exact"/>
                          <w:ind w:left="62"/>
                          <w:rPr>
                            <w:sz w:val="23"/>
                          </w:rPr>
                        </w:pPr>
                        <w:r>
                          <w:rPr>
                            <w:sz w:val="23"/>
                          </w:rPr>
                          <w:t>日口服2</w:t>
                        </w:r>
                        <w:r>
                          <w:rPr>
                            <w:spacing w:val="-19"/>
                            <w:sz w:val="23"/>
                          </w:rPr>
                          <w:t>錠，</w:t>
                        </w:r>
                        <w:r>
                          <w:rPr>
                            <w:spacing w:val="-5"/>
                            <w:sz w:val="23"/>
                          </w:rPr>
                          <w:t>38-54Kg</w:t>
                        </w:r>
                        <w:r>
                          <w:rPr>
                            <w:sz w:val="23"/>
                          </w:rPr>
                          <w:t>者每日</w:t>
                        </w:r>
                      </w:p>
                    </w:tc>
                  </w:tr>
                  <w:tr>
                    <w:trPr>
                      <w:trHeight w:val="349" w:hRule="atLeast"/>
                    </w:trPr>
                    <w:tc>
                      <w:tcPr>
                        <w:tcW w:w="6356" w:type="dxa"/>
                      </w:tcPr>
                      <w:p>
                        <w:pPr>
                          <w:pStyle w:val="TableParagraph"/>
                          <w:rPr>
                            <w:rFonts w:ascii="Times New Roman"/>
                            <w:sz w:val="22"/>
                          </w:rPr>
                        </w:pPr>
                      </w:p>
                    </w:tc>
                    <w:tc>
                      <w:tcPr>
                        <w:tcW w:w="350" w:type="dxa"/>
                      </w:tcPr>
                      <w:p>
                        <w:pPr>
                          <w:pStyle w:val="TableParagraph"/>
                          <w:rPr>
                            <w:rFonts w:ascii="Times New Roman"/>
                            <w:sz w:val="22"/>
                          </w:rPr>
                        </w:pPr>
                      </w:p>
                    </w:tc>
                    <w:tc>
                      <w:tcPr>
                        <w:tcW w:w="2948" w:type="dxa"/>
                      </w:tcPr>
                      <w:p>
                        <w:pPr>
                          <w:pStyle w:val="TableParagraph"/>
                          <w:spacing w:line="330" w:lineRule="exact"/>
                          <w:ind w:left="62"/>
                          <w:rPr>
                            <w:sz w:val="23"/>
                          </w:rPr>
                        </w:pPr>
                        <w:r>
                          <w:rPr>
                            <w:sz w:val="23"/>
                          </w:rPr>
                          <w:t>3</w:t>
                        </w:r>
                        <w:r>
                          <w:rPr>
                            <w:spacing w:val="-77"/>
                            <w:sz w:val="23"/>
                          </w:rPr>
                          <w:t>錠</w:t>
                        </w:r>
                        <w:r>
                          <w:rPr>
                            <w:sz w:val="23"/>
                          </w:rPr>
                          <w:t>（50Kg</w:t>
                        </w:r>
                        <w:r>
                          <w:rPr>
                            <w:spacing w:val="-12"/>
                            <w:sz w:val="23"/>
                          </w:rPr>
                          <w:t>以上，可考慮依病</w:t>
                        </w:r>
                      </w:p>
                    </w:tc>
                  </w:tr>
                  <w:tr>
                    <w:trPr>
                      <w:trHeight w:val="350" w:hRule="atLeast"/>
                    </w:trPr>
                    <w:tc>
                      <w:tcPr>
                        <w:tcW w:w="6356" w:type="dxa"/>
                      </w:tcPr>
                      <w:p>
                        <w:pPr>
                          <w:pStyle w:val="TableParagraph"/>
                          <w:spacing w:line="240" w:lineRule="exact"/>
                          <w:ind w:right="754"/>
                          <w:jc w:val="right"/>
                          <w:rPr>
                            <w:sz w:val="23"/>
                          </w:rPr>
                        </w:pPr>
                        <w:r>
                          <w:rPr>
                            <w:sz w:val="23"/>
                          </w:rPr>
                          <w:t>肝、血液、</w:t>
                        </w:r>
                      </w:p>
                    </w:tc>
                    <w:tc>
                      <w:tcPr>
                        <w:tcW w:w="350" w:type="dxa"/>
                      </w:tcPr>
                      <w:p>
                        <w:pPr>
                          <w:pStyle w:val="TableParagraph"/>
                          <w:rPr>
                            <w:rFonts w:ascii="Times New Roman"/>
                            <w:sz w:val="22"/>
                          </w:rPr>
                        </w:pPr>
                      </w:p>
                    </w:tc>
                    <w:tc>
                      <w:tcPr>
                        <w:tcW w:w="2948" w:type="dxa"/>
                      </w:tcPr>
                      <w:p>
                        <w:pPr>
                          <w:pStyle w:val="TableParagraph"/>
                          <w:spacing w:line="330" w:lineRule="exact"/>
                          <w:ind w:left="63"/>
                          <w:rPr>
                            <w:sz w:val="23"/>
                          </w:rPr>
                        </w:pPr>
                        <w:r>
                          <w:rPr>
                            <w:sz w:val="23"/>
                          </w:rPr>
                          <w:t>人肝腎功能調整至每日4</w:t>
                        </w:r>
                      </w:p>
                    </w:tc>
                  </w:tr>
                  <w:tr>
                    <w:trPr>
                      <w:trHeight w:val="349" w:hRule="atLeast"/>
                    </w:trPr>
                    <w:tc>
                      <w:tcPr>
                        <w:tcW w:w="6356" w:type="dxa"/>
                      </w:tcPr>
                      <w:p>
                        <w:pPr>
                          <w:pStyle w:val="TableParagraph"/>
                          <w:spacing w:line="188" w:lineRule="exact"/>
                          <w:ind w:right="754"/>
                          <w:jc w:val="right"/>
                          <w:rPr>
                            <w:sz w:val="23"/>
                          </w:rPr>
                        </w:pPr>
                        <w:r>
                          <w:rPr>
                            <w:spacing w:val="-1"/>
                            <w:sz w:val="23"/>
                          </w:rPr>
                          <w:t>胃腸不適、</w:t>
                        </w:r>
                      </w:p>
                      <w:p>
                        <w:pPr>
                          <w:pStyle w:val="TableParagraph"/>
                          <w:tabs>
                            <w:tab w:pos="4407" w:val="left" w:leader="none"/>
                          </w:tabs>
                          <w:spacing w:line="142" w:lineRule="exact"/>
                          <w:ind w:right="754"/>
                          <w:jc w:val="right"/>
                          <w:rPr>
                            <w:sz w:val="23"/>
                          </w:rPr>
                        </w:pPr>
                        <w:r>
                          <w:rPr>
                            <w:spacing w:val="-5"/>
                            <w:sz w:val="23"/>
                          </w:rPr>
                          <w:t>AKuriT-3 (</w:t>
                        </w:r>
                        <w:r>
                          <w:rPr>
                            <w:spacing w:val="-4"/>
                            <w:sz w:val="23"/>
                          </w:rPr>
                          <w:t>AKT-3)/ Trac </w:t>
                        </w:r>
                        <w:r>
                          <w:rPr>
                            <w:sz w:val="23"/>
                          </w:rPr>
                          <w:t>3 </w:t>
                        </w:r>
                        <w:r>
                          <w:rPr>
                            <w:spacing w:val="-5"/>
                            <w:sz w:val="23"/>
                          </w:rPr>
                          <w:t>tablets</w:t>
                        </w:r>
                        <w:r>
                          <w:rPr>
                            <w:spacing w:val="-12"/>
                            <w:sz w:val="23"/>
                          </w:rPr>
                          <w:t> (</w:t>
                        </w:r>
                        <w:r>
                          <w:rPr>
                            <w:spacing w:val="-4"/>
                            <w:sz w:val="23"/>
                          </w:rPr>
                          <w:t>Trac</w:t>
                        </w:r>
                        <w:r>
                          <w:rPr>
                            <w:spacing w:val="-6"/>
                            <w:sz w:val="23"/>
                          </w:rPr>
                          <w:t> </w:t>
                        </w:r>
                        <w:r>
                          <w:rPr>
                            <w:spacing w:val="-3"/>
                            <w:sz w:val="23"/>
                          </w:rPr>
                          <w:t>3)</w:t>
                          <w:tab/>
                        </w:r>
                        <w:r>
                          <w:rPr>
                            <w:spacing w:val="-1"/>
                            <w:sz w:val="23"/>
                          </w:rPr>
                          <w:t>皮膚敏感、</w:t>
                        </w:r>
                      </w:p>
                    </w:tc>
                    <w:tc>
                      <w:tcPr>
                        <w:tcW w:w="350" w:type="dxa"/>
                      </w:tcPr>
                      <w:p>
                        <w:pPr>
                          <w:pStyle w:val="TableParagraph"/>
                          <w:rPr>
                            <w:rFonts w:ascii="Times New Roman"/>
                            <w:sz w:val="22"/>
                          </w:rPr>
                        </w:pPr>
                      </w:p>
                    </w:tc>
                    <w:tc>
                      <w:tcPr>
                        <w:tcW w:w="2948" w:type="dxa"/>
                      </w:tcPr>
                      <w:p>
                        <w:pPr>
                          <w:pStyle w:val="TableParagraph"/>
                          <w:spacing w:line="330" w:lineRule="exact"/>
                          <w:ind w:left="63"/>
                          <w:rPr>
                            <w:sz w:val="23"/>
                          </w:rPr>
                        </w:pPr>
                        <w:r>
                          <w:rPr>
                            <w:sz w:val="23"/>
                          </w:rPr>
                          <w:t>錠</w:t>
                        </w:r>
                        <w:r>
                          <w:rPr>
                            <w:spacing w:val="-7"/>
                            <w:sz w:val="23"/>
                          </w:rPr>
                          <w:t>），55-70Kg</w:t>
                        </w:r>
                        <w:r>
                          <w:rPr>
                            <w:spacing w:val="2"/>
                            <w:sz w:val="23"/>
                          </w:rPr>
                          <w:t>者每日 </w:t>
                        </w:r>
                        <w:r>
                          <w:rPr>
                            <w:sz w:val="23"/>
                          </w:rPr>
                          <w:t>4</w:t>
                        </w:r>
                        <w:r>
                          <w:rPr>
                            <w:spacing w:val="-14"/>
                            <w:sz w:val="23"/>
                          </w:rPr>
                          <w:t>錠，</w:t>
                        </w:r>
                      </w:p>
                    </w:tc>
                  </w:tr>
                  <w:tr>
                    <w:trPr>
                      <w:trHeight w:val="351" w:hRule="atLeast"/>
                    </w:trPr>
                    <w:tc>
                      <w:tcPr>
                        <w:tcW w:w="6356" w:type="dxa"/>
                      </w:tcPr>
                      <w:p>
                        <w:pPr>
                          <w:pStyle w:val="TableParagraph"/>
                          <w:tabs>
                            <w:tab w:pos="5791" w:val="left" w:leader="none"/>
                          </w:tabs>
                          <w:spacing w:line="332" w:lineRule="exact"/>
                          <w:ind w:left="41"/>
                          <w:rPr>
                            <w:sz w:val="23"/>
                          </w:rPr>
                        </w:pPr>
                        <w:r>
                          <w:rPr>
                            <w:spacing w:val="-5"/>
                            <w:sz w:val="23"/>
                          </w:rPr>
                          <w:t>(RMP</w:t>
                        </w:r>
                        <w:r>
                          <w:rPr>
                            <w:spacing w:val="-27"/>
                            <w:sz w:val="23"/>
                          </w:rPr>
                          <w:t> </w:t>
                        </w:r>
                        <w:r>
                          <w:rPr>
                            <w:spacing w:val="-5"/>
                            <w:sz w:val="23"/>
                          </w:rPr>
                          <w:t>150</w:t>
                        </w:r>
                        <w:r>
                          <w:rPr>
                            <w:spacing w:val="-26"/>
                            <w:sz w:val="23"/>
                          </w:rPr>
                          <w:t> </w:t>
                        </w:r>
                        <w:r>
                          <w:rPr>
                            <w:spacing w:val="-3"/>
                            <w:sz w:val="23"/>
                          </w:rPr>
                          <w:t>mg</w:t>
                        </w:r>
                        <w:r>
                          <w:rPr>
                            <w:spacing w:val="-25"/>
                            <w:sz w:val="23"/>
                          </w:rPr>
                          <w:t> </w:t>
                        </w:r>
                        <w:r>
                          <w:rPr>
                            <w:sz w:val="23"/>
                          </w:rPr>
                          <w:t>+</w:t>
                        </w:r>
                        <w:r>
                          <w:rPr>
                            <w:spacing w:val="-26"/>
                            <w:sz w:val="23"/>
                          </w:rPr>
                          <w:t> </w:t>
                        </w:r>
                        <w:r>
                          <w:rPr>
                            <w:spacing w:val="-5"/>
                            <w:sz w:val="23"/>
                          </w:rPr>
                          <w:t>INH</w:t>
                        </w:r>
                        <w:r>
                          <w:rPr>
                            <w:spacing w:val="-12"/>
                            <w:sz w:val="23"/>
                          </w:rPr>
                          <w:t> </w:t>
                        </w:r>
                        <w:r>
                          <w:rPr>
                            <w:spacing w:val="-4"/>
                            <w:sz w:val="23"/>
                          </w:rPr>
                          <w:t>75</w:t>
                        </w:r>
                        <w:r>
                          <w:rPr>
                            <w:spacing w:val="-13"/>
                            <w:sz w:val="23"/>
                          </w:rPr>
                          <w:t> </w:t>
                        </w:r>
                        <w:r>
                          <w:rPr>
                            <w:spacing w:val="-3"/>
                            <w:sz w:val="23"/>
                          </w:rPr>
                          <w:t>mg</w:t>
                        </w:r>
                        <w:r>
                          <w:rPr>
                            <w:spacing w:val="-26"/>
                            <w:sz w:val="23"/>
                          </w:rPr>
                          <w:t> </w:t>
                        </w:r>
                        <w:r>
                          <w:rPr>
                            <w:sz w:val="23"/>
                          </w:rPr>
                          <w:t>+</w:t>
                        </w:r>
                        <w:r>
                          <w:rPr>
                            <w:spacing w:val="-26"/>
                            <w:sz w:val="23"/>
                          </w:rPr>
                          <w:t> </w:t>
                        </w:r>
                        <w:r>
                          <w:rPr>
                            <w:spacing w:val="-5"/>
                            <w:sz w:val="23"/>
                          </w:rPr>
                          <w:t>EMB</w:t>
                        </w:r>
                        <w:r>
                          <w:rPr>
                            <w:spacing w:val="-27"/>
                            <w:sz w:val="23"/>
                          </w:rPr>
                          <w:t> </w:t>
                        </w:r>
                        <w:r>
                          <w:rPr>
                            <w:spacing w:val="-5"/>
                            <w:sz w:val="23"/>
                          </w:rPr>
                          <w:t>275</w:t>
                        </w:r>
                        <w:r>
                          <w:rPr>
                            <w:spacing w:val="-26"/>
                            <w:sz w:val="23"/>
                          </w:rPr>
                          <w:t> </w:t>
                        </w:r>
                        <w:r>
                          <w:rPr>
                            <w:spacing w:val="-4"/>
                            <w:sz w:val="23"/>
                          </w:rPr>
                          <w:t>mg) </w:t>
                        </w:r>
                        <w:r>
                          <w:rPr>
                            <w:spacing w:val="-3"/>
                            <w:sz w:val="23"/>
                          </w:rPr>
                          <w:t> </w:t>
                        </w:r>
                        <w:r>
                          <w:rPr>
                            <w:sz w:val="23"/>
                          </w:rPr>
                          <w:t>高尿酸、</w:t>
                          <w:tab/>
                        </w:r>
                        <w:r>
                          <w:rPr>
                            <w:position w:val="17"/>
                            <w:sz w:val="23"/>
                          </w:rPr>
                          <w:t>口服</w:t>
                        </w:r>
                      </w:p>
                    </w:tc>
                    <w:tc>
                      <w:tcPr>
                        <w:tcW w:w="350" w:type="dxa"/>
                      </w:tcPr>
                      <w:p>
                        <w:pPr>
                          <w:pStyle w:val="TableParagraph"/>
                          <w:rPr>
                            <w:rFonts w:ascii="Times New Roman"/>
                            <w:sz w:val="22"/>
                          </w:rPr>
                        </w:pPr>
                      </w:p>
                    </w:tc>
                    <w:tc>
                      <w:tcPr>
                        <w:tcW w:w="2948" w:type="dxa"/>
                      </w:tcPr>
                      <w:p>
                        <w:pPr>
                          <w:pStyle w:val="TableParagraph"/>
                          <w:spacing w:line="332" w:lineRule="exact"/>
                          <w:ind w:left="63"/>
                          <w:rPr>
                            <w:sz w:val="23"/>
                          </w:rPr>
                        </w:pPr>
                        <w:r>
                          <w:rPr>
                            <w:rFonts w:ascii="Symbol" w:hAnsi="Symbol" w:eastAsia="Symbol"/>
                            <w:b/>
                            <w:sz w:val="24"/>
                          </w:rPr>
                          <w:t></w:t>
                        </w:r>
                        <w:r>
                          <w:rPr>
                            <w:sz w:val="23"/>
                          </w:rPr>
                          <w:t>71Kg者可考慮投與每日 5</w:t>
                        </w:r>
                      </w:p>
                    </w:tc>
                  </w:tr>
                  <w:tr>
                    <w:trPr>
                      <w:trHeight w:val="348" w:hRule="atLeast"/>
                    </w:trPr>
                    <w:tc>
                      <w:tcPr>
                        <w:tcW w:w="6356" w:type="dxa"/>
                      </w:tcPr>
                      <w:p>
                        <w:pPr>
                          <w:pStyle w:val="TableParagraph"/>
                          <w:spacing w:line="203" w:lineRule="exact" w:before="125"/>
                          <w:ind w:right="983"/>
                          <w:jc w:val="right"/>
                          <w:rPr>
                            <w:sz w:val="23"/>
                          </w:rPr>
                        </w:pPr>
                        <w:r>
                          <w:rPr>
                            <w:sz w:val="23"/>
                          </w:rPr>
                          <w:t>視神經炎</w:t>
                        </w:r>
                      </w:p>
                    </w:tc>
                    <w:tc>
                      <w:tcPr>
                        <w:tcW w:w="350" w:type="dxa"/>
                      </w:tcPr>
                      <w:p>
                        <w:pPr>
                          <w:pStyle w:val="TableParagraph"/>
                          <w:rPr>
                            <w:rFonts w:ascii="Times New Roman"/>
                            <w:sz w:val="22"/>
                          </w:rPr>
                        </w:pPr>
                      </w:p>
                    </w:tc>
                    <w:tc>
                      <w:tcPr>
                        <w:tcW w:w="2948" w:type="dxa"/>
                      </w:tcPr>
                      <w:p>
                        <w:pPr>
                          <w:pStyle w:val="TableParagraph"/>
                          <w:spacing w:line="329" w:lineRule="exact"/>
                          <w:ind w:left="63"/>
                          <w:rPr>
                            <w:sz w:val="23"/>
                          </w:rPr>
                        </w:pPr>
                        <w:r>
                          <w:rPr>
                            <w:sz w:val="23"/>
                          </w:rPr>
                          <w:t>錠。</w:t>
                        </w:r>
                      </w:p>
                    </w:tc>
                  </w:tr>
                  <w:tr>
                    <w:trPr>
                      <w:trHeight w:val="349" w:hRule="atLeast"/>
                    </w:trPr>
                    <w:tc>
                      <w:tcPr>
                        <w:tcW w:w="6356" w:type="dxa"/>
                      </w:tcPr>
                      <w:p>
                        <w:pPr>
                          <w:pStyle w:val="TableParagraph"/>
                          <w:rPr>
                            <w:rFonts w:ascii="Times New Roman"/>
                            <w:sz w:val="22"/>
                          </w:rPr>
                        </w:pPr>
                      </w:p>
                    </w:tc>
                    <w:tc>
                      <w:tcPr>
                        <w:tcW w:w="350" w:type="dxa"/>
                      </w:tcPr>
                      <w:p>
                        <w:pPr>
                          <w:pStyle w:val="TableParagraph"/>
                          <w:spacing w:line="330" w:lineRule="exact"/>
                          <w:ind w:left="82" w:right="39"/>
                          <w:jc w:val="center"/>
                          <w:rPr>
                            <w:sz w:val="23"/>
                          </w:rPr>
                        </w:pPr>
                        <w:r>
                          <w:rPr>
                            <w:sz w:val="23"/>
                          </w:rPr>
                          <w:t>2.</w:t>
                        </w:r>
                      </w:p>
                    </w:tc>
                    <w:tc>
                      <w:tcPr>
                        <w:tcW w:w="2948" w:type="dxa"/>
                      </w:tcPr>
                      <w:p>
                        <w:pPr>
                          <w:pStyle w:val="TableParagraph"/>
                          <w:spacing w:line="330" w:lineRule="exact"/>
                          <w:ind w:left="66"/>
                          <w:rPr>
                            <w:sz w:val="23"/>
                          </w:rPr>
                        </w:pPr>
                        <w:r>
                          <w:rPr>
                            <w:sz w:val="23"/>
                          </w:rPr>
                          <w:t>依體重每日劑量超過5錠或</w:t>
                        </w:r>
                      </w:p>
                    </w:tc>
                  </w:tr>
                  <w:tr>
                    <w:trPr>
                      <w:trHeight w:val="349" w:hRule="atLeast"/>
                    </w:trPr>
                    <w:tc>
                      <w:tcPr>
                        <w:tcW w:w="6356" w:type="dxa"/>
                      </w:tcPr>
                      <w:p>
                        <w:pPr>
                          <w:pStyle w:val="TableParagraph"/>
                          <w:rPr>
                            <w:rFonts w:ascii="Times New Roman"/>
                            <w:sz w:val="22"/>
                          </w:rPr>
                        </w:pPr>
                      </w:p>
                    </w:tc>
                    <w:tc>
                      <w:tcPr>
                        <w:tcW w:w="350" w:type="dxa"/>
                      </w:tcPr>
                      <w:p>
                        <w:pPr>
                          <w:pStyle w:val="TableParagraph"/>
                          <w:rPr>
                            <w:rFonts w:ascii="Times New Roman"/>
                            <w:sz w:val="22"/>
                          </w:rPr>
                        </w:pPr>
                      </w:p>
                    </w:tc>
                    <w:tc>
                      <w:tcPr>
                        <w:tcW w:w="2948" w:type="dxa"/>
                      </w:tcPr>
                      <w:p>
                        <w:pPr>
                          <w:pStyle w:val="TableParagraph"/>
                          <w:spacing w:line="330" w:lineRule="exact"/>
                          <w:ind w:left="62"/>
                          <w:rPr>
                            <w:sz w:val="23"/>
                          </w:rPr>
                        </w:pPr>
                        <w:r>
                          <w:rPr>
                            <w:sz w:val="23"/>
                          </w:rPr>
                          <w:t>體重小於 30公斤的病人不</w:t>
                        </w:r>
                      </w:p>
                    </w:tc>
                  </w:tr>
                  <w:tr>
                    <w:trPr>
                      <w:trHeight w:val="350" w:hRule="atLeast"/>
                    </w:trPr>
                    <w:tc>
                      <w:tcPr>
                        <w:tcW w:w="6356" w:type="dxa"/>
                      </w:tcPr>
                      <w:p>
                        <w:pPr>
                          <w:pStyle w:val="TableParagraph"/>
                          <w:rPr>
                            <w:rFonts w:ascii="Times New Roman"/>
                            <w:sz w:val="22"/>
                          </w:rPr>
                        </w:pPr>
                      </w:p>
                    </w:tc>
                    <w:tc>
                      <w:tcPr>
                        <w:tcW w:w="350" w:type="dxa"/>
                      </w:tcPr>
                      <w:p>
                        <w:pPr>
                          <w:pStyle w:val="TableParagraph"/>
                          <w:rPr>
                            <w:rFonts w:ascii="Times New Roman"/>
                            <w:sz w:val="22"/>
                          </w:rPr>
                        </w:pPr>
                      </w:p>
                    </w:tc>
                    <w:tc>
                      <w:tcPr>
                        <w:tcW w:w="2948" w:type="dxa"/>
                      </w:tcPr>
                      <w:p>
                        <w:pPr>
                          <w:pStyle w:val="TableParagraph"/>
                          <w:spacing w:line="330" w:lineRule="exact"/>
                          <w:ind w:left="63"/>
                          <w:rPr>
                            <w:sz w:val="23"/>
                          </w:rPr>
                        </w:pPr>
                        <w:r>
                          <w:rPr>
                            <w:sz w:val="23"/>
                          </w:rPr>
                          <w:t>建議使用AKT，須單方開立</w:t>
                        </w:r>
                      </w:p>
                    </w:tc>
                  </w:tr>
                  <w:tr>
                    <w:trPr>
                      <w:trHeight w:val="411" w:hRule="atLeast"/>
                    </w:trPr>
                    <w:tc>
                      <w:tcPr>
                        <w:tcW w:w="6356" w:type="dxa"/>
                        <w:tcBorders>
                          <w:bottom w:val="single" w:sz="4" w:space="0" w:color="000000"/>
                        </w:tcBorders>
                      </w:tcPr>
                      <w:p>
                        <w:pPr>
                          <w:pStyle w:val="TableParagraph"/>
                          <w:rPr>
                            <w:rFonts w:ascii="Times New Roman"/>
                            <w:sz w:val="22"/>
                          </w:rPr>
                        </w:pPr>
                      </w:p>
                    </w:tc>
                    <w:tc>
                      <w:tcPr>
                        <w:tcW w:w="350" w:type="dxa"/>
                        <w:tcBorders>
                          <w:bottom w:val="single" w:sz="4" w:space="0" w:color="000000"/>
                        </w:tcBorders>
                      </w:tcPr>
                      <w:p>
                        <w:pPr>
                          <w:pStyle w:val="TableParagraph"/>
                          <w:rPr>
                            <w:rFonts w:ascii="Times New Roman"/>
                            <w:sz w:val="22"/>
                          </w:rPr>
                        </w:pPr>
                      </w:p>
                    </w:tc>
                    <w:tc>
                      <w:tcPr>
                        <w:tcW w:w="2948" w:type="dxa"/>
                        <w:tcBorders>
                          <w:bottom w:val="single" w:sz="4" w:space="0" w:color="000000"/>
                        </w:tcBorders>
                      </w:tcPr>
                      <w:p>
                        <w:pPr>
                          <w:pStyle w:val="TableParagraph"/>
                          <w:spacing w:line="387" w:lineRule="exact"/>
                          <w:ind w:left="63"/>
                          <w:rPr>
                            <w:sz w:val="23"/>
                          </w:rPr>
                        </w:pPr>
                        <w:r>
                          <w:rPr>
                            <w:sz w:val="23"/>
                          </w:rPr>
                          <w:t>並依體重調整劑量。</w:t>
                        </w:r>
                      </w:p>
                    </w:tc>
                  </w:tr>
                </w:tbl>
                <w:p>
                  <w:pPr>
                    <w:pStyle w:val="BodyText"/>
                  </w:pPr>
                </w:p>
              </w:txbxContent>
            </v:textbox>
            <w10:wrap type="none"/>
          </v:shape>
        </w:pict>
      </w:r>
      <w:r>
        <w:rPr>
          <w:spacing w:val="6"/>
          <w:sz w:val="23"/>
        </w:rPr>
        <w:t>每日使用劑量超過五錠的病</w:t>
      </w:r>
    </w:p>
    <w:p>
      <w:pPr>
        <w:spacing w:after="0" w:line="369" w:lineRule="exact"/>
        <w:jc w:val="left"/>
        <w:rPr>
          <w:sz w:val="23"/>
        </w:rPr>
        <w:sectPr>
          <w:type w:val="continuous"/>
          <w:pgSz w:w="12250" w:h="17190"/>
          <w:pgMar w:top="1500" w:bottom="280" w:left="1180" w:right="0"/>
          <w:cols w:num="3" w:equalWidth="0">
            <w:col w:w="1451" w:space="2957"/>
            <w:col w:w="1956" w:space="53"/>
            <w:col w:w="4653"/>
          </w:cols>
        </w:sectPr>
      </w:pPr>
    </w:p>
    <w:p>
      <w:pPr>
        <w:pStyle w:val="Heading6"/>
        <w:spacing w:before="20"/>
        <w:ind w:left="1346" w:right="2001"/>
        <w:jc w:val="center"/>
      </w:pPr>
      <w:bookmarkStart w:name="表 6-3 第二線抗結核藥物" w:id="78"/>
      <w:bookmarkEnd w:id="78"/>
      <w:r>
        <w:rPr>
          <w:b w:val="0"/>
        </w:rPr>
      </w:r>
      <w:r>
        <w:rPr/>
        <w:t>表 6-3  第二線抗結核藥物</w:t>
      </w:r>
    </w:p>
    <w:p>
      <w:pPr>
        <w:pStyle w:val="BodyText"/>
        <w:spacing w:before="10"/>
        <w:rPr>
          <w:b/>
          <w:sz w:val="3"/>
        </w:rPr>
      </w:pPr>
    </w:p>
    <w:tbl>
      <w:tblPr>
        <w:tblW w:w="0" w:type="auto"/>
        <w:jc w:val="left"/>
        <w:tblInd w:w="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3"/>
        <w:gridCol w:w="1180"/>
        <w:gridCol w:w="1881"/>
        <w:gridCol w:w="1945"/>
        <w:gridCol w:w="1981"/>
      </w:tblGrid>
      <w:tr>
        <w:trPr>
          <w:trHeight w:val="795" w:hRule="atLeast"/>
        </w:trPr>
        <w:tc>
          <w:tcPr>
            <w:tcW w:w="2473" w:type="dxa"/>
            <w:tcBorders>
              <w:top w:val="single" w:sz="18" w:space="0" w:color="000000"/>
              <w:bottom w:val="single" w:sz="18" w:space="0" w:color="000000"/>
            </w:tcBorders>
            <w:shd w:val="clear" w:color="auto" w:fill="F1F1F1"/>
          </w:tcPr>
          <w:p>
            <w:pPr>
              <w:pStyle w:val="TableParagraph"/>
              <w:spacing w:before="181"/>
              <w:ind w:left="694"/>
              <w:rPr>
                <w:sz w:val="24"/>
              </w:rPr>
            </w:pPr>
            <w:r>
              <w:rPr>
                <w:sz w:val="24"/>
              </w:rPr>
              <w:t>藥物(縮寫)</w:t>
            </w:r>
          </w:p>
        </w:tc>
        <w:tc>
          <w:tcPr>
            <w:tcW w:w="1180" w:type="dxa"/>
            <w:tcBorders>
              <w:top w:val="single" w:sz="18" w:space="0" w:color="000000"/>
              <w:bottom w:val="single" w:sz="18" w:space="0" w:color="000000"/>
            </w:tcBorders>
            <w:shd w:val="clear" w:color="auto" w:fill="F1F1F1"/>
          </w:tcPr>
          <w:p>
            <w:pPr>
              <w:pStyle w:val="TableParagraph"/>
              <w:spacing w:before="181"/>
              <w:ind w:left="125"/>
              <w:rPr>
                <w:sz w:val="24"/>
              </w:rPr>
            </w:pPr>
            <w:r>
              <w:rPr>
                <w:sz w:val="24"/>
              </w:rPr>
              <w:t>給藥方式</w:t>
            </w:r>
          </w:p>
        </w:tc>
        <w:tc>
          <w:tcPr>
            <w:tcW w:w="1881" w:type="dxa"/>
            <w:tcBorders>
              <w:top w:val="single" w:sz="18" w:space="0" w:color="000000"/>
              <w:bottom w:val="single" w:sz="18" w:space="0" w:color="000000"/>
            </w:tcBorders>
            <w:shd w:val="clear" w:color="auto" w:fill="F1F1F1"/>
          </w:tcPr>
          <w:p>
            <w:pPr>
              <w:pStyle w:val="TableParagraph"/>
              <w:spacing w:line="184" w:lineRule="auto" w:before="78"/>
              <w:ind w:left="386" w:right="379" w:firstLine="76"/>
              <w:rPr>
                <w:sz w:val="24"/>
              </w:rPr>
            </w:pPr>
            <w:r>
              <w:rPr>
                <w:sz w:val="24"/>
              </w:rPr>
              <w:t>每日建議劑量(範圍)</w:t>
            </w:r>
          </w:p>
        </w:tc>
        <w:tc>
          <w:tcPr>
            <w:tcW w:w="1945" w:type="dxa"/>
            <w:tcBorders>
              <w:top w:val="single" w:sz="18" w:space="0" w:color="000000"/>
              <w:bottom w:val="single" w:sz="18" w:space="0" w:color="000000"/>
            </w:tcBorders>
            <w:shd w:val="clear" w:color="auto" w:fill="F1F1F1"/>
          </w:tcPr>
          <w:p>
            <w:pPr>
              <w:pStyle w:val="TableParagraph"/>
              <w:spacing w:line="184" w:lineRule="auto" w:before="84"/>
              <w:ind w:left="482" w:right="500" w:firstLine="240"/>
              <w:rPr>
                <w:sz w:val="24"/>
              </w:rPr>
            </w:pPr>
            <w:r>
              <w:rPr>
                <w:sz w:val="24"/>
              </w:rPr>
              <w:t>每 日 最大劑量</w:t>
            </w:r>
          </w:p>
        </w:tc>
        <w:tc>
          <w:tcPr>
            <w:tcW w:w="1981" w:type="dxa"/>
            <w:tcBorders>
              <w:top w:val="single" w:sz="18" w:space="0" w:color="000000"/>
              <w:bottom w:val="single" w:sz="18" w:space="0" w:color="000000"/>
            </w:tcBorders>
            <w:shd w:val="clear" w:color="auto" w:fill="F1F1F1"/>
          </w:tcPr>
          <w:p>
            <w:pPr>
              <w:pStyle w:val="TableParagraph"/>
              <w:spacing w:before="181"/>
              <w:ind w:left="334"/>
              <w:rPr>
                <w:sz w:val="24"/>
              </w:rPr>
            </w:pPr>
            <w:r>
              <w:rPr>
                <w:sz w:val="24"/>
              </w:rPr>
              <w:t>毒性/副作用</w:t>
            </w:r>
          </w:p>
        </w:tc>
      </w:tr>
      <w:tr>
        <w:trPr>
          <w:trHeight w:val="821" w:hRule="atLeast"/>
        </w:trPr>
        <w:tc>
          <w:tcPr>
            <w:tcW w:w="2473" w:type="dxa"/>
            <w:tcBorders>
              <w:top w:val="single" w:sz="18" w:space="0" w:color="000000"/>
              <w:bottom w:val="single" w:sz="4" w:space="0" w:color="000000"/>
            </w:tcBorders>
          </w:tcPr>
          <w:p>
            <w:pPr>
              <w:pStyle w:val="TableParagraph"/>
              <w:spacing w:before="22"/>
              <w:ind w:left="122"/>
              <w:rPr>
                <w:sz w:val="23"/>
              </w:rPr>
            </w:pPr>
            <w:r>
              <w:rPr>
                <w:sz w:val="23"/>
              </w:rPr>
              <w:t>streptomycin (SM)*</w:t>
            </w:r>
          </w:p>
        </w:tc>
        <w:tc>
          <w:tcPr>
            <w:tcW w:w="1180" w:type="dxa"/>
            <w:tcBorders>
              <w:top w:val="single" w:sz="18" w:space="0" w:color="000000"/>
              <w:bottom w:val="single" w:sz="4" w:space="0" w:color="000000"/>
            </w:tcBorders>
          </w:tcPr>
          <w:p>
            <w:pPr>
              <w:pStyle w:val="TableParagraph"/>
              <w:spacing w:line="386" w:lineRule="exact" w:before="22"/>
              <w:ind w:left="101"/>
              <w:rPr>
                <w:sz w:val="23"/>
              </w:rPr>
            </w:pPr>
            <w:r>
              <w:rPr>
                <w:sz w:val="23"/>
              </w:rPr>
              <w:t>肌肉/</w:t>
            </w:r>
          </w:p>
          <w:p>
            <w:pPr>
              <w:pStyle w:val="TableParagraph"/>
              <w:spacing w:line="386" w:lineRule="exact"/>
              <w:ind w:left="101"/>
              <w:rPr>
                <w:sz w:val="23"/>
              </w:rPr>
            </w:pPr>
            <w:r>
              <w:rPr>
                <w:sz w:val="23"/>
              </w:rPr>
              <w:t>靜脈注射</w:t>
            </w:r>
          </w:p>
        </w:tc>
        <w:tc>
          <w:tcPr>
            <w:tcW w:w="1881" w:type="dxa"/>
            <w:tcBorders>
              <w:top w:val="single" w:sz="18" w:space="0" w:color="000000"/>
              <w:bottom w:val="single" w:sz="4" w:space="0" w:color="000000"/>
            </w:tcBorders>
          </w:tcPr>
          <w:p>
            <w:pPr>
              <w:pStyle w:val="TableParagraph"/>
              <w:spacing w:line="386" w:lineRule="exact" w:before="22"/>
              <w:ind w:left="92"/>
              <w:rPr>
                <w:sz w:val="23"/>
              </w:rPr>
            </w:pPr>
            <w:r>
              <w:rPr>
                <w:sz w:val="23"/>
              </w:rPr>
              <w:t>15(15-20)</w:t>
            </w:r>
          </w:p>
          <w:p>
            <w:pPr>
              <w:pStyle w:val="TableParagraph"/>
              <w:spacing w:line="386" w:lineRule="exact"/>
              <w:ind w:left="92"/>
              <w:rPr>
                <w:sz w:val="23"/>
              </w:rPr>
            </w:pPr>
            <w:r>
              <w:rPr>
                <w:sz w:val="23"/>
              </w:rPr>
              <w:t>Max:1000 mg</w:t>
            </w:r>
          </w:p>
        </w:tc>
        <w:tc>
          <w:tcPr>
            <w:tcW w:w="1945" w:type="dxa"/>
            <w:tcBorders>
              <w:top w:val="single" w:sz="18" w:space="0" w:color="000000"/>
              <w:bottom w:val="single" w:sz="4" w:space="0" w:color="000000"/>
            </w:tcBorders>
          </w:tcPr>
          <w:p>
            <w:pPr>
              <w:pStyle w:val="TableParagraph"/>
              <w:spacing w:line="386" w:lineRule="exact" w:before="22"/>
              <w:ind w:left="87"/>
              <w:rPr>
                <w:sz w:val="23"/>
              </w:rPr>
            </w:pPr>
            <w:r>
              <w:rPr>
                <w:sz w:val="23"/>
              </w:rPr>
              <w:t>750 mg</w:t>
            </w:r>
            <w:r>
              <w:rPr>
                <w:spacing w:val="-6"/>
                <w:sz w:val="23"/>
              </w:rPr>
              <w:t> </w:t>
            </w:r>
            <w:r>
              <w:rPr>
                <w:sz w:val="23"/>
              </w:rPr>
              <w:t>(&lt;50Kg)</w:t>
            </w:r>
          </w:p>
          <w:p>
            <w:pPr>
              <w:pStyle w:val="TableParagraph"/>
              <w:spacing w:line="386" w:lineRule="exact"/>
              <w:ind w:left="86"/>
              <w:rPr>
                <w:sz w:val="23"/>
              </w:rPr>
            </w:pPr>
            <w:r>
              <w:rPr>
                <w:spacing w:val="-3"/>
                <w:sz w:val="23"/>
              </w:rPr>
              <w:t>1000 mg</w:t>
            </w:r>
            <w:r>
              <w:rPr>
                <w:spacing w:val="-16"/>
                <w:sz w:val="23"/>
              </w:rPr>
              <w:t> </w:t>
            </w:r>
            <w:r>
              <w:rPr>
                <w:sz w:val="23"/>
              </w:rPr>
              <w:t>(</w:t>
            </w:r>
            <w:r>
              <w:rPr>
                <w:rFonts w:ascii="Arial" w:hAnsi="Arial"/>
                <w:sz w:val="23"/>
              </w:rPr>
              <w:t>≥</w:t>
            </w:r>
            <w:r>
              <w:rPr>
                <w:sz w:val="23"/>
              </w:rPr>
              <w:t>50kg)</w:t>
            </w:r>
          </w:p>
        </w:tc>
        <w:tc>
          <w:tcPr>
            <w:tcW w:w="1981" w:type="dxa"/>
            <w:tcBorders>
              <w:top w:val="single" w:sz="18" w:space="0" w:color="000000"/>
              <w:bottom w:val="single" w:sz="4" w:space="0" w:color="000000"/>
            </w:tcBorders>
          </w:tcPr>
          <w:p>
            <w:pPr>
              <w:pStyle w:val="TableParagraph"/>
              <w:spacing w:line="199" w:lineRule="auto" w:before="74"/>
              <w:ind w:left="67" w:right="70"/>
              <w:rPr>
                <w:sz w:val="23"/>
              </w:rPr>
            </w:pPr>
            <w:r>
              <w:rPr>
                <w:sz w:val="23"/>
              </w:rPr>
              <w:t>耳毒性、腎毒性、暈眩或聽力障礙</w:t>
            </w:r>
          </w:p>
        </w:tc>
      </w:tr>
      <w:tr>
        <w:trPr>
          <w:trHeight w:val="821" w:hRule="atLeast"/>
        </w:trPr>
        <w:tc>
          <w:tcPr>
            <w:tcW w:w="2473" w:type="dxa"/>
            <w:tcBorders>
              <w:top w:val="single" w:sz="4" w:space="0" w:color="000000"/>
              <w:bottom w:val="single" w:sz="4" w:space="0" w:color="000000"/>
            </w:tcBorders>
          </w:tcPr>
          <w:p>
            <w:pPr>
              <w:pStyle w:val="TableParagraph"/>
              <w:spacing w:before="22"/>
              <w:ind w:left="122"/>
              <w:rPr>
                <w:sz w:val="23"/>
              </w:rPr>
            </w:pPr>
            <w:r>
              <w:rPr>
                <w:sz w:val="23"/>
              </w:rPr>
              <w:t>kanamycin (KM)*</w:t>
            </w:r>
          </w:p>
        </w:tc>
        <w:tc>
          <w:tcPr>
            <w:tcW w:w="1180" w:type="dxa"/>
            <w:tcBorders>
              <w:top w:val="single" w:sz="4" w:space="0" w:color="000000"/>
              <w:bottom w:val="single" w:sz="4" w:space="0" w:color="000000"/>
            </w:tcBorders>
          </w:tcPr>
          <w:p>
            <w:pPr>
              <w:pStyle w:val="TableParagraph"/>
              <w:spacing w:line="387" w:lineRule="exact" w:before="22"/>
              <w:ind w:left="100"/>
              <w:rPr>
                <w:sz w:val="23"/>
              </w:rPr>
            </w:pPr>
            <w:r>
              <w:rPr>
                <w:sz w:val="23"/>
              </w:rPr>
              <w:t>肌肉/</w:t>
            </w:r>
          </w:p>
          <w:p>
            <w:pPr>
              <w:pStyle w:val="TableParagraph"/>
              <w:spacing w:line="387" w:lineRule="exact"/>
              <w:ind w:left="100"/>
              <w:rPr>
                <w:sz w:val="23"/>
              </w:rPr>
            </w:pPr>
            <w:r>
              <w:rPr>
                <w:sz w:val="23"/>
              </w:rPr>
              <w:t>靜脈注射</w:t>
            </w:r>
          </w:p>
        </w:tc>
        <w:tc>
          <w:tcPr>
            <w:tcW w:w="1881" w:type="dxa"/>
            <w:tcBorders>
              <w:top w:val="single" w:sz="4" w:space="0" w:color="000000"/>
              <w:bottom w:val="single" w:sz="4" w:space="0" w:color="000000"/>
            </w:tcBorders>
          </w:tcPr>
          <w:p>
            <w:pPr>
              <w:pStyle w:val="TableParagraph"/>
              <w:spacing w:line="387" w:lineRule="exact" w:before="22"/>
              <w:ind w:left="92"/>
              <w:rPr>
                <w:sz w:val="23"/>
              </w:rPr>
            </w:pPr>
            <w:r>
              <w:rPr>
                <w:sz w:val="23"/>
              </w:rPr>
              <w:t>15 mg/kg (15-</w:t>
            </w:r>
          </w:p>
          <w:p>
            <w:pPr>
              <w:pStyle w:val="TableParagraph"/>
              <w:spacing w:line="387" w:lineRule="exact"/>
              <w:ind w:left="92"/>
              <w:rPr>
                <w:sz w:val="23"/>
              </w:rPr>
            </w:pPr>
            <w:r>
              <w:rPr>
                <w:sz w:val="23"/>
              </w:rPr>
              <w:t>20)</w:t>
            </w:r>
          </w:p>
        </w:tc>
        <w:tc>
          <w:tcPr>
            <w:tcW w:w="1945" w:type="dxa"/>
            <w:tcBorders>
              <w:top w:val="single" w:sz="4" w:space="0" w:color="000000"/>
              <w:bottom w:val="single" w:sz="4" w:space="0" w:color="000000"/>
            </w:tcBorders>
          </w:tcPr>
          <w:p>
            <w:pPr>
              <w:pStyle w:val="TableParagraph"/>
              <w:spacing w:before="22"/>
              <w:ind w:left="86"/>
              <w:rPr>
                <w:sz w:val="23"/>
              </w:rPr>
            </w:pPr>
            <w:r>
              <w:rPr>
                <w:sz w:val="23"/>
              </w:rPr>
              <w:t>1000 mg</w:t>
            </w:r>
          </w:p>
        </w:tc>
        <w:tc>
          <w:tcPr>
            <w:tcW w:w="1981" w:type="dxa"/>
            <w:tcBorders>
              <w:top w:val="single" w:sz="4" w:space="0" w:color="000000"/>
              <w:bottom w:val="single" w:sz="4" w:space="0" w:color="000000"/>
            </w:tcBorders>
          </w:tcPr>
          <w:p>
            <w:pPr>
              <w:pStyle w:val="TableParagraph"/>
              <w:spacing w:line="199" w:lineRule="auto" w:before="74"/>
              <w:ind w:left="67" w:right="70"/>
              <w:rPr>
                <w:sz w:val="23"/>
              </w:rPr>
            </w:pPr>
            <w:r>
              <w:rPr>
                <w:sz w:val="23"/>
              </w:rPr>
              <w:t>耳毒性、腎毒性、暈眩或聽力障礙</w:t>
            </w:r>
          </w:p>
        </w:tc>
      </w:tr>
      <w:tr>
        <w:trPr>
          <w:trHeight w:val="822" w:hRule="atLeast"/>
        </w:trPr>
        <w:tc>
          <w:tcPr>
            <w:tcW w:w="2473" w:type="dxa"/>
            <w:tcBorders>
              <w:top w:val="single" w:sz="4" w:space="0" w:color="000000"/>
              <w:bottom w:val="single" w:sz="4" w:space="0" w:color="000000"/>
            </w:tcBorders>
          </w:tcPr>
          <w:p>
            <w:pPr>
              <w:pStyle w:val="TableParagraph"/>
              <w:spacing w:before="22"/>
              <w:ind w:left="122"/>
              <w:rPr>
                <w:sz w:val="23"/>
              </w:rPr>
            </w:pPr>
            <w:r>
              <w:rPr>
                <w:sz w:val="23"/>
              </w:rPr>
              <w:t>amikacin (AMK)*</w:t>
            </w:r>
          </w:p>
        </w:tc>
        <w:tc>
          <w:tcPr>
            <w:tcW w:w="1180" w:type="dxa"/>
            <w:tcBorders>
              <w:top w:val="single" w:sz="4" w:space="0" w:color="000000"/>
              <w:bottom w:val="single" w:sz="4" w:space="0" w:color="000000"/>
            </w:tcBorders>
          </w:tcPr>
          <w:p>
            <w:pPr>
              <w:pStyle w:val="TableParagraph"/>
              <w:spacing w:line="387" w:lineRule="exact" w:before="22"/>
              <w:ind w:left="100"/>
              <w:rPr>
                <w:sz w:val="23"/>
              </w:rPr>
            </w:pPr>
            <w:r>
              <w:rPr>
                <w:sz w:val="23"/>
              </w:rPr>
              <w:t>肌肉/</w:t>
            </w:r>
          </w:p>
          <w:p>
            <w:pPr>
              <w:pStyle w:val="TableParagraph"/>
              <w:spacing w:line="387" w:lineRule="exact"/>
              <w:ind w:left="100"/>
              <w:rPr>
                <w:sz w:val="23"/>
              </w:rPr>
            </w:pPr>
            <w:r>
              <w:rPr>
                <w:sz w:val="23"/>
              </w:rPr>
              <w:t>靜脈注射</w:t>
            </w:r>
          </w:p>
        </w:tc>
        <w:tc>
          <w:tcPr>
            <w:tcW w:w="1881" w:type="dxa"/>
            <w:tcBorders>
              <w:top w:val="single" w:sz="4" w:space="0" w:color="000000"/>
              <w:bottom w:val="single" w:sz="4" w:space="0" w:color="000000"/>
            </w:tcBorders>
          </w:tcPr>
          <w:p>
            <w:pPr>
              <w:pStyle w:val="TableParagraph"/>
              <w:spacing w:line="387" w:lineRule="exact" w:before="22"/>
              <w:ind w:left="92"/>
              <w:rPr>
                <w:sz w:val="23"/>
              </w:rPr>
            </w:pPr>
            <w:r>
              <w:rPr>
                <w:sz w:val="23"/>
              </w:rPr>
              <w:t>15 mg/kg (15-</w:t>
            </w:r>
          </w:p>
          <w:p>
            <w:pPr>
              <w:pStyle w:val="TableParagraph"/>
              <w:spacing w:line="387" w:lineRule="exact"/>
              <w:ind w:left="92"/>
              <w:rPr>
                <w:sz w:val="23"/>
              </w:rPr>
            </w:pPr>
            <w:r>
              <w:rPr>
                <w:sz w:val="23"/>
              </w:rPr>
              <w:t>20)</w:t>
            </w:r>
          </w:p>
        </w:tc>
        <w:tc>
          <w:tcPr>
            <w:tcW w:w="1945" w:type="dxa"/>
            <w:tcBorders>
              <w:top w:val="single" w:sz="4" w:space="0" w:color="000000"/>
              <w:bottom w:val="single" w:sz="4" w:space="0" w:color="000000"/>
            </w:tcBorders>
          </w:tcPr>
          <w:p>
            <w:pPr>
              <w:pStyle w:val="TableParagraph"/>
              <w:spacing w:before="22"/>
              <w:ind w:left="86"/>
              <w:rPr>
                <w:sz w:val="23"/>
              </w:rPr>
            </w:pPr>
            <w:r>
              <w:rPr>
                <w:sz w:val="23"/>
              </w:rPr>
              <w:t>1000 mg</w:t>
            </w:r>
          </w:p>
        </w:tc>
        <w:tc>
          <w:tcPr>
            <w:tcW w:w="1981" w:type="dxa"/>
            <w:tcBorders>
              <w:top w:val="single" w:sz="4" w:space="0" w:color="000000"/>
              <w:bottom w:val="single" w:sz="4" w:space="0" w:color="000000"/>
            </w:tcBorders>
          </w:tcPr>
          <w:p>
            <w:pPr>
              <w:pStyle w:val="TableParagraph"/>
              <w:spacing w:line="199" w:lineRule="auto" w:before="74"/>
              <w:ind w:left="67" w:right="70"/>
              <w:rPr>
                <w:sz w:val="23"/>
              </w:rPr>
            </w:pPr>
            <w:r>
              <w:rPr>
                <w:sz w:val="23"/>
              </w:rPr>
              <w:t>耳毒性、腎毒性、暈眩或聽力障礙</w:t>
            </w:r>
          </w:p>
        </w:tc>
      </w:tr>
      <w:tr>
        <w:trPr>
          <w:trHeight w:val="1507" w:hRule="atLeast"/>
        </w:trPr>
        <w:tc>
          <w:tcPr>
            <w:tcW w:w="2473" w:type="dxa"/>
            <w:tcBorders>
              <w:top w:val="single" w:sz="4" w:space="0" w:color="000000"/>
              <w:bottom w:val="single" w:sz="4" w:space="0" w:color="000000"/>
            </w:tcBorders>
          </w:tcPr>
          <w:p>
            <w:pPr>
              <w:pStyle w:val="TableParagraph"/>
              <w:spacing w:before="22"/>
              <w:ind w:left="122"/>
              <w:rPr>
                <w:sz w:val="23"/>
              </w:rPr>
            </w:pPr>
            <w:r>
              <w:rPr>
                <w:sz w:val="23"/>
              </w:rPr>
              <w:t>prothionamide (TBN)</w:t>
            </w:r>
          </w:p>
        </w:tc>
        <w:tc>
          <w:tcPr>
            <w:tcW w:w="1180" w:type="dxa"/>
            <w:tcBorders>
              <w:top w:val="single" w:sz="4" w:space="0" w:color="000000"/>
              <w:bottom w:val="single" w:sz="4" w:space="0" w:color="000000"/>
            </w:tcBorders>
          </w:tcPr>
          <w:p>
            <w:pPr>
              <w:pStyle w:val="TableParagraph"/>
              <w:spacing w:before="22"/>
              <w:ind w:left="101"/>
              <w:rPr>
                <w:sz w:val="23"/>
              </w:rPr>
            </w:pPr>
            <w:r>
              <w:rPr>
                <w:sz w:val="23"/>
              </w:rPr>
              <w:t>口服</w:t>
            </w:r>
          </w:p>
        </w:tc>
        <w:tc>
          <w:tcPr>
            <w:tcW w:w="1881" w:type="dxa"/>
            <w:tcBorders>
              <w:top w:val="single" w:sz="4" w:space="0" w:color="000000"/>
              <w:bottom w:val="single" w:sz="4" w:space="0" w:color="000000"/>
            </w:tcBorders>
          </w:tcPr>
          <w:p>
            <w:pPr>
              <w:pStyle w:val="TableParagraph"/>
              <w:spacing w:before="22"/>
              <w:ind w:left="92"/>
              <w:rPr>
                <w:sz w:val="23"/>
              </w:rPr>
            </w:pPr>
            <w:r>
              <w:rPr>
                <w:sz w:val="23"/>
              </w:rPr>
              <w:t>15 ~ 20 mg/kg</w:t>
            </w:r>
          </w:p>
        </w:tc>
        <w:tc>
          <w:tcPr>
            <w:tcW w:w="1945" w:type="dxa"/>
            <w:tcBorders>
              <w:top w:val="single" w:sz="4" w:space="0" w:color="000000"/>
              <w:bottom w:val="single" w:sz="4" w:space="0" w:color="000000"/>
            </w:tcBorders>
          </w:tcPr>
          <w:p>
            <w:pPr>
              <w:pStyle w:val="TableParagraph"/>
              <w:spacing w:before="22"/>
              <w:ind w:left="87"/>
              <w:rPr>
                <w:sz w:val="23"/>
              </w:rPr>
            </w:pPr>
            <w:r>
              <w:rPr>
                <w:sz w:val="23"/>
              </w:rPr>
              <w:t>1000 mg</w:t>
            </w:r>
          </w:p>
        </w:tc>
        <w:tc>
          <w:tcPr>
            <w:tcW w:w="1981" w:type="dxa"/>
            <w:tcBorders>
              <w:top w:val="single" w:sz="4" w:space="0" w:color="000000"/>
              <w:bottom w:val="single" w:sz="4" w:space="0" w:color="000000"/>
            </w:tcBorders>
          </w:tcPr>
          <w:p>
            <w:pPr>
              <w:pStyle w:val="TableParagraph"/>
              <w:spacing w:line="386" w:lineRule="exact" w:before="22"/>
              <w:ind w:left="68"/>
              <w:rPr>
                <w:sz w:val="23"/>
              </w:rPr>
            </w:pPr>
            <w:r>
              <w:rPr>
                <w:sz w:val="23"/>
              </w:rPr>
              <w:t>胃腸不適、肝毒性</w:t>
            </w:r>
          </w:p>
          <w:p>
            <w:pPr>
              <w:pStyle w:val="TableParagraph"/>
              <w:spacing w:line="199" w:lineRule="auto" w:before="16"/>
              <w:ind w:left="68" w:right="58"/>
              <w:jc w:val="both"/>
              <w:rPr>
                <w:sz w:val="23"/>
              </w:rPr>
            </w:pPr>
            <w:r>
              <w:rPr>
                <w:sz w:val="23"/>
              </w:rPr>
              <w:t>、低甲狀腺血症、神經/精神系統障礙</w:t>
            </w:r>
          </w:p>
        </w:tc>
      </w:tr>
      <w:tr>
        <w:trPr>
          <w:trHeight w:val="1157" w:hRule="atLeast"/>
        </w:trPr>
        <w:tc>
          <w:tcPr>
            <w:tcW w:w="2473" w:type="dxa"/>
            <w:tcBorders>
              <w:top w:val="single" w:sz="4" w:space="0" w:color="000000"/>
              <w:bottom w:val="single" w:sz="4" w:space="0" w:color="000000"/>
            </w:tcBorders>
          </w:tcPr>
          <w:p>
            <w:pPr>
              <w:pStyle w:val="TableParagraph"/>
              <w:spacing w:line="225" w:lineRule="auto" w:before="41"/>
              <w:ind w:left="122" w:right="83"/>
              <w:rPr>
                <w:sz w:val="23"/>
              </w:rPr>
            </w:pPr>
            <w:r>
              <w:rPr>
                <w:sz w:val="23"/>
              </w:rPr>
              <w:t>para-aminosalicylate (PAS)</w:t>
            </w:r>
          </w:p>
        </w:tc>
        <w:tc>
          <w:tcPr>
            <w:tcW w:w="1180" w:type="dxa"/>
            <w:tcBorders>
              <w:top w:val="single" w:sz="4" w:space="0" w:color="000000"/>
              <w:bottom w:val="single" w:sz="4" w:space="0" w:color="000000"/>
            </w:tcBorders>
          </w:tcPr>
          <w:p>
            <w:pPr>
              <w:pStyle w:val="TableParagraph"/>
              <w:spacing w:before="22"/>
              <w:ind w:left="100"/>
              <w:rPr>
                <w:sz w:val="23"/>
              </w:rPr>
            </w:pPr>
            <w:r>
              <w:rPr>
                <w:sz w:val="23"/>
              </w:rPr>
              <w:t>口服</w:t>
            </w:r>
          </w:p>
        </w:tc>
        <w:tc>
          <w:tcPr>
            <w:tcW w:w="1881" w:type="dxa"/>
            <w:tcBorders>
              <w:top w:val="single" w:sz="4" w:space="0" w:color="000000"/>
              <w:bottom w:val="single" w:sz="4" w:space="0" w:color="000000"/>
            </w:tcBorders>
          </w:tcPr>
          <w:p>
            <w:pPr>
              <w:pStyle w:val="TableParagraph"/>
              <w:spacing w:before="22"/>
              <w:ind w:left="92"/>
              <w:rPr>
                <w:sz w:val="23"/>
              </w:rPr>
            </w:pPr>
            <w:r>
              <w:rPr>
                <w:sz w:val="23"/>
              </w:rPr>
              <w:t>150 mg/kg</w:t>
            </w:r>
          </w:p>
        </w:tc>
        <w:tc>
          <w:tcPr>
            <w:tcW w:w="1945" w:type="dxa"/>
            <w:tcBorders>
              <w:top w:val="single" w:sz="4" w:space="0" w:color="000000"/>
              <w:bottom w:val="single" w:sz="4" w:space="0" w:color="000000"/>
            </w:tcBorders>
          </w:tcPr>
          <w:p>
            <w:pPr>
              <w:pStyle w:val="TableParagraph"/>
              <w:spacing w:before="22"/>
              <w:ind w:left="86"/>
              <w:rPr>
                <w:sz w:val="23"/>
              </w:rPr>
            </w:pPr>
            <w:r>
              <w:rPr>
                <w:sz w:val="23"/>
              </w:rPr>
              <w:t>12 gm</w:t>
            </w:r>
          </w:p>
        </w:tc>
        <w:tc>
          <w:tcPr>
            <w:tcW w:w="1981" w:type="dxa"/>
            <w:tcBorders>
              <w:top w:val="single" w:sz="4" w:space="0" w:color="000000"/>
              <w:bottom w:val="single" w:sz="4" w:space="0" w:color="000000"/>
            </w:tcBorders>
          </w:tcPr>
          <w:p>
            <w:pPr>
              <w:pStyle w:val="TableParagraph"/>
              <w:spacing w:line="386" w:lineRule="exact" w:before="22"/>
              <w:ind w:left="68"/>
              <w:rPr>
                <w:sz w:val="23"/>
              </w:rPr>
            </w:pPr>
            <w:r>
              <w:rPr>
                <w:sz w:val="23"/>
              </w:rPr>
              <w:t>胃腸不適、肝毒性</w:t>
            </w:r>
          </w:p>
          <w:p>
            <w:pPr>
              <w:pStyle w:val="TableParagraph"/>
              <w:spacing w:line="199" w:lineRule="auto" w:before="16"/>
              <w:ind w:left="68" w:right="70"/>
              <w:rPr>
                <w:sz w:val="23"/>
              </w:rPr>
            </w:pPr>
            <w:r>
              <w:rPr>
                <w:sz w:val="23"/>
              </w:rPr>
              <w:t>、低甲狀腺血症、皮疹</w:t>
            </w:r>
          </w:p>
        </w:tc>
      </w:tr>
      <w:tr>
        <w:trPr>
          <w:trHeight w:val="784" w:hRule="atLeast"/>
        </w:trPr>
        <w:tc>
          <w:tcPr>
            <w:tcW w:w="2473" w:type="dxa"/>
            <w:tcBorders>
              <w:top w:val="single" w:sz="4" w:space="0" w:color="000000"/>
              <w:bottom w:val="single" w:sz="4" w:space="0" w:color="000000"/>
            </w:tcBorders>
          </w:tcPr>
          <w:p>
            <w:pPr>
              <w:pStyle w:val="TableParagraph"/>
              <w:spacing w:before="22"/>
              <w:ind w:left="122"/>
              <w:rPr>
                <w:sz w:val="23"/>
              </w:rPr>
            </w:pPr>
            <w:r>
              <w:rPr>
                <w:sz w:val="23"/>
              </w:rPr>
              <w:t>cycloserine (CS)</w:t>
            </w:r>
          </w:p>
        </w:tc>
        <w:tc>
          <w:tcPr>
            <w:tcW w:w="1180" w:type="dxa"/>
            <w:tcBorders>
              <w:top w:val="single" w:sz="4" w:space="0" w:color="000000"/>
              <w:bottom w:val="single" w:sz="4" w:space="0" w:color="000000"/>
            </w:tcBorders>
          </w:tcPr>
          <w:p>
            <w:pPr>
              <w:pStyle w:val="TableParagraph"/>
              <w:spacing w:before="22"/>
              <w:ind w:left="101"/>
              <w:rPr>
                <w:sz w:val="23"/>
              </w:rPr>
            </w:pPr>
            <w:r>
              <w:rPr>
                <w:sz w:val="23"/>
              </w:rPr>
              <w:t>口服</w:t>
            </w:r>
          </w:p>
        </w:tc>
        <w:tc>
          <w:tcPr>
            <w:tcW w:w="1881" w:type="dxa"/>
            <w:tcBorders>
              <w:top w:val="single" w:sz="4" w:space="0" w:color="000000"/>
              <w:bottom w:val="single" w:sz="4" w:space="0" w:color="000000"/>
            </w:tcBorders>
          </w:tcPr>
          <w:p>
            <w:pPr>
              <w:pStyle w:val="TableParagraph"/>
              <w:spacing w:before="22"/>
              <w:ind w:left="92"/>
              <w:rPr>
                <w:sz w:val="23"/>
              </w:rPr>
            </w:pPr>
            <w:r>
              <w:rPr>
                <w:sz w:val="23"/>
              </w:rPr>
              <w:t>10 ~ 15 mg/kg</w:t>
            </w:r>
          </w:p>
        </w:tc>
        <w:tc>
          <w:tcPr>
            <w:tcW w:w="1945" w:type="dxa"/>
            <w:tcBorders>
              <w:top w:val="single" w:sz="4" w:space="0" w:color="000000"/>
              <w:bottom w:val="single" w:sz="4" w:space="0" w:color="000000"/>
            </w:tcBorders>
          </w:tcPr>
          <w:p>
            <w:pPr>
              <w:pStyle w:val="TableParagraph"/>
              <w:spacing w:before="22"/>
              <w:ind w:left="87"/>
              <w:rPr>
                <w:sz w:val="23"/>
              </w:rPr>
            </w:pPr>
            <w:r>
              <w:rPr>
                <w:sz w:val="23"/>
              </w:rPr>
              <w:t>1000 mg</w:t>
            </w:r>
          </w:p>
        </w:tc>
        <w:tc>
          <w:tcPr>
            <w:tcW w:w="1981" w:type="dxa"/>
            <w:tcBorders>
              <w:top w:val="single" w:sz="4" w:space="0" w:color="000000"/>
              <w:bottom w:val="single" w:sz="4" w:space="0" w:color="000000"/>
            </w:tcBorders>
          </w:tcPr>
          <w:p>
            <w:pPr>
              <w:pStyle w:val="TableParagraph"/>
              <w:spacing w:line="350" w:lineRule="exact" w:before="48"/>
              <w:ind w:left="68" w:right="74"/>
              <w:rPr>
                <w:sz w:val="23"/>
              </w:rPr>
            </w:pPr>
            <w:r>
              <w:rPr>
                <w:spacing w:val="-16"/>
                <w:sz w:val="23"/>
              </w:rPr>
              <w:t>胃腸不適、神經</w:t>
            </w:r>
            <w:r>
              <w:rPr>
                <w:sz w:val="23"/>
              </w:rPr>
              <w:t>/</w:t>
            </w:r>
            <w:r>
              <w:rPr>
                <w:spacing w:val="-17"/>
                <w:sz w:val="23"/>
              </w:rPr>
              <w:t>精</w:t>
            </w:r>
            <w:r>
              <w:rPr>
                <w:spacing w:val="-4"/>
                <w:sz w:val="23"/>
              </w:rPr>
              <w:t>神系統障礙、皮疹</w:t>
            </w:r>
          </w:p>
        </w:tc>
      </w:tr>
      <w:tr>
        <w:trPr>
          <w:trHeight w:val="884" w:hRule="atLeast"/>
        </w:trPr>
        <w:tc>
          <w:tcPr>
            <w:tcW w:w="2473" w:type="dxa"/>
            <w:tcBorders>
              <w:top w:val="single" w:sz="4" w:space="0" w:color="000000"/>
              <w:bottom w:val="single" w:sz="4" w:space="0" w:color="000000"/>
            </w:tcBorders>
          </w:tcPr>
          <w:p>
            <w:pPr>
              <w:pStyle w:val="TableParagraph"/>
              <w:spacing w:before="22"/>
              <w:ind w:left="122"/>
              <w:rPr>
                <w:sz w:val="23"/>
              </w:rPr>
            </w:pPr>
            <w:r>
              <w:rPr>
                <w:sz w:val="23"/>
              </w:rPr>
              <w:t>levofloxacin (LFX)</w:t>
            </w:r>
          </w:p>
        </w:tc>
        <w:tc>
          <w:tcPr>
            <w:tcW w:w="1180" w:type="dxa"/>
            <w:tcBorders>
              <w:top w:val="single" w:sz="4" w:space="0" w:color="000000"/>
              <w:bottom w:val="single" w:sz="4" w:space="0" w:color="000000"/>
            </w:tcBorders>
          </w:tcPr>
          <w:p>
            <w:pPr>
              <w:pStyle w:val="TableParagraph"/>
              <w:spacing w:before="22"/>
              <w:ind w:left="100"/>
              <w:rPr>
                <w:sz w:val="23"/>
              </w:rPr>
            </w:pPr>
            <w:r>
              <w:rPr>
                <w:sz w:val="23"/>
              </w:rPr>
              <w:t>口服</w:t>
            </w:r>
          </w:p>
        </w:tc>
        <w:tc>
          <w:tcPr>
            <w:tcW w:w="1881" w:type="dxa"/>
            <w:tcBorders>
              <w:top w:val="single" w:sz="4" w:space="0" w:color="000000"/>
              <w:bottom w:val="single" w:sz="4" w:space="0" w:color="000000"/>
            </w:tcBorders>
          </w:tcPr>
          <w:p>
            <w:pPr>
              <w:pStyle w:val="TableParagraph"/>
              <w:spacing w:line="225" w:lineRule="auto" w:before="41"/>
              <w:ind w:left="92" w:right="69"/>
              <w:rPr>
                <w:sz w:val="23"/>
              </w:rPr>
            </w:pPr>
            <w:r>
              <w:rPr>
                <w:spacing w:val="-3"/>
                <w:sz w:val="23"/>
              </w:rPr>
              <w:t>7.5~10 </w:t>
            </w:r>
            <w:r>
              <w:rPr>
                <w:sz w:val="23"/>
              </w:rPr>
              <w:t>mg/kg </w:t>
            </w:r>
            <w:r>
              <w:rPr>
                <w:spacing w:val="-5"/>
                <w:sz w:val="23"/>
              </w:rPr>
              <w:t>(500 </w:t>
            </w:r>
            <w:r>
              <w:rPr>
                <w:sz w:val="23"/>
              </w:rPr>
              <w:t>~ </w:t>
            </w:r>
            <w:r>
              <w:rPr>
                <w:spacing w:val="-6"/>
                <w:sz w:val="23"/>
              </w:rPr>
              <w:t>1000 </w:t>
            </w:r>
            <w:r>
              <w:rPr>
                <w:spacing w:val="-9"/>
                <w:sz w:val="23"/>
              </w:rPr>
              <w:t>mg)</w:t>
            </w:r>
          </w:p>
        </w:tc>
        <w:tc>
          <w:tcPr>
            <w:tcW w:w="1945" w:type="dxa"/>
            <w:tcBorders>
              <w:top w:val="single" w:sz="4" w:space="0" w:color="000000"/>
              <w:bottom w:val="single" w:sz="4" w:space="0" w:color="000000"/>
            </w:tcBorders>
          </w:tcPr>
          <w:p>
            <w:pPr>
              <w:pStyle w:val="TableParagraph"/>
              <w:spacing w:before="22"/>
              <w:ind w:left="86"/>
              <w:rPr>
                <w:sz w:val="23"/>
              </w:rPr>
            </w:pPr>
            <w:r>
              <w:rPr>
                <w:sz w:val="23"/>
              </w:rPr>
              <w:t>1000 mg</w:t>
            </w:r>
          </w:p>
        </w:tc>
        <w:tc>
          <w:tcPr>
            <w:tcW w:w="1981" w:type="dxa"/>
            <w:tcBorders>
              <w:top w:val="single" w:sz="4" w:space="0" w:color="000000"/>
              <w:bottom w:val="single" w:sz="4" w:space="0" w:color="000000"/>
            </w:tcBorders>
          </w:tcPr>
          <w:p>
            <w:pPr>
              <w:pStyle w:val="TableParagraph"/>
              <w:spacing w:line="204" w:lineRule="auto" w:before="75"/>
              <w:ind w:left="68" w:right="70"/>
              <w:rPr>
                <w:sz w:val="23"/>
              </w:rPr>
            </w:pPr>
            <w:r>
              <w:rPr>
                <w:sz w:val="23"/>
              </w:rPr>
              <w:t>胃腸不適、頭暈、頭痛、心律不整</w:t>
            </w:r>
          </w:p>
        </w:tc>
      </w:tr>
      <w:tr>
        <w:trPr>
          <w:trHeight w:val="820" w:hRule="atLeast"/>
        </w:trPr>
        <w:tc>
          <w:tcPr>
            <w:tcW w:w="2473" w:type="dxa"/>
            <w:tcBorders>
              <w:top w:val="single" w:sz="4" w:space="0" w:color="000000"/>
              <w:bottom w:val="single" w:sz="4" w:space="0" w:color="000000"/>
            </w:tcBorders>
          </w:tcPr>
          <w:p>
            <w:pPr>
              <w:pStyle w:val="TableParagraph"/>
              <w:spacing w:before="22"/>
              <w:ind w:left="144"/>
              <w:rPr>
                <w:sz w:val="23"/>
              </w:rPr>
            </w:pPr>
            <w:r>
              <w:rPr>
                <w:sz w:val="23"/>
              </w:rPr>
              <w:t>moxifloxacin (MFX)</w:t>
            </w:r>
            <w:r>
              <w:rPr>
                <w:sz w:val="23"/>
                <w:vertAlign w:val="superscript"/>
              </w:rPr>
              <w:t>＃</w:t>
            </w:r>
          </w:p>
        </w:tc>
        <w:tc>
          <w:tcPr>
            <w:tcW w:w="1180" w:type="dxa"/>
            <w:tcBorders>
              <w:top w:val="single" w:sz="4" w:space="0" w:color="000000"/>
              <w:bottom w:val="single" w:sz="4" w:space="0" w:color="000000"/>
            </w:tcBorders>
          </w:tcPr>
          <w:p>
            <w:pPr>
              <w:pStyle w:val="TableParagraph"/>
              <w:spacing w:before="22"/>
              <w:ind w:left="101"/>
              <w:rPr>
                <w:sz w:val="23"/>
              </w:rPr>
            </w:pPr>
            <w:r>
              <w:rPr>
                <w:sz w:val="23"/>
              </w:rPr>
              <w:t>口服</w:t>
            </w:r>
          </w:p>
        </w:tc>
        <w:tc>
          <w:tcPr>
            <w:tcW w:w="1881" w:type="dxa"/>
            <w:tcBorders>
              <w:top w:val="single" w:sz="4" w:space="0" w:color="000000"/>
              <w:bottom w:val="single" w:sz="4" w:space="0" w:color="000000"/>
            </w:tcBorders>
          </w:tcPr>
          <w:p>
            <w:pPr>
              <w:pStyle w:val="TableParagraph"/>
              <w:spacing w:before="22"/>
              <w:ind w:left="92"/>
              <w:rPr>
                <w:sz w:val="23"/>
              </w:rPr>
            </w:pPr>
            <w:r>
              <w:rPr>
                <w:sz w:val="23"/>
              </w:rPr>
              <w:t>400 mg</w:t>
            </w:r>
          </w:p>
        </w:tc>
        <w:tc>
          <w:tcPr>
            <w:tcW w:w="1945" w:type="dxa"/>
            <w:tcBorders>
              <w:top w:val="single" w:sz="4" w:space="0" w:color="000000"/>
              <w:bottom w:val="single" w:sz="4" w:space="0" w:color="000000"/>
            </w:tcBorders>
          </w:tcPr>
          <w:p>
            <w:pPr>
              <w:pStyle w:val="TableParagraph"/>
              <w:spacing w:before="22"/>
              <w:ind w:left="87"/>
              <w:rPr>
                <w:sz w:val="23"/>
              </w:rPr>
            </w:pPr>
            <w:r>
              <w:rPr>
                <w:sz w:val="23"/>
              </w:rPr>
              <w:t>400 mg</w:t>
            </w:r>
          </w:p>
        </w:tc>
        <w:tc>
          <w:tcPr>
            <w:tcW w:w="1981" w:type="dxa"/>
            <w:tcBorders>
              <w:top w:val="single" w:sz="4" w:space="0" w:color="000000"/>
              <w:bottom w:val="single" w:sz="4" w:space="0" w:color="000000"/>
            </w:tcBorders>
          </w:tcPr>
          <w:p>
            <w:pPr>
              <w:pStyle w:val="TableParagraph"/>
              <w:spacing w:line="199" w:lineRule="auto" w:before="74"/>
              <w:ind w:left="68" w:right="69"/>
              <w:rPr>
                <w:sz w:val="23"/>
              </w:rPr>
            </w:pPr>
            <w:r>
              <w:rPr>
                <w:sz w:val="23"/>
              </w:rPr>
              <w:t>胃腸不適、頭暈、頭痛、心律不整</w:t>
            </w:r>
          </w:p>
        </w:tc>
      </w:tr>
    </w:tbl>
    <w:p>
      <w:pPr>
        <w:spacing w:line="422" w:lineRule="exact" w:before="78"/>
        <w:ind w:left="351" w:right="0" w:firstLine="0"/>
        <w:jc w:val="left"/>
        <w:rPr>
          <w:sz w:val="23"/>
        </w:rPr>
      </w:pPr>
      <w:r>
        <w:rPr>
          <w:sz w:val="23"/>
        </w:rPr>
        <w:t>* 累積總劑量不超過 120 gm</w:t>
      </w:r>
    </w:p>
    <w:p>
      <w:pPr>
        <w:spacing w:line="422" w:lineRule="exact" w:before="0"/>
        <w:ind w:left="293" w:right="0" w:firstLine="0"/>
        <w:jc w:val="left"/>
        <w:rPr>
          <w:sz w:val="23"/>
        </w:rPr>
      </w:pPr>
      <w:r>
        <w:rPr>
          <w:sz w:val="23"/>
        </w:rPr>
        <w:t>＃ 800mg is recommended by WHO in 9-month </w:t>
      </w:r>
      <w:r>
        <w:rPr>
          <w:color w:val="FF0000"/>
          <w:sz w:val="23"/>
        </w:rPr>
        <w:t>MDR-TB </w:t>
      </w:r>
      <w:r>
        <w:rPr>
          <w:sz w:val="23"/>
        </w:rPr>
        <w:t>regimen</w:t>
      </w:r>
    </w:p>
    <w:p>
      <w:pPr>
        <w:spacing w:after="0" w:line="422" w:lineRule="exact"/>
        <w:jc w:val="left"/>
        <w:rPr>
          <w:sz w:val="23"/>
        </w:rPr>
        <w:sectPr>
          <w:pgSz w:w="12250" w:h="17190"/>
          <w:pgMar w:header="0" w:footer="748" w:top="1360" w:bottom="1020" w:left="1180" w:right="0"/>
        </w:sectPr>
      </w:pPr>
    </w:p>
    <w:p>
      <w:pPr>
        <w:pStyle w:val="Heading6"/>
        <w:spacing w:before="20"/>
        <w:ind w:left="1346" w:right="2525"/>
        <w:jc w:val="center"/>
      </w:pPr>
      <w:r>
        <w:rPr/>
        <w:pict>
          <v:group style="position:absolute;margin-left:571.5pt;margin-top:5.695903pt;width:40.9pt;height:316.05pt;mso-position-horizontal-relative:page;mso-position-vertical-relative:paragraph;z-index:251770880" coordorigin="11430,114" coordsize="818,6321">
            <v:shape style="position:absolute;left:11430;top:113;width:818;height:6321" coordorigin="11430,114" coordsize="818,6321" path="m12247,114l11595,114,11531,127,11478,162,11443,215,11430,279,11430,6270,11443,6334,11478,6386,11531,6422,11595,6435,12247,6435,12247,114xe" filled="true" fillcolor="#a6a6a6" stroked="false">
              <v:path arrowok="t"/>
              <v:fill type="solid"/>
            </v:shape>
            <v:shape style="position:absolute;left:11430;top:113;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pict>
          <v:shape style="position:absolute;margin-left:574.289001pt;margin-top:379.23764pt;width:16.650pt;height:5.55pt;mso-position-horizontal-relative:page;mso-position-vertical-relative:page;z-index:251771904"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pict>
          <v:shape style="position:absolute;margin-left:574.289001pt;margin-top:283.23764pt;width:16.650pt;height:5.55pt;mso-position-horizontal-relative:page;mso-position-vertical-relative:page;z-index:251772928"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bookmarkStart w:name="表 6-4 藥物交互作用" w:id="79"/>
      <w:bookmarkEnd w:id="79"/>
      <w:r>
        <w:rPr>
          <w:b w:val="0"/>
        </w:rPr>
      </w:r>
      <w:r>
        <w:rPr/>
        <w:t>表 6-4  藥物交互作用</w:t>
      </w:r>
    </w:p>
    <w:p>
      <w:pPr>
        <w:pStyle w:val="BodyText"/>
        <w:spacing w:before="10"/>
        <w:rPr>
          <w:b/>
          <w:sz w:val="3"/>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2722"/>
        <w:gridCol w:w="2345"/>
        <w:gridCol w:w="2243"/>
      </w:tblGrid>
      <w:tr>
        <w:trPr>
          <w:trHeight w:val="430" w:hRule="atLeast"/>
        </w:trPr>
        <w:tc>
          <w:tcPr>
            <w:tcW w:w="2016" w:type="dxa"/>
            <w:shd w:val="clear" w:color="auto" w:fill="F1F1F1"/>
          </w:tcPr>
          <w:p>
            <w:pPr>
              <w:pStyle w:val="TableParagraph"/>
              <w:spacing w:line="402" w:lineRule="exact" w:before="8"/>
              <w:ind w:left="442"/>
              <w:rPr>
                <w:sz w:val="23"/>
              </w:rPr>
            </w:pPr>
            <w:r>
              <w:rPr>
                <w:sz w:val="23"/>
              </w:rPr>
              <w:t>抗結核藥物</w:t>
            </w:r>
          </w:p>
        </w:tc>
        <w:tc>
          <w:tcPr>
            <w:tcW w:w="2722" w:type="dxa"/>
            <w:shd w:val="clear" w:color="auto" w:fill="F1F1F1"/>
          </w:tcPr>
          <w:p>
            <w:pPr>
              <w:pStyle w:val="TableParagraph"/>
              <w:spacing w:line="402" w:lineRule="exact" w:before="8"/>
              <w:ind w:left="683"/>
              <w:rPr>
                <w:sz w:val="23"/>
              </w:rPr>
            </w:pPr>
            <w:r>
              <w:rPr>
                <w:sz w:val="23"/>
              </w:rPr>
              <w:t>併用藥物種類</w:t>
            </w:r>
          </w:p>
        </w:tc>
        <w:tc>
          <w:tcPr>
            <w:tcW w:w="2345" w:type="dxa"/>
            <w:shd w:val="clear" w:color="auto" w:fill="F1F1F1"/>
          </w:tcPr>
          <w:p>
            <w:pPr>
              <w:pStyle w:val="TableParagraph"/>
              <w:spacing w:line="402" w:lineRule="exact" w:before="8"/>
              <w:ind w:left="493"/>
              <w:rPr>
                <w:sz w:val="23"/>
              </w:rPr>
            </w:pPr>
            <w:r>
              <w:rPr>
                <w:sz w:val="23"/>
              </w:rPr>
              <w:t>交互作用結果</w:t>
            </w:r>
          </w:p>
        </w:tc>
        <w:tc>
          <w:tcPr>
            <w:tcW w:w="2243" w:type="dxa"/>
            <w:shd w:val="clear" w:color="auto" w:fill="F1F1F1"/>
          </w:tcPr>
          <w:p>
            <w:pPr>
              <w:pStyle w:val="TableParagraph"/>
              <w:spacing w:line="402" w:lineRule="exact" w:before="8"/>
              <w:ind w:left="668"/>
              <w:rPr>
                <w:sz w:val="23"/>
              </w:rPr>
            </w:pPr>
            <w:r>
              <w:rPr>
                <w:sz w:val="23"/>
              </w:rPr>
              <w:t>處理方法</w:t>
            </w:r>
          </w:p>
        </w:tc>
      </w:tr>
      <w:tr>
        <w:trPr>
          <w:trHeight w:val="680" w:hRule="atLeast"/>
        </w:trPr>
        <w:tc>
          <w:tcPr>
            <w:tcW w:w="2016" w:type="dxa"/>
            <w:vMerge w:val="restart"/>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7"/>
              <w:rPr>
                <w:b/>
                <w:sz w:val="22"/>
              </w:rPr>
            </w:pPr>
          </w:p>
          <w:p>
            <w:pPr>
              <w:pStyle w:val="TableParagraph"/>
              <w:ind w:left="75"/>
              <w:rPr>
                <w:sz w:val="22"/>
              </w:rPr>
            </w:pPr>
            <w:r>
              <w:rPr>
                <w:sz w:val="22"/>
              </w:rPr>
              <w:t>Isoniazid (INH)</w:t>
            </w:r>
          </w:p>
        </w:tc>
        <w:tc>
          <w:tcPr>
            <w:tcW w:w="2722" w:type="dxa"/>
          </w:tcPr>
          <w:p>
            <w:pPr>
              <w:pStyle w:val="TableParagraph"/>
              <w:spacing w:line="374" w:lineRule="exact"/>
              <w:ind w:left="76"/>
              <w:rPr>
                <w:sz w:val="22"/>
              </w:rPr>
            </w:pPr>
            <w:r>
              <w:rPr>
                <w:sz w:val="22"/>
              </w:rPr>
              <w:t>ethambutol</w:t>
            </w:r>
          </w:p>
        </w:tc>
        <w:tc>
          <w:tcPr>
            <w:tcW w:w="2345" w:type="dxa"/>
          </w:tcPr>
          <w:p>
            <w:pPr>
              <w:pStyle w:val="TableParagraph"/>
              <w:spacing w:line="374" w:lineRule="exact"/>
              <w:ind w:left="62"/>
              <w:rPr>
                <w:sz w:val="22"/>
              </w:rPr>
            </w:pPr>
            <w:r>
              <w:rPr>
                <w:sz w:val="22"/>
              </w:rPr>
              <w:t>增加併用藥之毒性</w:t>
            </w:r>
          </w:p>
        </w:tc>
        <w:tc>
          <w:tcPr>
            <w:tcW w:w="2243" w:type="dxa"/>
          </w:tcPr>
          <w:p>
            <w:pPr>
              <w:pStyle w:val="TableParagraph"/>
              <w:spacing w:line="337" w:lineRule="exact"/>
              <w:ind w:left="62"/>
              <w:rPr>
                <w:sz w:val="22"/>
              </w:rPr>
            </w:pPr>
            <w:r>
              <w:rPr>
                <w:sz w:val="22"/>
              </w:rPr>
              <w:t>注意視神經病變之發</w:t>
            </w:r>
          </w:p>
          <w:p>
            <w:pPr>
              <w:pStyle w:val="TableParagraph"/>
              <w:spacing w:line="323" w:lineRule="exact"/>
              <w:ind w:left="62"/>
              <w:rPr>
                <w:sz w:val="22"/>
              </w:rPr>
            </w:pPr>
            <w:r>
              <w:rPr>
                <w:w w:val="99"/>
                <w:sz w:val="22"/>
              </w:rPr>
              <w:t>生</w:t>
            </w:r>
          </w:p>
        </w:tc>
      </w:tr>
      <w:tr>
        <w:trPr>
          <w:trHeight w:val="1336" w:hRule="atLeast"/>
        </w:trPr>
        <w:tc>
          <w:tcPr>
            <w:tcW w:w="2016" w:type="dxa"/>
            <w:vMerge/>
            <w:tcBorders>
              <w:top w:val="nil"/>
            </w:tcBorders>
          </w:tcPr>
          <w:p>
            <w:pPr>
              <w:rPr>
                <w:sz w:val="2"/>
                <w:szCs w:val="2"/>
              </w:rPr>
            </w:pPr>
          </w:p>
        </w:tc>
        <w:tc>
          <w:tcPr>
            <w:tcW w:w="2722" w:type="dxa"/>
          </w:tcPr>
          <w:p>
            <w:pPr>
              <w:pStyle w:val="TableParagraph"/>
              <w:spacing w:line="194" w:lineRule="auto" w:before="25"/>
              <w:ind w:left="76" w:right="347"/>
              <w:rPr>
                <w:sz w:val="22"/>
              </w:rPr>
            </w:pPr>
            <w:r>
              <w:rPr>
                <w:sz w:val="22"/>
              </w:rPr>
              <w:t>para-aminosalicylic acid (PAS)</w:t>
            </w:r>
          </w:p>
        </w:tc>
        <w:tc>
          <w:tcPr>
            <w:tcW w:w="2345" w:type="dxa"/>
          </w:tcPr>
          <w:p>
            <w:pPr>
              <w:pStyle w:val="TableParagraph"/>
              <w:spacing w:line="194" w:lineRule="auto" w:before="25"/>
              <w:ind w:left="63" w:right="48"/>
              <w:jc w:val="both"/>
              <w:rPr>
                <w:sz w:val="22"/>
              </w:rPr>
            </w:pPr>
            <w:r>
              <w:rPr>
                <w:sz w:val="22"/>
              </w:rPr>
              <w:t>有 協 同 效 應</w:t>
            </w:r>
            <w:r>
              <w:rPr>
                <w:spacing w:val="-3"/>
                <w:sz w:val="22"/>
              </w:rPr>
              <w:t>(synergistic effect</w:t>
            </w:r>
            <w:r>
              <w:rPr>
                <w:spacing w:val="-2"/>
                <w:sz w:val="22"/>
              </w:rPr>
              <w:t>) ， </w:t>
            </w:r>
            <w:r>
              <w:rPr>
                <w:spacing w:val="-5"/>
                <w:sz w:val="22"/>
              </w:rPr>
              <w:t>增加 </w:t>
            </w:r>
            <w:r>
              <w:rPr>
                <w:sz w:val="22"/>
              </w:rPr>
              <w:t>INH</w:t>
            </w:r>
            <w:r>
              <w:rPr>
                <w:spacing w:val="-4"/>
                <w:sz w:val="22"/>
              </w:rPr>
              <w:t>、</w:t>
            </w:r>
            <w:r>
              <w:rPr>
                <w:sz w:val="22"/>
              </w:rPr>
              <w:t>PAS</w:t>
            </w:r>
            <w:r>
              <w:rPr>
                <w:spacing w:val="-6"/>
                <w:sz w:val="22"/>
              </w:rPr>
              <w:t> 血中濃</w:t>
            </w:r>
          </w:p>
          <w:p>
            <w:pPr>
              <w:pStyle w:val="TableParagraph"/>
              <w:spacing w:line="308" w:lineRule="exact"/>
              <w:ind w:left="63"/>
              <w:rPr>
                <w:sz w:val="22"/>
              </w:rPr>
            </w:pPr>
            <w:r>
              <w:rPr>
                <w:sz w:val="22"/>
              </w:rPr>
              <w:t>度。</w:t>
            </w:r>
          </w:p>
        </w:tc>
        <w:tc>
          <w:tcPr>
            <w:tcW w:w="2243" w:type="dxa"/>
          </w:tcPr>
          <w:p>
            <w:pPr>
              <w:pStyle w:val="TableParagraph"/>
              <w:spacing w:line="194" w:lineRule="auto" w:before="25"/>
              <w:ind w:left="62" w:right="52"/>
              <w:jc w:val="both"/>
              <w:rPr>
                <w:sz w:val="22"/>
              </w:rPr>
            </w:pPr>
            <w:r>
              <w:rPr>
                <w:spacing w:val="-4"/>
                <w:sz w:val="22"/>
              </w:rPr>
              <w:t>注意 </w:t>
            </w:r>
            <w:r>
              <w:rPr>
                <w:sz w:val="22"/>
              </w:rPr>
              <w:t>INH</w:t>
            </w:r>
            <w:r>
              <w:rPr>
                <w:spacing w:val="-2"/>
                <w:sz w:val="22"/>
              </w:rPr>
              <w:t> 與 </w:t>
            </w:r>
            <w:r>
              <w:rPr>
                <w:sz w:val="22"/>
              </w:rPr>
              <w:t>PAS</w:t>
            </w:r>
            <w:r>
              <w:rPr>
                <w:spacing w:val="-8"/>
                <w:sz w:val="22"/>
              </w:rPr>
              <w:t> 血中</w:t>
            </w:r>
            <w:r>
              <w:rPr>
                <w:spacing w:val="-12"/>
                <w:sz w:val="22"/>
              </w:rPr>
              <w:t>濃度，避免副作用的發</w:t>
            </w:r>
            <w:r>
              <w:rPr>
                <w:spacing w:val="-4"/>
                <w:sz w:val="22"/>
              </w:rPr>
              <w:t>生。</w:t>
            </w:r>
          </w:p>
        </w:tc>
      </w:tr>
      <w:tr>
        <w:trPr>
          <w:trHeight w:val="983" w:hRule="atLeast"/>
        </w:trPr>
        <w:tc>
          <w:tcPr>
            <w:tcW w:w="2016" w:type="dxa"/>
            <w:vMerge/>
            <w:tcBorders>
              <w:top w:val="nil"/>
            </w:tcBorders>
          </w:tcPr>
          <w:p>
            <w:pPr>
              <w:rPr>
                <w:sz w:val="2"/>
                <w:szCs w:val="2"/>
              </w:rPr>
            </w:pPr>
          </w:p>
        </w:tc>
        <w:tc>
          <w:tcPr>
            <w:tcW w:w="2722" w:type="dxa"/>
          </w:tcPr>
          <w:p>
            <w:pPr>
              <w:pStyle w:val="TableParagraph"/>
              <w:spacing w:line="375" w:lineRule="exact"/>
              <w:ind w:left="76"/>
              <w:rPr>
                <w:sz w:val="22"/>
              </w:rPr>
            </w:pPr>
            <w:r>
              <w:rPr>
                <w:sz w:val="22"/>
              </w:rPr>
              <w:t>Clofazimine</w:t>
            </w:r>
          </w:p>
        </w:tc>
        <w:tc>
          <w:tcPr>
            <w:tcW w:w="2345" w:type="dxa"/>
          </w:tcPr>
          <w:p>
            <w:pPr>
              <w:pStyle w:val="TableParagraph"/>
              <w:spacing w:line="194" w:lineRule="auto" w:before="25"/>
              <w:ind w:left="62" w:right="53"/>
              <w:rPr>
                <w:sz w:val="22"/>
              </w:rPr>
            </w:pPr>
            <w:r>
              <w:rPr>
                <w:sz w:val="22"/>
              </w:rPr>
              <w:t>增加 Clofazimine 血中濃度</w:t>
            </w:r>
          </w:p>
        </w:tc>
        <w:tc>
          <w:tcPr>
            <w:tcW w:w="2243" w:type="dxa"/>
          </w:tcPr>
          <w:p>
            <w:pPr>
              <w:pStyle w:val="TableParagraph"/>
              <w:spacing w:line="194" w:lineRule="auto" w:before="25"/>
              <w:ind w:left="62" w:right="167"/>
              <w:rPr>
                <w:sz w:val="22"/>
              </w:rPr>
            </w:pPr>
            <w:r>
              <w:rPr>
                <w:sz w:val="22"/>
              </w:rPr>
              <w:t>注意病人有無不良反應產生，必要時調整</w:t>
            </w:r>
          </w:p>
          <w:p>
            <w:pPr>
              <w:pStyle w:val="TableParagraph"/>
              <w:spacing w:line="283" w:lineRule="exact"/>
              <w:ind w:left="62"/>
              <w:rPr>
                <w:sz w:val="22"/>
              </w:rPr>
            </w:pPr>
            <w:r>
              <w:rPr>
                <w:sz w:val="22"/>
              </w:rPr>
              <w:t>劑量</w:t>
            </w:r>
          </w:p>
        </w:tc>
      </w:tr>
      <w:tr>
        <w:trPr>
          <w:trHeight w:val="655" w:hRule="atLeast"/>
        </w:trPr>
        <w:tc>
          <w:tcPr>
            <w:tcW w:w="2016" w:type="dxa"/>
            <w:vMerge/>
            <w:tcBorders>
              <w:top w:val="nil"/>
            </w:tcBorders>
          </w:tcPr>
          <w:p>
            <w:pPr>
              <w:rPr>
                <w:sz w:val="2"/>
                <w:szCs w:val="2"/>
              </w:rPr>
            </w:pPr>
          </w:p>
        </w:tc>
        <w:tc>
          <w:tcPr>
            <w:tcW w:w="2722" w:type="dxa"/>
          </w:tcPr>
          <w:p>
            <w:pPr>
              <w:pStyle w:val="TableParagraph"/>
              <w:spacing w:line="375" w:lineRule="exact"/>
              <w:ind w:left="76"/>
              <w:rPr>
                <w:sz w:val="22"/>
              </w:rPr>
            </w:pPr>
            <w:r>
              <w:rPr>
                <w:sz w:val="22"/>
              </w:rPr>
              <w:t>Levodopa</w:t>
            </w:r>
          </w:p>
        </w:tc>
        <w:tc>
          <w:tcPr>
            <w:tcW w:w="2345" w:type="dxa"/>
          </w:tcPr>
          <w:p>
            <w:pPr>
              <w:pStyle w:val="TableParagraph"/>
              <w:spacing w:line="337" w:lineRule="exact"/>
              <w:ind w:left="62"/>
              <w:rPr>
                <w:sz w:val="22"/>
              </w:rPr>
            </w:pPr>
            <w:r>
              <w:rPr>
                <w:sz w:val="22"/>
              </w:rPr>
              <w:t>降低 Levodopa 血中濃</w:t>
            </w:r>
          </w:p>
          <w:p>
            <w:pPr>
              <w:pStyle w:val="TableParagraph"/>
              <w:spacing w:line="299" w:lineRule="exact"/>
              <w:ind w:left="62"/>
              <w:rPr>
                <w:sz w:val="22"/>
              </w:rPr>
            </w:pPr>
            <w:r>
              <w:rPr>
                <w:w w:val="99"/>
                <w:sz w:val="22"/>
              </w:rPr>
              <w:t>度</w:t>
            </w:r>
          </w:p>
        </w:tc>
        <w:tc>
          <w:tcPr>
            <w:tcW w:w="2243" w:type="dxa"/>
          </w:tcPr>
          <w:p>
            <w:pPr>
              <w:pStyle w:val="TableParagraph"/>
              <w:tabs>
                <w:tab w:pos="536" w:val="left" w:leader="none"/>
                <w:tab w:pos="1011" w:val="left" w:leader="none"/>
                <w:tab w:pos="1485" w:val="left" w:leader="none"/>
                <w:tab w:pos="1961" w:val="left" w:leader="none"/>
              </w:tabs>
              <w:spacing w:line="337" w:lineRule="exact"/>
              <w:ind w:left="62"/>
              <w:rPr>
                <w:sz w:val="22"/>
              </w:rPr>
            </w:pPr>
            <w:r>
              <w:rPr>
                <w:sz w:val="22"/>
              </w:rPr>
              <w:t>必</w:t>
              <w:tab/>
              <w:t>要</w:t>
              <w:tab/>
              <w:t>時</w:t>
              <w:tab/>
              <w:t>調</w:t>
              <w:tab/>
              <w:t>整</w:t>
            </w:r>
          </w:p>
          <w:p>
            <w:pPr>
              <w:pStyle w:val="TableParagraph"/>
              <w:spacing w:line="299" w:lineRule="exact"/>
              <w:ind w:left="62"/>
              <w:rPr>
                <w:sz w:val="22"/>
              </w:rPr>
            </w:pPr>
            <w:r>
              <w:rPr>
                <w:sz w:val="22"/>
              </w:rPr>
              <w:t>Levodopa 劑 量</w:t>
            </w:r>
          </w:p>
        </w:tc>
      </w:tr>
      <w:tr>
        <w:trPr>
          <w:trHeight w:val="731" w:hRule="atLeast"/>
        </w:trPr>
        <w:tc>
          <w:tcPr>
            <w:tcW w:w="2016" w:type="dxa"/>
            <w:vMerge/>
            <w:tcBorders>
              <w:top w:val="nil"/>
            </w:tcBorders>
          </w:tcPr>
          <w:p>
            <w:pPr>
              <w:rPr>
                <w:sz w:val="2"/>
                <w:szCs w:val="2"/>
              </w:rPr>
            </w:pPr>
          </w:p>
        </w:tc>
        <w:tc>
          <w:tcPr>
            <w:tcW w:w="2722" w:type="dxa"/>
          </w:tcPr>
          <w:p>
            <w:pPr>
              <w:pStyle w:val="TableParagraph"/>
              <w:spacing w:line="360" w:lineRule="exact"/>
              <w:ind w:left="76" w:right="347"/>
              <w:rPr>
                <w:sz w:val="22"/>
              </w:rPr>
            </w:pPr>
            <w:r>
              <w:rPr>
                <w:sz w:val="22"/>
              </w:rPr>
              <w:t>口服抗凝血劑(如: warfarin)</w:t>
            </w:r>
          </w:p>
        </w:tc>
        <w:tc>
          <w:tcPr>
            <w:tcW w:w="2345" w:type="dxa"/>
          </w:tcPr>
          <w:p>
            <w:pPr>
              <w:pStyle w:val="TableParagraph"/>
              <w:spacing w:line="400" w:lineRule="exact"/>
              <w:ind w:left="62"/>
              <w:rPr>
                <w:sz w:val="22"/>
              </w:rPr>
            </w:pPr>
            <w:r>
              <w:rPr>
                <w:sz w:val="22"/>
              </w:rPr>
              <w:t>抗凝血作用可能增強</w:t>
            </w:r>
          </w:p>
        </w:tc>
        <w:tc>
          <w:tcPr>
            <w:tcW w:w="2243" w:type="dxa"/>
            <w:vMerge w:val="restart"/>
          </w:tcPr>
          <w:p>
            <w:pPr>
              <w:pStyle w:val="TableParagraph"/>
              <w:spacing w:line="194" w:lineRule="auto" w:before="25"/>
              <w:ind w:left="62" w:right="32"/>
              <w:jc w:val="both"/>
              <w:rPr>
                <w:sz w:val="22"/>
              </w:rPr>
            </w:pPr>
            <w:r>
              <w:rPr>
                <w:spacing w:val="14"/>
                <w:sz w:val="22"/>
              </w:rPr>
              <w:t>注意病人有無不良反</w:t>
            </w:r>
            <w:r>
              <w:rPr>
                <w:spacing w:val="-11"/>
                <w:sz w:val="22"/>
              </w:rPr>
              <w:t>應產生，必要時調整劑</w:t>
            </w:r>
            <w:r>
              <w:rPr>
                <w:sz w:val="22"/>
              </w:rPr>
              <w:t>量</w:t>
            </w:r>
          </w:p>
        </w:tc>
      </w:tr>
      <w:tr>
        <w:trPr>
          <w:trHeight w:val="984" w:hRule="atLeast"/>
        </w:trPr>
        <w:tc>
          <w:tcPr>
            <w:tcW w:w="2016" w:type="dxa"/>
            <w:vMerge/>
            <w:tcBorders>
              <w:top w:val="nil"/>
            </w:tcBorders>
          </w:tcPr>
          <w:p>
            <w:pPr>
              <w:rPr>
                <w:sz w:val="2"/>
                <w:szCs w:val="2"/>
              </w:rPr>
            </w:pPr>
          </w:p>
        </w:tc>
        <w:tc>
          <w:tcPr>
            <w:tcW w:w="2722" w:type="dxa"/>
          </w:tcPr>
          <w:p>
            <w:pPr>
              <w:pStyle w:val="TableParagraph"/>
              <w:spacing w:line="194" w:lineRule="auto" w:before="26"/>
              <w:ind w:left="76" w:right="347"/>
              <w:rPr>
                <w:sz w:val="22"/>
              </w:rPr>
            </w:pPr>
            <w:r>
              <w:rPr>
                <w:sz w:val="22"/>
              </w:rPr>
              <w:t>benzodiazepines(如diazepam，triazolam)</w:t>
            </w:r>
          </w:p>
        </w:tc>
        <w:tc>
          <w:tcPr>
            <w:tcW w:w="2345" w:type="dxa"/>
          </w:tcPr>
          <w:p>
            <w:pPr>
              <w:pStyle w:val="TableParagraph"/>
              <w:spacing w:line="328" w:lineRule="exact" w:before="1"/>
              <w:ind w:left="63" w:right="48"/>
              <w:jc w:val="both"/>
              <w:rPr>
                <w:sz w:val="22"/>
              </w:rPr>
            </w:pPr>
            <w:r>
              <w:rPr>
                <w:spacing w:val="-11"/>
                <w:sz w:val="22"/>
              </w:rPr>
              <w:t>某 些 </w:t>
            </w:r>
            <w:r>
              <w:rPr>
                <w:spacing w:val="-3"/>
                <w:sz w:val="22"/>
              </w:rPr>
              <w:t>benzodiazepines </w:t>
            </w:r>
            <w:r>
              <w:rPr>
                <w:spacing w:val="-2"/>
                <w:sz w:val="22"/>
              </w:rPr>
              <w:t>的代謝可能受抑制而使</w:t>
            </w:r>
            <w:r>
              <w:rPr>
                <w:spacing w:val="-4"/>
                <w:sz w:val="22"/>
              </w:rPr>
              <w:t>藥效增強。</w:t>
            </w:r>
          </w:p>
        </w:tc>
        <w:tc>
          <w:tcPr>
            <w:tcW w:w="2243" w:type="dxa"/>
            <w:vMerge/>
            <w:tcBorders>
              <w:top w:val="nil"/>
            </w:tcBorders>
          </w:tcPr>
          <w:p>
            <w:pPr>
              <w:rPr>
                <w:sz w:val="2"/>
                <w:szCs w:val="2"/>
              </w:rPr>
            </w:pPr>
          </w:p>
        </w:tc>
      </w:tr>
      <w:tr>
        <w:trPr>
          <w:trHeight w:val="983" w:hRule="atLeast"/>
        </w:trPr>
        <w:tc>
          <w:tcPr>
            <w:tcW w:w="2016" w:type="dxa"/>
            <w:vMerge/>
            <w:tcBorders>
              <w:top w:val="nil"/>
            </w:tcBorders>
          </w:tcPr>
          <w:p>
            <w:pPr>
              <w:rPr>
                <w:sz w:val="2"/>
                <w:szCs w:val="2"/>
              </w:rPr>
            </w:pPr>
          </w:p>
        </w:tc>
        <w:tc>
          <w:tcPr>
            <w:tcW w:w="2722" w:type="dxa"/>
          </w:tcPr>
          <w:p>
            <w:pPr>
              <w:pStyle w:val="TableParagraph"/>
              <w:spacing w:line="194" w:lineRule="auto" w:before="25"/>
              <w:ind w:left="76" w:right="347"/>
              <w:rPr>
                <w:sz w:val="22"/>
              </w:rPr>
            </w:pPr>
            <w:r>
              <w:rPr>
                <w:sz w:val="22"/>
              </w:rPr>
              <w:t>phenytoin carbamazepine</w:t>
            </w:r>
          </w:p>
        </w:tc>
        <w:tc>
          <w:tcPr>
            <w:tcW w:w="2345" w:type="dxa"/>
          </w:tcPr>
          <w:p>
            <w:pPr>
              <w:pStyle w:val="TableParagraph"/>
              <w:spacing w:line="194" w:lineRule="auto" w:before="25"/>
              <w:ind w:left="63" w:right="23" w:hanging="1"/>
              <w:rPr>
                <w:sz w:val="22"/>
              </w:rPr>
            </w:pPr>
            <w:r>
              <w:rPr>
                <w:sz w:val="22"/>
              </w:rPr>
              <w:t>INH 會抑制併用藥品之代謝，而增加併用藥</w:t>
            </w:r>
          </w:p>
          <w:p>
            <w:pPr>
              <w:pStyle w:val="TableParagraph"/>
              <w:spacing w:line="283" w:lineRule="exact"/>
              <w:ind w:left="63"/>
              <w:rPr>
                <w:sz w:val="22"/>
              </w:rPr>
            </w:pPr>
            <w:r>
              <w:rPr>
                <w:sz w:val="22"/>
              </w:rPr>
              <w:t>品之血中濃度</w:t>
            </w:r>
          </w:p>
        </w:tc>
        <w:tc>
          <w:tcPr>
            <w:tcW w:w="2243" w:type="dxa"/>
            <w:vMerge/>
            <w:tcBorders>
              <w:top w:val="nil"/>
            </w:tcBorders>
          </w:tcPr>
          <w:p>
            <w:pPr>
              <w:rPr>
                <w:sz w:val="2"/>
                <w:szCs w:val="2"/>
              </w:rPr>
            </w:pPr>
          </w:p>
        </w:tc>
      </w:tr>
      <w:tr>
        <w:trPr>
          <w:trHeight w:val="406" w:hRule="atLeast"/>
        </w:trPr>
        <w:tc>
          <w:tcPr>
            <w:tcW w:w="2016" w:type="dxa"/>
            <w:vMerge/>
            <w:tcBorders>
              <w:top w:val="nil"/>
            </w:tcBorders>
          </w:tcPr>
          <w:p>
            <w:pPr>
              <w:rPr>
                <w:sz w:val="2"/>
                <w:szCs w:val="2"/>
              </w:rPr>
            </w:pPr>
          </w:p>
        </w:tc>
        <w:tc>
          <w:tcPr>
            <w:tcW w:w="2722" w:type="dxa"/>
          </w:tcPr>
          <w:p>
            <w:pPr>
              <w:pStyle w:val="TableParagraph"/>
              <w:spacing w:line="386" w:lineRule="exact"/>
              <w:ind w:left="76"/>
              <w:rPr>
                <w:sz w:val="22"/>
              </w:rPr>
            </w:pPr>
            <w:r>
              <w:rPr>
                <w:sz w:val="22"/>
              </w:rPr>
              <w:t>antacid</w:t>
            </w:r>
          </w:p>
        </w:tc>
        <w:tc>
          <w:tcPr>
            <w:tcW w:w="2345" w:type="dxa"/>
            <w:vMerge w:val="restart"/>
          </w:tcPr>
          <w:p>
            <w:pPr>
              <w:pStyle w:val="TableParagraph"/>
              <w:spacing w:line="194" w:lineRule="auto" w:before="25"/>
              <w:ind w:left="63" w:right="53" w:hanging="1"/>
              <w:rPr>
                <w:sz w:val="22"/>
              </w:rPr>
            </w:pPr>
            <w:r>
              <w:rPr>
                <w:sz w:val="22"/>
              </w:rPr>
              <w:t>降低 INH 藥效( 仍高於有效血中濃度)</w:t>
            </w:r>
          </w:p>
        </w:tc>
        <w:tc>
          <w:tcPr>
            <w:tcW w:w="2243" w:type="dxa"/>
            <w:vMerge w:val="restart"/>
          </w:tcPr>
          <w:p>
            <w:pPr>
              <w:pStyle w:val="TableParagraph"/>
              <w:spacing w:line="194" w:lineRule="auto" w:before="25"/>
              <w:ind w:left="63" w:right="53" w:hanging="1"/>
              <w:rPr>
                <w:sz w:val="22"/>
              </w:rPr>
            </w:pPr>
            <w:r>
              <w:rPr>
                <w:spacing w:val="10"/>
                <w:sz w:val="22"/>
              </w:rPr>
              <w:t>服用 </w:t>
            </w:r>
            <w:r>
              <w:rPr>
                <w:sz w:val="22"/>
              </w:rPr>
              <w:t>INH 一小時後才</w:t>
            </w:r>
            <w:r>
              <w:rPr>
                <w:spacing w:val="-12"/>
                <w:sz w:val="22"/>
              </w:rPr>
              <w:t>使用制酸劑，避免與食</w:t>
            </w:r>
          </w:p>
          <w:p>
            <w:pPr>
              <w:pStyle w:val="TableParagraph"/>
              <w:spacing w:line="283" w:lineRule="exact"/>
              <w:ind w:left="63"/>
              <w:rPr>
                <w:sz w:val="22"/>
              </w:rPr>
            </w:pPr>
            <w:r>
              <w:rPr>
                <w:sz w:val="22"/>
              </w:rPr>
              <w:t>物併服</w:t>
            </w:r>
          </w:p>
        </w:tc>
      </w:tr>
      <w:tr>
        <w:trPr>
          <w:trHeight w:val="567" w:hRule="atLeast"/>
        </w:trPr>
        <w:tc>
          <w:tcPr>
            <w:tcW w:w="2016" w:type="dxa"/>
            <w:vMerge/>
            <w:tcBorders>
              <w:top w:val="nil"/>
            </w:tcBorders>
          </w:tcPr>
          <w:p>
            <w:pPr>
              <w:rPr>
                <w:sz w:val="2"/>
                <w:szCs w:val="2"/>
              </w:rPr>
            </w:pPr>
          </w:p>
        </w:tc>
        <w:tc>
          <w:tcPr>
            <w:tcW w:w="2722" w:type="dxa"/>
          </w:tcPr>
          <w:p>
            <w:pPr>
              <w:pStyle w:val="TableParagraph"/>
              <w:spacing w:line="376" w:lineRule="exact"/>
              <w:ind w:left="76"/>
              <w:rPr>
                <w:sz w:val="22"/>
              </w:rPr>
            </w:pPr>
            <w:r>
              <w:rPr>
                <w:sz w:val="22"/>
              </w:rPr>
              <w:t>food</w:t>
            </w:r>
          </w:p>
        </w:tc>
        <w:tc>
          <w:tcPr>
            <w:tcW w:w="2345" w:type="dxa"/>
            <w:vMerge/>
            <w:tcBorders>
              <w:top w:val="nil"/>
            </w:tcBorders>
          </w:tcPr>
          <w:p>
            <w:pPr>
              <w:rPr>
                <w:sz w:val="2"/>
                <w:szCs w:val="2"/>
              </w:rPr>
            </w:pPr>
          </w:p>
        </w:tc>
        <w:tc>
          <w:tcPr>
            <w:tcW w:w="2243" w:type="dxa"/>
            <w:vMerge/>
            <w:tcBorders>
              <w:top w:val="nil"/>
            </w:tcBorders>
          </w:tcPr>
          <w:p>
            <w:pPr>
              <w:rPr>
                <w:sz w:val="2"/>
                <w:szCs w:val="2"/>
              </w:rPr>
            </w:pPr>
          </w:p>
        </w:tc>
      </w:tr>
      <w:tr>
        <w:trPr>
          <w:trHeight w:val="656" w:hRule="atLeast"/>
        </w:trPr>
        <w:tc>
          <w:tcPr>
            <w:tcW w:w="2016" w:type="dxa"/>
            <w:vMerge w:val="restart"/>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4"/>
              <w:rPr>
                <w:b/>
                <w:sz w:val="25"/>
              </w:rPr>
            </w:pPr>
          </w:p>
          <w:p>
            <w:pPr>
              <w:pStyle w:val="TableParagraph"/>
              <w:ind w:left="75"/>
              <w:rPr>
                <w:sz w:val="22"/>
              </w:rPr>
            </w:pPr>
            <w:r>
              <w:rPr>
                <w:sz w:val="22"/>
              </w:rPr>
              <w:t>Rifampicin (RMP)</w:t>
            </w:r>
          </w:p>
        </w:tc>
        <w:tc>
          <w:tcPr>
            <w:tcW w:w="2722" w:type="dxa"/>
          </w:tcPr>
          <w:p>
            <w:pPr>
              <w:pStyle w:val="TableParagraph"/>
              <w:spacing w:line="376" w:lineRule="exact"/>
              <w:ind w:left="76"/>
              <w:rPr>
                <w:sz w:val="22"/>
              </w:rPr>
            </w:pPr>
            <w:r>
              <w:rPr>
                <w:sz w:val="22"/>
              </w:rPr>
              <w:t>food</w:t>
            </w:r>
          </w:p>
        </w:tc>
        <w:tc>
          <w:tcPr>
            <w:tcW w:w="2345" w:type="dxa"/>
          </w:tcPr>
          <w:p>
            <w:pPr>
              <w:pStyle w:val="TableParagraph"/>
              <w:spacing w:line="328" w:lineRule="exact" w:before="1"/>
              <w:ind w:left="63" w:right="53" w:hanging="1"/>
              <w:rPr>
                <w:sz w:val="22"/>
              </w:rPr>
            </w:pPr>
            <w:r>
              <w:rPr>
                <w:sz w:val="22"/>
              </w:rPr>
              <w:t>降低 RMP 之吸收(仍高於有效血中濃度)</w:t>
            </w:r>
          </w:p>
        </w:tc>
        <w:tc>
          <w:tcPr>
            <w:tcW w:w="2243" w:type="dxa"/>
          </w:tcPr>
          <w:p>
            <w:pPr>
              <w:pStyle w:val="TableParagraph"/>
              <w:spacing w:line="328" w:lineRule="exact" w:before="1"/>
              <w:ind w:left="62" w:right="32"/>
              <w:rPr>
                <w:sz w:val="22"/>
              </w:rPr>
            </w:pPr>
            <w:r>
              <w:rPr>
                <w:sz w:val="22"/>
              </w:rPr>
              <w:t>餐前一小時或餐後二小時給藥</w:t>
            </w:r>
          </w:p>
        </w:tc>
      </w:tr>
      <w:tr>
        <w:trPr>
          <w:trHeight w:val="654" w:hRule="atLeast"/>
        </w:trPr>
        <w:tc>
          <w:tcPr>
            <w:tcW w:w="2016" w:type="dxa"/>
            <w:vMerge/>
            <w:tcBorders>
              <w:top w:val="nil"/>
            </w:tcBorders>
          </w:tcPr>
          <w:p>
            <w:pPr>
              <w:rPr>
                <w:sz w:val="2"/>
                <w:szCs w:val="2"/>
              </w:rPr>
            </w:pPr>
          </w:p>
        </w:tc>
        <w:tc>
          <w:tcPr>
            <w:tcW w:w="2722" w:type="dxa"/>
          </w:tcPr>
          <w:p>
            <w:pPr>
              <w:pStyle w:val="TableParagraph"/>
              <w:spacing w:line="375" w:lineRule="exact"/>
              <w:ind w:left="76"/>
              <w:rPr>
                <w:sz w:val="22"/>
              </w:rPr>
            </w:pPr>
            <w:r>
              <w:rPr>
                <w:sz w:val="22"/>
              </w:rPr>
              <w:t>methadone</w:t>
            </w:r>
          </w:p>
        </w:tc>
        <w:tc>
          <w:tcPr>
            <w:tcW w:w="2345" w:type="dxa"/>
            <w:vMerge w:val="restart"/>
          </w:tcPr>
          <w:p>
            <w:pPr>
              <w:pStyle w:val="TableParagraph"/>
              <w:spacing w:line="194" w:lineRule="auto" w:before="25"/>
              <w:ind w:left="63" w:right="-15"/>
              <w:jc w:val="both"/>
              <w:rPr>
                <w:sz w:val="22"/>
              </w:rPr>
            </w:pPr>
            <w:r>
              <w:rPr>
                <w:spacing w:val="-5"/>
                <w:sz w:val="22"/>
              </w:rPr>
              <w:t>增加 </w:t>
            </w:r>
            <w:r>
              <w:rPr>
                <w:sz w:val="22"/>
              </w:rPr>
              <w:t>RMP</w:t>
            </w:r>
            <w:r>
              <w:rPr>
                <w:spacing w:val="-12"/>
                <w:sz w:val="22"/>
              </w:rPr>
              <w:t> 之血中濃度， </w:t>
            </w:r>
            <w:r>
              <w:rPr>
                <w:spacing w:val="-7"/>
                <w:sz w:val="22"/>
              </w:rPr>
              <w:t>會提高併用藥物在肝臟</w:t>
            </w:r>
            <w:r>
              <w:rPr>
                <w:spacing w:val="-5"/>
                <w:sz w:val="22"/>
              </w:rPr>
              <w:t>代謝的速率，而降低併</w:t>
            </w:r>
            <w:r>
              <w:rPr>
                <w:spacing w:val="-4"/>
                <w:sz w:val="22"/>
              </w:rPr>
              <w:t>用藥物效能。</w:t>
            </w:r>
          </w:p>
        </w:tc>
        <w:tc>
          <w:tcPr>
            <w:tcW w:w="2243" w:type="dxa"/>
          </w:tcPr>
          <w:p>
            <w:pPr>
              <w:pStyle w:val="TableParagraph"/>
              <w:spacing w:line="336" w:lineRule="exact"/>
              <w:ind w:left="62"/>
              <w:rPr>
                <w:sz w:val="22"/>
              </w:rPr>
            </w:pPr>
            <w:r>
              <w:rPr>
                <w:sz w:val="22"/>
              </w:rPr>
              <w:t>必要時調整</w:t>
            </w:r>
          </w:p>
          <w:p>
            <w:pPr>
              <w:pStyle w:val="TableParagraph"/>
              <w:spacing w:line="299" w:lineRule="exact"/>
              <w:ind w:left="62"/>
              <w:rPr>
                <w:sz w:val="22"/>
              </w:rPr>
            </w:pPr>
            <w:r>
              <w:rPr>
                <w:sz w:val="22"/>
              </w:rPr>
              <w:t>methadone 劑 量</w:t>
            </w:r>
          </w:p>
        </w:tc>
      </w:tr>
      <w:tr>
        <w:trPr>
          <w:trHeight w:val="417" w:hRule="atLeast"/>
        </w:trPr>
        <w:tc>
          <w:tcPr>
            <w:tcW w:w="2016" w:type="dxa"/>
            <w:vMerge/>
            <w:tcBorders>
              <w:top w:val="nil"/>
            </w:tcBorders>
          </w:tcPr>
          <w:p>
            <w:pPr>
              <w:rPr>
                <w:sz w:val="2"/>
                <w:szCs w:val="2"/>
              </w:rPr>
            </w:pPr>
          </w:p>
        </w:tc>
        <w:tc>
          <w:tcPr>
            <w:tcW w:w="2722" w:type="dxa"/>
          </w:tcPr>
          <w:p>
            <w:pPr>
              <w:pStyle w:val="TableParagraph"/>
              <w:spacing w:line="376" w:lineRule="exact"/>
              <w:ind w:left="76"/>
              <w:rPr>
                <w:sz w:val="22"/>
              </w:rPr>
            </w:pPr>
            <w:r>
              <w:rPr>
                <w:sz w:val="22"/>
              </w:rPr>
              <w:t>Mefloquine atovaquone</w:t>
            </w:r>
          </w:p>
        </w:tc>
        <w:tc>
          <w:tcPr>
            <w:tcW w:w="2345" w:type="dxa"/>
            <w:vMerge/>
            <w:tcBorders>
              <w:top w:val="nil"/>
            </w:tcBorders>
          </w:tcPr>
          <w:p>
            <w:pPr>
              <w:rPr>
                <w:sz w:val="2"/>
                <w:szCs w:val="2"/>
              </w:rPr>
            </w:pPr>
          </w:p>
        </w:tc>
        <w:tc>
          <w:tcPr>
            <w:tcW w:w="2243" w:type="dxa"/>
            <w:vMerge w:val="restart"/>
          </w:tcPr>
          <w:p>
            <w:pPr>
              <w:pStyle w:val="TableParagraph"/>
              <w:spacing w:line="194" w:lineRule="auto" w:before="26"/>
              <w:ind w:left="62" w:right="31"/>
              <w:jc w:val="both"/>
              <w:rPr>
                <w:sz w:val="22"/>
              </w:rPr>
            </w:pPr>
            <w:r>
              <w:rPr>
                <w:spacing w:val="14"/>
                <w:sz w:val="22"/>
              </w:rPr>
              <w:t>必要時調整合併藥物</w:t>
            </w:r>
            <w:r>
              <w:rPr>
                <w:spacing w:val="-11"/>
                <w:sz w:val="22"/>
              </w:rPr>
              <w:t>之劑量，以避免抗微生</w:t>
            </w:r>
            <w:r>
              <w:rPr>
                <w:spacing w:val="19"/>
                <w:sz w:val="22"/>
              </w:rPr>
              <w:t>物劑</w:t>
            </w:r>
            <w:r>
              <w:rPr>
                <w:sz w:val="22"/>
              </w:rPr>
              <w:t>/</w:t>
            </w:r>
            <w:r>
              <w:rPr>
                <w:spacing w:val="7"/>
                <w:sz w:val="22"/>
              </w:rPr>
              <w:t> 瘧疾治療</w:t>
            </w:r>
            <w:r>
              <w:rPr>
                <w:sz w:val="22"/>
              </w:rPr>
              <w:t>/</w:t>
            </w:r>
            <w:r>
              <w:rPr>
                <w:spacing w:val="-4"/>
                <w:sz w:val="22"/>
              </w:rPr>
              <w:t> 預防失敗</w:t>
            </w:r>
          </w:p>
        </w:tc>
      </w:tr>
      <w:tr>
        <w:trPr>
          <w:trHeight w:val="1312" w:hRule="atLeast"/>
        </w:trPr>
        <w:tc>
          <w:tcPr>
            <w:tcW w:w="2016" w:type="dxa"/>
            <w:vMerge/>
            <w:tcBorders>
              <w:top w:val="nil"/>
            </w:tcBorders>
          </w:tcPr>
          <w:p>
            <w:pPr>
              <w:rPr>
                <w:sz w:val="2"/>
                <w:szCs w:val="2"/>
              </w:rPr>
            </w:pPr>
          </w:p>
        </w:tc>
        <w:tc>
          <w:tcPr>
            <w:tcW w:w="2722" w:type="dxa"/>
          </w:tcPr>
          <w:p>
            <w:pPr>
              <w:pStyle w:val="TableParagraph"/>
              <w:spacing w:line="194" w:lineRule="auto" w:before="25"/>
              <w:ind w:left="76" w:right="107"/>
              <w:rPr>
                <w:sz w:val="22"/>
              </w:rPr>
            </w:pPr>
            <w:r>
              <w:rPr>
                <w:sz w:val="22"/>
              </w:rPr>
              <w:t>azole antifungal agents clarithrimycin erythromycin doxycyclin</w:t>
            </w:r>
          </w:p>
          <w:p>
            <w:pPr>
              <w:pStyle w:val="TableParagraph"/>
              <w:spacing w:line="284" w:lineRule="exact"/>
              <w:ind w:left="76"/>
              <w:rPr>
                <w:sz w:val="22"/>
              </w:rPr>
            </w:pPr>
            <w:r>
              <w:rPr>
                <w:sz w:val="22"/>
              </w:rPr>
              <w:t>chloraphenicol</w:t>
            </w:r>
          </w:p>
        </w:tc>
        <w:tc>
          <w:tcPr>
            <w:tcW w:w="2345" w:type="dxa"/>
            <w:vMerge/>
            <w:tcBorders>
              <w:top w:val="nil"/>
            </w:tcBorders>
          </w:tcPr>
          <w:p>
            <w:pPr>
              <w:rPr>
                <w:sz w:val="2"/>
                <w:szCs w:val="2"/>
              </w:rPr>
            </w:pPr>
          </w:p>
        </w:tc>
        <w:tc>
          <w:tcPr>
            <w:tcW w:w="2243" w:type="dxa"/>
            <w:vMerge/>
            <w:tcBorders>
              <w:top w:val="nil"/>
            </w:tcBorders>
          </w:tcPr>
          <w:p>
            <w:pPr>
              <w:rPr>
                <w:sz w:val="2"/>
                <w:szCs w:val="2"/>
              </w:rPr>
            </w:pPr>
          </w:p>
        </w:tc>
      </w:tr>
      <w:tr>
        <w:trPr>
          <w:trHeight w:val="983" w:hRule="atLeast"/>
        </w:trPr>
        <w:tc>
          <w:tcPr>
            <w:tcW w:w="2016" w:type="dxa"/>
            <w:vMerge/>
            <w:tcBorders>
              <w:top w:val="nil"/>
            </w:tcBorders>
          </w:tcPr>
          <w:p>
            <w:pPr>
              <w:rPr>
                <w:sz w:val="2"/>
                <w:szCs w:val="2"/>
              </w:rPr>
            </w:pPr>
          </w:p>
        </w:tc>
        <w:tc>
          <w:tcPr>
            <w:tcW w:w="2722" w:type="dxa"/>
          </w:tcPr>
          <w:p>
            <w:pPr>
              <w:pStyle w:val="TableParagraph"/>
              <w:spacing w:line="194" w:lineRule="auto" w:before="25"/>
              <w:ind w:left="76" w:right="-3"/>
              <w:rPr>
                <w:sz w:val="22"/>
              </w:rPr>
            </w:pPr>
            <w:r>
              <w:rPr>
                <w:sz w:val="22"/>
              </w:rPr>
              <w:t>Calcium channel blockers (Nifedipine，</w:t>
            </w:r>
          </w:p>
          <w:p>
            <w:pPr>
              <w:pStyle w:val="TableParagraph"/>
              <w:spacing w:line="283" w:lineRule="exact"/>
              <w:ind w:left="76"/>
              <w:rPr>
                <w:sz w:val="22"/>
              </w:rPr>
            </w:pPr>
            <w:r>
              <w:rPr>
                <w:sz w:val="22"/>
              </w:rPr>
              <w:t>Amlodipine，Verapamil)</w:t>
            </w:r>
          </w:p>
        </w:tc>
        <w:tc>
          <w:tcPr>
            <w:tcW w:w="2345" w:type="dxa"/>
            <w:vMerge/>
            <w:tcBorders>
              <w:top w:val="nil"/>
            </w:tcBorders>
          </w:tcPr>
          <w:p>
            <w:pPr>
              <w:rPr>
                <w:sz w:val="2"/>
                <w:szCs w:val="2"/>
              </w:rPr>
            </w:pPr>
          </w:p>
        </w:tc>
        <w:tc>
          <w:tcPr>
            <w:tcW w:w="2243" w:type="dxa"/>
            <w:vMerge w:val="restart"/>
          </w:tcPr>
          <w:p>
            <w:pPr>
              <w:pStyle w:val="TableParagraph"/>
              <w:spacing w:line="194" w:lineRule="auto" w:before="25"/>
              <w:ind w:left="63" w:right="52"/>
              <w:rPr>
                <w:sz w:val="22"/>
              </w:rPr>
            </w:pPr>
            <w:r>
              <w:rPr>
                <w:spacing w:val="-12"/>
                <w:sz w:val="22"/>
              </w:rPr>
              <w:t>監測血中濃度，提高劑</w:t>
            </w:r>
            <w:r>
              <w:rPr>
                <w:spacing w:val="-4"/>
                <w:sz w:val="22"/>
              </w:rPr>
              <w:t>量或改用其他藥物。</w:t>
            </w:r>
          </w:p>
        </w:tc>
      </w:tr>
      <w:tr>
        <w:trPr>
          <w:trHeight w:val="364" w:hRule="atLeast"/>
        </w:trPr>
        <w:tc>
          <w:tcPr>
            <w:tcW w:w="2016" w:type="dxa"/>
            <w:vMerge/>
            <w:tcBorders>
              <w:top w:val="nil"/>
            </w:tcBorders>
          </w:tcPr>
          <w:p>
            <w:pPr>
              <w:rPr>
                <w:sz w:val="2"/>
                <w:szCs w:val="2"/>
              </w:rPr>
            </w:pPr>
          </w:p>
        </w:tc>
        <w:tc>
          <w:tcPr>
            <w:tcW w:w="2722" w:type="dxa"/>
          </w:tcPr>
          <w:p>
            <w:pPr>
              <w:pStyle w:val="TableParagraph"/>
              <w:spacing w:line="344" w:lineRule="exact"/>
              <w:ind w:left="76"/>
              <w:rPr>
                <w:sz w:val="22"/>
              </w:rPr>
            </w:pPr>
            <w:r>
              <w:rPr>
                <w:sz w:val="22"/>
              </w:rPr>
              <w:t>cyclosporin</w:t>
            </w:r>
          </w:p>
        </w:tc>
        <w:tc>
          <w:tcPr>
            <w:tcW w:w="2345" w:type="dxa"/>
            <w:vMerge/>
            <w:tcBorders>
              <w:top w:val="nil"/>
            </w:tcBorders>
          </w:tcPr>
          <w:p>
            <w:pPr>
              <w:rPr>
                <w:sz w:val="2"/>
                <w:szCs w:val="2"/>
              </w:rPr>
            </w:pPr>
          </w:p>
        </w:tc>
        <w:tc>
          <w:tcPr>
            <w:tcW w:w="2243" w:type="dxa"/>
            <w:vMerge/>
            <w:tcBorders>
              <w:top w:val="nil"/>
            </w:tcBorders>
          </w:tcPr>
          <w:p>
            <w:pPr>
              <w:rPr>
                <w:sz w:val="2"/>
                <w:szCs w:val="2"/>
              </w:rPr>
            </w:pPr>
          </w:p>
        </w:tc>
      </w:tr>
      <w:tr>
        <w:trPr>
          <w:trHeight w:val="983" w:hRule="atLeast"/>
        </w:trPr>
        <w:tc>
          <w:tcPr>
            <w:tcW w:w="2016" w:type="dxa"/>
            <w:vMerge/>
            <w:tcBorders>
              <w:top w:val="nil"/>
            </w:tcBorders>
          </w:tcPr>
          <w:p>
            <w:pPr>
              <w:rPr>
                <w:sz w:val="2"/>
                <w:szCs w:val="2"/>
              </w:rPr>
            </w:pPr>
          </w:p>
        </w:tc>
        <w:tc>
          <w:tcPr>
            <w:tcW w:w="2722" w:type="dxa"/>
          </w:tcPr>
          <w:p>
            <w:pPr>
              <w:pStyle w:val="TableParagraph"/>
              <w:spacing w:line="375" w:lineRule="exact"/>
              <w:ind w:left="76"/>
              <w:rPr>
                <w:sz w:val="22"/>
              </w:rPr>
            </w:pPr>
            <w:r>
              <w:rPr>
                <w:sz w:val="22"/>
              </w:rPr>
              <w:t>Digitoxin、digoxin</w:t>
            </w:r>
          </w:p>
        </w:tc>
        <w:tc>
          <w:tcPr>
            <w:tcW w:w="2345" w:type="dxa"/>
            <w:vMerge/>
            <w:tcBorders>
              <w:top w:val="nil"/>
            </w:tcBorders>
          </w:tcPr>
          <w:p>
            <w:pPr>
              <w:rPr>
                <w:sz w:val="2"/>
                <w:szCs w:val="2"/>
              </w:rPr>
            </w:pPr>
          </w:p>
        </w:tc>
        <w:tc>
          <w:tcPr>
            <w:tcW w:w="2243" w:type="dxa"/>
          </w:tcPr>
          <w:p>
            <w:pPr>
              <w:pStyle w:val="TableParagraph"/>
              <w:spacing w:line="194" w:lineRule="auto" w:before="25"/>
              <w:ind w:left="63" w:right="166"/>
              <w:rPr>
                <w:sz w:val="22"/>
              </w:rPr>
            </w:pPr>
            <w:r>
              <w:rPr>
                <w:sz w:val="22"/>
              </w:rPr>
              <w:t>監測血中濃度，必要時調整 digitoxin、</w:t>
            </w:r>
          </w:p>
          <w:p>
            <w:pPr>
              <w:pStyle w:val="TableParagraph"/>
              <w:spacing w:line="283" w:lineRule="exact"/>
              <w:ind w:left="62"/>
              <w:rPr>
                <w:sz w:val="22"/>
              </w:rPr>
            </w:pPr>
            <w:r>
              <w:rPr>
                <w:sz w:val="22"/>
              </w:rPr>
              <w:t>digoxin 劑 量</w:t>
            </w:r>
          </w:p>
        </w:tc>
      </w:tr>
    </w:tbl>
    <w:p>
      <w:pPr>
        <w:spacing w:after="0" w:line="283" w:lineRule="exact"/>
        <w:rPr>
          <w:sz w:val="22"/>
        </w:rPr>
        <w:sectPr>
          <w:pgSz w:w="12250" w:h="17190"/>
          <w:pgMar w:header="0" w:footer="748" w:top="1360" w:bottom="1020" w:left="1180" w:right="0"/>
        </w:sect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2722"/>
        <w:gridCol w:w="2345"/>
        <w:gridCol w:w="2243"/>
      </w:tblGrid>
      <w:tr>
        <w:trPr>
          <w:trHeight w:val="430" w:hRule="atLeast"/>
        </w:trPr>
        <w:tc>
          <w:tcPr>
            <w:tcW w:w="2016" w:type="dxa"/>
            <w:shd w:val="clear" w:color="auto" w:fill="F1F1F1"/>
          </w:tcPr>
          <w:p>
            <w:pPr>
              <w:pStyle w:val="TableParagraph"/>
              <w:spacing w:line="409" w:lineRule="exact" w:before="1"/>
              <w:ind w:left="442"/>
              <w:rPr>
                <w:sz w:val="23"/>
              </w:rPr>
            </w:pPr>
            <w:r>
              <w:rPr>
                <w:sz w:val="23"/>
              </w:rPr>
              <w:t>抗結核藥物</w:t>
            </w:r>
          </w:p>
        </w:tc>
        <w:tc>
          <w:tcPr>
            <w:tcW w:w="2722" w:type="dxa"/>
            <w:shd w:val="clear" w:color="auto" w:fill="F1F1F1"/>
          </w:tcPr>
          <w:p>
            <w:pPr>
              <w:pStyle w:val="TableParagraph"/>
              <w:spacing w:line="409" w:lineRule="exact" w:before="1"/>
              <w:ind w:left="683"/>
              <w:rPr>
                <w:sz w:val="23"/>
              </w:rPr>
            </w:pPr>
            <w:r>
              <w:rPr>
                <w:sz w:val="23"/>
              </w:rPr>
              <w:t>併用藥物種類</w:t>
            </w:r>
          </w:p>
        </w:tc>
        <w:tc>
          <w:tcPr>
            <w:tcW w:w="2345" w:type="dxa"/>
            <w:shd w:val="clear" w:color="auto" w:fill="F1F1F1"/>
          </w:tcPr>
          <w:p>
            <w:pPr>
              <w:pStyle w:val="TableParagraph"/>
              <w:spacing w:line="409" w:lineRule="exact" w:before="1"/>
              <w:ind w:left="493"/>
              <w:rPr>
                <w:sz w:val="23"/>
              </w:rPr>
            </w:pPr>
            <w:r>
              <w:rPr>
                <w:sz w:val="23"/>
              </w:rPr>
              <w:t>交互作用結果</w:t>
            </w:r>
          </w:p>
        </w:tc>
        <w:tc>
          <w:tcPr>
            <w:tcW w:w="2243" w:type="dxa"/>
            <w:shd w:val="clear" w:color="auto" w:fill="F1F1F1"/>
          </w:tcPr>
          <w:p>
            <w:pPr>
              <w:pStyle w:val="TableParagraph"/>
              <w:spacing w:line="409" w:lineRule="exact" w:before="1"/>
              <w:ind w:left="668"/>
              <w:rPr>
                <w:sz w:val="23"/>
              </w:rPr>
            </w:pPr>
            <w:r>
              <w:rPr>
                <w:sz w:val="23"/>
              </w:rPr>
              <w:t>處理方法</w:t>
            </w:r>
          </w:p>
        </w:tc>
      </w:tr>
      <w:tr>
        <w:trPr>
          <w:trHeight w:val="987" w:hRule="atLeast"/>
        </w:trPr>
        <w:tc>
          <w:tcPr>
            <w:tcW w:w="2016" w:type="dxa"/>
            <w:vMerge w:val="restart"/>
          </w:tcPr>
          <w:p>
            <w:pPr>
              <w:pStyle w:val="TableParagraph"/>
              <w:rPr>
                <w:rFonts w:ascii="Times New Roman"/>
                <w:sz w:val="22"/>
              </w:rPr>
            </w:pPr>
          </w:p>
        </w:tc>
        <w:tc>
          <w:tcPr>
            <w:tcW w:w="2722" w:type="dxa"/>
          </w:tcPr>
          <w:p>
            <w:pPr>
              <w:pStyle w:val="TableParagraph"/>
              <w:spacing w:line="194" w:lineRule="auto" w:before="18"/>
              <w:ind w:left="76" w:right="59"/>
              <w:rPr>
                <w:sz w:val="22"/>
              </w:rPr>
            </w:pPr>
            <w:r>
              <w:rPr>
                <w:sz w:val="22"/>
              </w:rPr>
              <w:t>diazepam glucocorticoid haloperidol midazole</w:t>
            </w:r>
          </w:p>
          <w:p>
            <w:pPr>
              <w:pStyle w:val="TableParagraph"/>
              <w:spacing w:line="293" w:lineRule="exact"/>
              <w:ind w:left="76"/>
              <w:rPr>
                <w:sz w:val="22"/>
              </w:rPr>
            </w:pPr>
            <w:r>
              <w:rPr>
                <w:sz w:val="22"/>
              </w:rPr>
              <w:t>imidazole</w:t>
            </w:r>
          </w:p>
        </w:tc>
        <w:tc>
          <w:tcPr>
            <w:tcW w:w="2345" w:type="dxa"/>
            <w:vMerge w:val="restart"/>
            <w:tcBorders>
              <w:bottom w:val="single" w:sz="6" w:space="0" w:color="000000"/>
            </w:tcBorders>
          </w:tcPr>
          <w:p>
            <w:pPr>
              <w:pStyle w:val="TableParagraph"/>
              <w:rPr>
                <w:rFonts w:ascii="Times New Roman"/>
                <w:sz w:val="22"/>
              </w:rPr>
            </w:pPr>
          </w:p>
        </w:tc>
        <w:tc>
          <w:tcPr>
            <w:tcW w:w="2243" w:type="dxa"/>
          </w:tcPr>
          <w:p>
            <w:pPr>
              <w:pStyle w:val="TableParagraph"/>
              <w:spacing w:line="194" w:lineRule="auto" w:before="18"/>
              <w:ind w:left="62" w:right="32"/>
              <w:rPr>
                <w:sz w:val="22"/>
              </w:rPr>
            </w:pPr>
            <w:r>
              <w:rPr>
                <w:sz w:val="22"/>
              </w:rPr>
              <w:t>必要時調高併用藥物之劑量</w:t>
            </w:r>
          </w:p>
        </w:tc>
      </w:tr>
      <w:tr>
        <w:trPr>
          <w:trHeight w:val="392" w:hRule="atLeast"/>
        </w:trPr>
        <w:tc>
          <w:tcPr>
            <w:tcW w:w="2016" w:type="dxa"/>
            <w:vMerge/>
            <w:tcBorders>
              <w:top w:val="nil"/>
            </w:tcBorders>
          </w:tcPr>
          <w:p>
            <w:pPr>
              <w:rPr>
                <w:sz w:val="2"/>
                <w:szCs w:val="2"/>
              </w:rPr>
            </w:pPr>
          </w:p>
        </w:tc>
        <w:tc>
          <w:tcPr>
            <w:tcW w:w="2722" w:type="dxa"/>
          </w:tcPr>
          <w:p>
            <w:pPr>
              <w:pStyle w:val="TableParagraph"/>
              <w:spacing w:line="373" w:lineRule="exact"/>
              <w:ind w:left="76"/>
              <w:rPr>
                <w:sz w:val="22"/>
              </w:rPr>
            </w:pPr>
            <w:r>
              <w:rPr>
                <w:sz w:val="22"/>
              </w:rPr>
              <w:t>cotrimoxazole</w:t>
            </w:r>
          </w:p>
        </w:tc>
        <w:tc>
          <w:tcPr>
            <w:tcW w:w="2345" w:type="dxa"/>
            <w:vMerge/>
            <w:tcBorders>
              <w:top w:val="nil"/>
              <w:bottom w:val="single" w:sz="6" w:space="0" w:color="000000"/>
            </w:tcBorders>
          </w:tcPr>
          <w:p>
            <w:pPr>
              <w:rPr>
                <w:sz w:val="2"/>
                <w:szCs w:val="2"/>
              </w:rPr>
            </w:pPr>
          </w:p>
        </w:tc>
        <w:tc>
          <w:tcPr>
            <w:tcW w:w="2243" w:type="dxa"/>
          </w:tcPr>
          <w:p>
            <w:pPr>
              <w:pStyle w:val="TableParagraph"/>
              <w:spacing w:line="373" w:lineRule="exact"/>
              <w:ind w:left="62"/>
              <w:rPr>
                <w:sz w:val="22"/>
              </w:rPr>
            </w:pPr>
            <w:r>
              <w:rPr>
                <w:sz w:val="22"/>
              </w:rPr>
              <w:t>注意監測肝功能。</w:t>
            </w:r>
          </w:p>
        </w:tc>
      </w:tr>
      <w:tr>
        <w:trPr>
          <w:trHeight w:val="649" w:hRule="atLeast"/>
        </w:trPr>
        <w:tc>
          <w:tcPr>
            <w:tcW w:w="2016" w:type="dxa"/>
            <w:vMerge/>
            <w:tcBorders>
              <w:top w:val="nil"/>
            </w:tcBorders>
          </w:tcPr>
          <w:p>
            <w:pPr>
              <w:rPr>
                <w:sz w:val="2"/>
                <w:szCs w:val="2"/>
              </w:rPr>
            </w:pPr>
          </w:p>
        </w:tc>
        <w:tc>
          <w:tcPr>
            <w:tcW w:w="2722" w:type="dxa"/>
          </w:tcPr>
          <w:p>
            <w:pPr>
              <w:pStyle w:val="TableParagraph"/>
              <w:spacing w:line="365" w:lineRule="exact"/>
              <w:ind w:left="76"/>
              <w:rPr>
                <w:sz w:val="22"/>
              </w:rPr>
            </w:pPr>
            <w:r>
              <w:rPr>
                <w:sz w:val="22"/>
              </w:rPr>
              <w:t>protease inhibitors (PI)</w:t>
            </w:r>
          </w:p>
        </w:tc>
        <w:tc>
          <w:tcPr>
            <w:tcW w:w="2345" w:type="dxa"/>
            <w:vMerge/>
            <w:tcBorders>
              <w:top w:val="nil"/>
              <w:bottom w:val="single" w:sz="6" w:space="0" w:color="000000"/>
            </w:tcBorders>
          </w:tcPr>
          <w:p>
            <w:pPr>
              <w:rPr>
                <w:sz w:val="2"/>
                <w:szCs w:val="2"/>
              </w:rPr>
            </w:pPr>
          </w:p>
        </w:tc>
        <w:tc>
          <w:tcPr>
            <w:tcW w:w="2243" w:type="dxa"/>
          </w:tcPr>
          <w:p>
            <w:pPr>
              <w:pStyle w:val="TableParagraph"/>
              <w:spacing w:line="327" w:lineRule="exact"/>
              <w:ind w:left="62"/>
              <w:rPr>
                <w:sz w:val="22"/>
              </w:rPr>
            </w:pPr>
            <w:r>
              <w:rPr>
                <w:spacing w:val="-4"/>
                <w:sz w:val="22"/>
              </w:rPr>
              <w:t>改用 </w:t>
            </w:r>
            <w:r>
              <w:rPr>
                <w:spacing w:val="-16"/>
                <w:sz w:val="22"/>
              </w:rPr>
              <w:t>RFB，</w:t>
            </w:r>
            <w:r>
              <w:rPr>
                <w:spacing w:val="-4"/>
                <w:sz w:val="22"/>
              </w:rPr>
              <w:t>劑量請參考</w:t>
            </w:r>
          </w:p>
          <w:p>
            <w:pPr>
              <w:pStyle w:val="TableParagraph"/>
              <w:spacing w:line="303" w:lineRule="exact"/>
              <w:ind w:left="62"/>
              <w:rPr>
                <w:sz w:val="22"/>
              </w:rPr>
            </w:pPr>
            <w:r>
              <w:rPr>
                <w:sz w:val="22"/>
              </w:rPr>
              <w:t>第九章</w:t>
            </w:r>
          </w:p>
        </w:tc>
      </w:tr>
      <w:tr>
        <w:trPr>
          <w:trHeight w:val="1061" w:hRule="atLeast"/>
        </w:trPr>
        <w:tc>
          <w:tcPr>
            <w:tcW w:w="2016" w:type="dxa"/>
            <w:vMerge/>
            <w:tcBorders>
              <w:top w:val="nil"/>
            </w:tcBorders>
          </w:tcPr>
          <w:p>
            <w:pPr>
              <w:rPr>
                <w:sz w:val="2"/>
                <w:szCs w:val="2"/>
              </w:rPr>
            </w:pPr>
          </w:p>
        </w:tc>
        <w:tc>
          <w:tcPr>
            <w:tcW w:w="2722" w:type="dxa"/>
            <w:tcBorders>
              <w:bottom w:val="single" w:sz="6" w:space="0" w:color="000000"/>
            </w:tcBorders>
          </w:tcPr>
          <w:p>
            <w:pPr>
              <w:pStyle w:val="TableParagraph"/>
              <w:spacing w:line="194" w:lineRule="auto" w:before="17"/>
              <w:ind w:left="76" w:right="254"/>
              <w:jc w:val="both"/>
              <w:rPr>
                <w:sz w:val="22"/>
              </w:rPr>
            </w:pPr>
            <w:r>
              <w:rPr>
                <w:spacing w:val="-3"/>
                <w:sz w:val="22"/>
              </w:rPr>
              <w:t>non-nucleoside reverse </w:t>
            </w:r>
            <w:r>
              <w:rPr>
                <w:sz w:val="22"/>
              </w:rPr>
              <w:t>transcription </w:t>
            </w:r>
            <w:r>
              <w:rPr>
                <w:spacing w:val="-2"/>
                <w:sz w:val="22"/>
              </w:rPr>
              <w:t>inhibitors </w:t>
            </w:r>
            <w:r>
              <w:rPr>
                <w:sz w:val="22"/>
              </w:rPr>
              <w:t>(NNRTI)</w:t>
            </w:r>
          </w:p>
        </w:tc>
        <w:tc>
          <w:tcPr>
            <w:tcW w:w="2345" w:type="dxa"/>
            <w:vMerge/>
            <w:tcBorders>
              <w:top w:val="nil"/>
              <w:bottom w:val="single" w:sz="6" w:space="0" w:color="000000"/>
            </w:tcBorders>
          </w:tcPr>
          <w:p>
            <w:pPr>
              <w:rPr>
                <w:sz w:val="2"/>
                <w:szCs w:val="2"/>
              </w:rPr>
            </w:pPr>
          </w:p>
        </w:tc>
        <w:tc>
          <w:tcPr>
            <w:tcW w:w="2243" w:type="dxa"/>
            <w:tcBorders>
              <w:bottom w:val="single" w:sz="6" w:space="0" w:color="000000"/>
            </w:tcBorders>
          </w:tcPr>
          <w:p>
            <w:pPr>
              <w:pStyle w:val="TableParagraph"/>
              <w:spacing w:line="194" w:lineRule="auto" w:before="17"/>
              <w:ind w:left="62" w:right="5"/>
              <w:rPr>
                <w:sz w:val="22"/>
              </w:rPr>
            </w:pPr>
            <w:r>
              <w:rPr>
                <w:spacing w:val="16"/>
                <w:sz w:val="22"/>
              </w:rPr>
              <w:t>監測</w:t>
            </w:r>
            <w:r>
              <w:rPr>
                <w:sz w:val="22"/>
              </w:rPr>
              <w:t>PI/NNRTI</w:t>
            </w:r>
            <w:r>
              <w:rPr>
                <w:spacing w:val="-10"/>
                <w:sz w:val="22"/>
              </w:rPr>
              <w:t> 血中濃</w:t>
            </w:r>
            <w:r>
              <w:rPr>
                <w:spacing w:val="-11"/>
                <w:sz w:val="22"/>
              </w:rPr>
              <w:t>度，必要時調整劑量。</w:t>
            </w:r>
          </w:p>
        </w:tc>
      </w:tr>
      <w:tr>
        <w:trPr>
          <w:trHeight w:val="1031" w:hRule="atLeast"/>
        </w:trPr>
        <w:tc>
          <w:tcPr>
            <w:tcW w:w="2016" w:type="dxa"/>
            <w:vMerge/>
            <w:tcBorders>
              <w:top w:val="nil"/>
            </w:tcBorders>
          </w:tcPr>
          <w:p>
            <w:pPr>
              <w:rPr>
                <w:sz w:val="2"/>
                <w:szCs w:val="2"/>
              </w:rPr>
            </w:pPr>
          </w:p>
        </w:tc>
        <w:tc>
          <w:tcPr>
            <w:tcW w:w="2722" w:type="dxa"/>
            <w:tcBorders>
              <w:top w:val="single" w:sz="6" w:space="0" w:color="000000"/>
              <w:bottom w:val="single" w:sz="6" w:space="0" w:color="000000"/>
            </w:tcBorders>
          </w:tcPr>
          <w:p>
            <w:pPr>
              <w:pStyle w:val="TableParagraph"/>
              <w:spacing w:line="368" w:lineRule="exact"/>
              <w:ind w:left="76"/>
              <w:rPr>
                <w:sz w:val="22"/>
              </w:rPr>
            </w:pPr>
            <w:r>
              <w:rPr>
                <w:sz w:val="22"/>
              </w:rPr>
              <w:t>oral contraceptives</w:t>
            </w:r>
          </w:p>
        </w:tc>
        <w:tc>
          <w:tcPr>
            <w:tcW w:w="2345" w:type="dxa"/>
            <w:tcBorders>
              <w:top w:val="single" w:sz="6" w:space="0" w:color="000000"/>
              <w:bottom w:val="single" w:sz="6" w:space="0" w:color="000000"/>
            </w:tcBorders>
          </w:tcPr>
          <w:p>
            <w:pPr>
              <w:pStyle w:val="TableParagraph"/>
              <w:spacing w:line="194" w:lineRule="auto" w:before="18"/>
              <w:ind w:left="62" w:right="48"/>
              <w:jc w:val="both"/>
              <w:rPr>
                <w:sz w:val="22"/>
              </w:rPr>
            </w:pPr>
            <w:r>
              <w:rPr>
                <w:sz w:val="22"/>
              </w:rPr>
              <w:t>提高併用藥品在肝臟代謝的速率，降低避孕效果。</w:t>
            </w:r>
          </w:p>
        </w:tc>
        <w:tc>
          <w:tcPr>
            <w:tcW w:w="2243" w:type="dxa"/>
            <w:tcBorders>
              <w:top w:val="single" w:sz="6" w:space="0" w:color="000000"/>
              <w:bottom w:val="single" w:sz="6" w:space="0" w:color="000000"/>
            </w:tcBorders>
          </w:tcPr>
          <w:p>
            <w:pPr>
              <w:pStyle w:val="TableParagraph"/>
              <w:spacing w:line="194" w:lineRule="auto" w:before="18"/>
              <w:ind w:left="62" w:right="19"/>
              <w:rPr>
                <w:sz w:val="22"/>
              </w:rPr>
            </w:pPr>
            <w:r>
              <w:rPr>
                <w:spacing w:val="-9"/>
                <w:sz w:val="22"/>
              </w:rPr>
              <w:t>改用其他避孕方法，或</w:t>
            </w:r>
            <w:r>
              <w:rPr>
                <w:spacing w:val="15"/>
                <w:sz w:val="22"/>
              </w:rPr>
              <w:t>提高 </w:t>
            </w:r>
            <w:r>
              <w:rPr>
                <w:sz w:val="22"/>
              </w:rPr>
              <w:t>estrogen</w:t>
            </w:r>
            <w:r>
              <w:rPr>
                <w:spacing w:val="21"/>
                <w:sz w:val="22"/>
              </w:rPr>
              <w:t> 劑量</w:t>
            </w:r>
          </w:p>
          <w:p>
            <w:pPr>
              <w:pStyle w:val="TableParagraph"/>
              <w:spacing w:line="337" w:lineRule="exact"/>
              <w:ind w:left="63"/>
              <w:rPr>
                <w:sz w:val="22"/>
              </w:rPr>
            </w:pPr>
            <w:r>
              <w:rPr>
                <w:sz w:val="22"/>
              </w:rPr>
              <w:t>（50μg）</w:t>
            </w:r>
          </w:p>
        </w:tc>
      </w:tr>
      <w:tr>
        <w:trPr>
          <w:trHeight w:val="1056" w:hRule="atLeast"/>
        </w:trPr>
        <w:tc>
          <w:tcPr>
            <w:tcW w:w="2016" w:type="dxa"/>
            <w:vMerge/>
            <w:tcBorders>
              <w:top w:val="nil"/>
            </w:tcBorders>
          </w:tcPr>
          <w:p>
            <w:pPr>
              <w:rPr>
                <w:sz w:val="2"/>
                <w:szCs w:val="2"/>
              </w:rPr>
            </w:pPr>
          </w:p>
        </w:tc>
        <w:tc>
          <w:tcPr>
            <w:tcW w:w="2722" w:type="dxa"/>
            <w:tcBorders>
              <w:top w:val="single" w:sz="6" w:space="0" w:color="000000"/>
            </w:tcBorders>
          </w:tcPr>
          <w:p>
            <w:pPr>
              <w:pStyle w:val="TableParagraph"/>
              <w:spacing w:line="194" w:lineRule="auto" w:before="56"/>
              <w:ind w:left="76"/>
              <w:rPr>
                <w:sz w:val="22"/>
              </w:rPr>
            </w:pPr>
            <w:r>
              <w:rPr>
                <w:sz w:val="22"/>
              </w:rPr>
              <w:t>anticonvulsants(如： phenytoin)</w:t>
            </w:r>
          </w:p>
        </w:tc>
        <w:tc>
          <w:tcPr>
            <w:tcW w:w="2345" w:type="dxa"/>
            <w:tcBorders>
              <w:top w:val="single" w:sz="6" w:space="0" w:color="000000"/>
            </w:tcBorders>
          </w:tcPr>
          <w:p>
            <w:pPr>
              <w:pStyle w:val="TableParagraph"/>
              <w:spacing w:line="328" w:lineRule="exact" w:before="30"/>
              <w:ind w:left="63" w:right="48"/>
              <w:jc w:val="both"/>
              <w:rPr>
                <w:sz w:val="22"/>
              </w:rPr>
            </w:pPr>
            <w:r>
              <w:rPr>
                <w:sz w:val="22"/>
              </w:rPr>
              <w:t>提高併用藥物之肝臟清除率，降低併用藥品之血中濃度。</w:t>
            </w:r>
          </w:p>
        </w:tc>
        <w:tc>
          <w:tcPr>
            <w:tcW w:w="2243" w:type="dxa"/>
            <w:tcBorders>
              <w:top w:val="single" w:sz="6" w:space="0" w:color="000000"/>
            </w:tcBorders>
          </w:tcPr>
          <w:p>
            <w:pPr>
              <w:pStyle w:val="TableParagraph"/>
              <w:spacing w:line="328" w:lineRule="exact" w:before="30"/>
              <w:ind w:left="63" w:right="31" w:hanging="1"/>
              <w:jc w:val="both"/>
              <w:rPr>
                <w:sz w:val="22"/>
              </w:rPr>
            </w:pPr>
            <w:r>
              <w:rPr>
                <w:spacing w:val="-3"/>
                <w:sz w:val="22"/>
              </w:rPr>
              <w:t>監 測 </w:t>
            </w:r>
            <w:r>
              <w:rPr>
                <w:sz w:val="22"/>
              </w:rPr>
              <w:t>phenytoin</w:t>
            </w:r>
            <w:r>
              <w:rPr>
                <w:spacing w:val="-9"/>
                <w:sz w:val="22"/>
              </w:rPr>
              <w:t> 血 中</w:t>
            </w:r>
            <w:r>
              <w:rPr>
                <w:spacing w:val="14"/>
                <w:sz w:val="22"/>
              </w:rPr>
              <w:t>濃度必要時調整其劑</w:t>
            </w:r>
            <w:r>
              <w:rPr>
                <w:spacing w:val="-4"/>
                <w:sz w:val="22"/>
              </w:rPr>
              <w:t>量。</w:t>
            </w:r>
          </w:p>
        </w:tc>
      </w:tr>
      <w:tr>
        <w:trPr>
          <w:trHeight w:val="1359" w:hRule="atLeast"/>
        </w:trPr>
        <w:tc>
          <w:tcPr>
            <w:tcW w:w="2016" w:type="dxa"/>
            <w:vMerge/>
            <w:tcBorders>
              <w:top w:val="nil"/>
            </w:tcBorders>
          </w:tcPr>
          <w:p>
            <w:pPr>
              <w:rPr>
                <w:sz w:val="2"/>
                <w:szCs w:val="2"/>
              </w:rPr>
            </w:pPr>
          </w:p>
        </w:tc>
        <w:tc>
          <w:tcPr>
            <w:tcW w:w="2722" w:type="dxa"/>
          </w:tcPr>
          <w:p>
            <w:pPr>
              <w:pStyle w:val="TableParagraph"/>
              <w:spacing w:line="329" w:lineRule="exact"/>
              <w:ind w:left="76"/>
              <w:rPr>
                <w:sz w:val="22"/>
              </w:rPr>
            </w:pPr>
            <w:r>
              <w:rPr>
                <w:sz w:val="22"/>
              </w:rPr>
              <w:t>quinidine theophylline</w:t>
            </w:r>
          </w:p>
          <w:p>
            <w:pPr>
              <w:pStyle w:val="TableParagraph"/>
              <w:spacing w:line="328" w:lineRule="exact"/>
              <w:ind w:left="76"/>
              <w:rPr>
                <w:sz w:val="22"/>
              </w:rPr>
            </w:pPr>
            <w:r>
              <w:rPr>
                <w:spacing w:val="-4"/>
                <w:w w:val="95"/>
                <w:sz w:val="22"/>
              </w:rPr>
              <w:t>口服抗凝血劑</w:t>
            </w:r>
          </w:p>
          <w:p>
            <w:pPr>
              <w:pStyle w:val="TableParagraph"/>
              <w:spacing w:line="367" w:lineRule="exact"/>
              <w:ind w:left="76"/>
              <w:rPr>
                <w:sz w:val="22"/>
              </w:rPr>
            </w:pPr>
            <w:r>
              <w:rPr>
                <w:spacing w:val="-4"/>
                <w:sz w:val="22"/>
              </w:rPr>
              <w:t>(如:</w:t>
            </w:r>
            <w:r>
              <w:rPr>
                <w:spacing w:val="-3"/>
                <w:sz w:val="22"/>
              </w:rPr>
              <w:t>warfarin)</w:t>
            </w:r>
          </w:p>
        </w:tc>
        <w:tc>
          <w:tcPr>
            <w:tcW w:w="2345" w:type="dxa"/>
          </w:tcPr>
          <w:p>
            <w:pPr>
              <w:pStyle w:val="TableParagraph"/>
              <w:rPr>
                <w:rFonts w:ascii="Times New Roman"/>
                <w:sz w:val="22"/>
              </w:rPr>
            </w:pPr>
          </w:p>
        </w:tc>
        <w:tc>
          <w:tcPr>
            <w:tcW w:w="2243" w:type="dxa"/>
          </w:tcPr>
          <w:p>
            <w:pPr>
              <w:pStyle w:val="TableParagraph"/>
              <w:spacing w:line="194" w:lineRule="auto" w:before="18"/>
              <w:ind w:left="63" w:right="152" w:hanging="1"/>
              <w:rPr>
                <w:sz w:val="22"/>
              </w:rPr>
            </w:pPr>
            <w:r>
              <w:rPr>
                <w:sz w:val="22"/>
              </w:rPr>
              <w:t>監測 quinidine、theophylline、warfarin 血中濃度， 必要時調整其劑量</w:t>
            </w:r>
          </w:p>
        </w:tc>
      </w:tr>
      <w:tr>
        <w:trPr>
          <w:trHeight w:val="728" w:hRule="atLeast"/>
        </w:trPr>
        <w:tc>
          <w:tcPr>
            <w:tcW w:w="2016" w:type="dxa"/>
            <w:vMerge/>
            <w:tcBorders>
              <w:top w:val="nil"/>
            </w:tcBorders>
          </w:tcPr>
          <w:p>
            <w:pPr>
              <w:rPr>
                <w:sz w:val="2"/>
                <w:szCs w:val="2"/>
              </w:rPr>
            </w:pPr>
          </w:p>
        </w:tc>
        <w:tc>
          <w:tcPr>
            <w:tcW w:w="2722" w:type="dxa"/>
          </w:tcPr>
          <w:p>
            <w:pPr>
              <w:pStyle w:val="TableParagraph"/>
              <w:ind w:left="76"/>
              <w:rPr>
                <w:sz w:val="22"/>
              </w:rPr>
            </w:pPr>
            <w:r>
              <w:rPr>
                <w:sz w:val="22"/>
              </w:rPr>
              <w:t>Statin 類之降血脂藥物</w:t>
            </w:r>
          </w:p>
        </w:tc>
        <w:tc>
          <w:tcPr>
            <w:tcW w:w="2345" w:type="dxa"/>
          </w:tcPr>
          <w:p>
            <w:pPr>
              <w:pStyle w:val="TableParagraph"/>
              <w:rPr>
                <w:rFonts w:ascii="Times New Roman"/>
                <w:sz w:val="22"/>
              </w:rPr>
            </w:pPr>
          </w:p>
        </w:tc>
        <w:tc>
          <w:tcPr>
            <w:tcW w:w="2243" w:type="dxa"/>
          </w:tcPr>
          <w:p>
            <w:pPr>
              <w:pStyle w:val="TableParagraph"/>
              <w:spacing w:line="328" w:lineRule="exact" w:before="30"/>
              <w:ind w:left="63" w:right="52"/>
              <w:rPr>
                <w:sz w:val="22"/>
              </w:rPr>
            </w:pPr>
            <w:r>
              <w:rPr>
                <w:spacing w:val="-12"/>
                <w:sz w:val="22"/>
              </w:rPr>
              <w:t>監測血脂，必要時調整</w:t>
            </w:r>
            <w:r>
              <w:rPr>
                <w:spacing w:val="-4"/>
                <w:sz w:val="22"/>
              </w:rPr>
              <w:t>其劑量</w:t>
            </w:r>
          </w:p>
        </w:tc>
      </w:tr>
      <w:tr>
        <w:trPr>
          <w:trHeight w:val="1312" w:hRule="atLeast"/>
        </w:trPr>
        <w:tc>
          <w:tcPr>
            <w:tcW w:w="2016" w:type="dxa"/>
            <w:vMerge w:val="restart"/>
          </w:tcPr>
          <w:p>
            <w:pPr>
              <w:pStyle w:val="TableParagraph"/>
              <w:rPr>
                <w:b/>
                <w:sz w:val="28"/>
              </w:rPr>
            </w:pPr>
          </w:p>
          <w:p>
            <w:pPr>
              <w:pStyle w:val="TableParagraph"/>
              <w:spacing w:before="2"/>
              <w:rPr>
                <w:b/>
                <w:sz w:val="17"/>
              </w:rPr>
            </w:pPr>
          </w:p>
          <w:p>
            <w:pPr>
              <w:pStyle w:val="TableParagraph"/>
              <w:ind w:left="75"/>
              <w:rPr>
                <w:sz w:val="22"/>
              </w:rPr>
            </w:pPr>
            <w:r>
              <w:rPr>
                <w:sz w:val="22"/>
              </w:rPr>
              <w:t>ethambutol(EMB)</w:t>
            </w:r>
          </w:p>
        </w:tc>
        <w:tc>
          <w:tcPr>
            <w:tcW w:w="2722" w:type="dxa"/>
          </w:tcPr>
          <w:p>
            <w:pPr>
              <w:pStyle w:val="TableParagraph"/>
              <w:spacing w:line="369" w:lineRule="exact"/>
              <w:ind w:left="76"/>
              <w:rPr>
                <w:sz w:val="22"/>
              </w:rPr>
            </w:pPr>
            <w:r>
              <w:rPr>
                <w:sz w:val="22"/>
              </w:rPr>
              <w:t>制酸劑(antacids)</w:t>
            </w:r>
          </w:p>
        </w:tc>
        <w:tc>
          <w:tcPr>
            <w:tcW w:w="2345" w:type="dxa"/>
          </w:tcPr>
          <w:p>
            <w:pPr>
              <w:pStyle w:val="TableParagraph"/>
              <w:spacing w:line="194" w:lineRule="auto" w:before="20"/>
              <w:ind w:left="62" w:right="185"/>
              <w:jc w:val="both"/>
              <w:rPr>
                <w:sz w:val="22"/>
              </w:rPr>
            </w:pPr>
            <w:r>
              <w:rPr>
                <w:spacing w:val="-5"/>
                <w:sz w:val="22"/>
              </w:rPr>
              <w:t>制酸劑會降低 </w:t>
            </w:r>
            <w:r>
              <w:rPr>
                <w:sz w:val="22"/>
              </w:rPr>
              <w:t>EMB</w:t>
            </w:r>
            <w:r>
              <w:rPr>
                <w:spacing w:val="-10"/>
                <w:sz w:val="22"/>
              </w:rPr>
              <w:t> 血</w:t>
            </w:r>
            <w:r>
              <w:rPr>
                <w:spacing w:val="49"/>
                <w:sz w:val="22"/>
              </w:rPr>
              <w:t>中</w:t>
            </w:r>
            <w:r>
              <w:rPr>
                <w:spacing w:val="-7"/>
                <w:sz w:val="22"/>
              </w:rPr>
              <w:t>C(max)</w:t>
            </w:r>
            <w:r>
              <w:rPr>
                <w:spacing w:val="-13"/>
                <w:sz w:val="22"/>
              </w:rPr>
              <w:t>，但不影響</w:t>
            </w:r>
            <w:r>
              <w:rPr>
                <w:spacing w:val="-5"/>
                <w:sz w:val="22"/>
              </w:rPr>
              <w:t>AUC</w:t>
            </w:r>
          </w:p>
          <w:p>
            <w:pPr>
              <w:pStyle w:val="TableParagraph"/>
              <w:spacing w:line="289" w:lineRule="exact"/>
              <w:ind w:left="63"/>
              <w:rPr>
                <w:sz w:val="22"/>
              </w:rPr>
            </w:pPr>
            <w:r>
              <w:rPr>
                <w:w w:val="99"/>
                <w:sz w:val="22"/>
              </w:rPr>
              <w:t>。</w:t>
            </w:r>
          </w:p>
        </w:tc>
        <w:tc>
          <w:tcPr>
            <w:tcW w:w="2243" w:type="dxa"/>
          </w:tcPr>
          <w:p>
            <w:pPr>
              <w:pStyle w:val="TableParagraph"/>
              <w:spacing w:line="330" w:lineRule="exact"/>
              <w:ind w:left="62"/>
              <w:rPr>
                <w:sz w:val="22"/>
              </w:rPr>
            </w:pPr>
            <w:r>
              <w:rPr>
                <w:sz w:val="22"/>
              </w:rPr>
              <w:t>EMB 不可與制酸劑</w:t>
            </w:r>
          </w:p>
          <w:p>
            <w:pPr>
              <w:pStyle w:val="TableParagraph"/>
              <w:spacing w:line="366" w:lineRule="exact"/>
              <w:ind w:left="62"/>
              <w:rPr>
                <w:sz w:val="22"/>
              </w:rPr>
            </w:pPr>
            <w:r>
              <w:rPr>
                <w:sz w:val="22"/>
              </w:rPr>
              <w:t>(antacids)一起使用。</w:t>
            </w:r>
          </w:p>
        </w:tc>
      </w:tr>
      <w:tr>
        <w:trPr>
          <w:trHeight w:val="736" w:hRule="atLeast"/>
        </w:trPr>
        <w:tc>
          <w:tcPr>
            <w:tcW w:w="2016" w:type="dxa"/>
            <w:vMerge/>
            <w:tcBorders>
              <w:top w:val="nil"/>
            </w:tcBorders>
          </w:tcPr>
          <w:p>
            <w:pPr>
              <w:rPr>
                <w:sz w:val="2"/>
                <w:szCs w:val="2"/>
              </w:rPr>
            </w:pPr>
          </w:p>
        </w:tc>
        <w:tc>
          <w:tcPr>
            <w:tcW w:w="2722" w:type="dxa"/>
          </w:tcPr>
          <w:p>
            <w:pPr>
              <w:pStyle w:val="TableParagraph"/>
              <w:spacing w:line="368" w:lineRule="exact"/>
              <w:ind w:left="76"/>
              <w:rPr>
                <w:sz w:val="22"/>
              </w:rPr>
            </w:pPr>
            <w:r>
              <w:rPr>
                <w:color w:val="FF0000"/>
                <w:sz w:val="22"/>
              </w:rPr>
              <w:t>Delamanid</w:t>
            </w:r>
          </w:p>
        </w:tc>
        <w:tc>
          <w:tcPr>
            <w:tcW w:w="2345" w:type="dxa"/>
          </w:tcPr>
          <w:p>
            <w:pPr>
              <w:pStyle w:val="TableParagraph"/>
              <w:spacing w:line="368" w:lineRule="exact"/>
              <w:ind w:left="62"/>
              <w:rPr>
                <w:sz w:val="22"/>
              </w:rPr>
            </w:pPr>
            <w:r>
              <w:rPr>
                <w:color w:val="FF0000"/>
                <w:sz w:val="22"/>
              </w:rPr>
              <w:t>增加 EMB 濃度</w:t>
            </w:r>
          </w:p>
        </w:tc>
        <w:tc>
          <w:tcPr>
            <w:tcW w:w="2243" w:type="dxa"/>
          </w:tcPr>
          <w:p>
            <w:pPr>
              <w:pStyle w:val="TableParagraph"/>
              <w:spacing w:line="194" w:lineRule="auto" w:before="18"/>
              <w:ind w:left="62" w:right="53"/>
              <w:rPr>
                <w:sz w:val="22"/>
              </w:rPr>
            </w:pPr>
            <w:r>
              <w:rPr>
                <w:color w:val="FF0000"/>
                <w:sz w:val="22"/>
              </w:rPr>
              <w:t>監測 EMB 副作用，必要時調整劑量。</w:t>
            </w:r>
          </w:p>
        </w:tc>
      </w:tr>
      <w:tr>
        <w:trPr>
          <w:trHeight w:val="1077" w:hRule="atLeast"/>
        </w:trPr>
        <w:tc>
          <w:tcPr>
            <w:tcW w:w="2016" w:type="dxa"/>
            <w:vMerge w:val="restart"/>
          </w:tcPr>
          <w:p>
            <w:pPr>
              <w:pStyle w:val="TableParagraph"/>
              <w:rPr>
                <w:b/>
                <w:sz w:val="28"/>
              </w:rPr>
            </w:pPr>
          </w:p>
          <w:p>
            <w:pPr>
              <w:pStyle w:val="TableParagraph"/>
              <w:spacing w:before="17"/>
              <w:rPr>
                <w:b/>
                <w:sz w:val="28"/>
              </w:rPr>
            </w:pPr>
          </w:p>
          <w:p>
            <w:pPr>
              <w:pStyle w:val="TableParagraph"/>
              <w:ind w:left="75"/>
              <w:rPr>
                <w:sz w:val="22"/>
              </w:rPr>
            </w:pPr>
            <w:r>
              <w:rPr>
                <w:sz w:val="22"/>
              </w:rPr>
              <w:t>quinolones</w:t>
            </w:r>
          </w:p>
        </w:tc>
        <w:tc>
          <w:tcPr>
            <w:tcW w:w="2722" w:type="dxa"/>
          </w:tcPr>
          <w:p>
            <w:pPr>
              <w:pStyle w:val="TableParagraph"/>
              <w:spacing w:line="369" w:lineRule="exact"/>
              <w:ind w:left="76"/>
              <w:rPr>
                <w:sz w:val="22"/>
              </w:rPr>
            </w:pPr>
            <w:r>
              <w:rPr>
                <w:sz w:val="22"/>
              </w:rPr>
              <w:t>theophylline</w:t>
            </w:r>
          </w:p>
        </w:tc>
        <w:tc>
          <w:tcPr>
            <w:tcW w:w="2345" w:type="dxa"/>
            <w:vMerge w:val="restart"/>
          </w:tcPr>
          <w:p>
            <w:pPr>
              <w:pStyle w:val="TableParagraph"/>
              <w:spacing w:line="194" w:lineRule="auto" w:before="20"/>
              <w:ind w:left="62" w:right="48"/>
              <w:rPr>
                <w:sz w:val="22"/>
              </w:rPr>
            </w:pPr>
            <w:r>
              <w:rPr>
                <w:sz w:val="22"/>
              </w:rPr>
              <w:t>增加併用藥物之血中濃度</w:t>
            </w:r>
          </w:p>
        </w:tc>
        <w:tc>
          <w:tcPr>
            <w:tcW w:w="2243" w:type="dxa"/>
          </w:tcPr>
          <w:p>
            <w:pPr>
              <w:pStyle w:val="TableParagraph"/>
              <w:spacing w:line="194" w:lineRule="auto" w:before="20"/>
              <w:ind w:left="62" w:right="32"/>
              <w:jc w:val="both"/>
              <w:rPr>
                <w:sz w:val="22"/>
              </w:rPr>
            </w:pPr>
            <w:r>
              <w:rPr>
                <w:sz w:val="22"/>
              </w:rPr>
              <w:t>注意病人有無毒性反應產生，必要時調整</w:t>
            </w:r>
            <w:r>
              <w:rPr>
                <w:color w:val="FF0000"/>
                <w:sz w:val="22"/>
              </w:rPr>
              <w:t>theophylline </w:t>
            </w:r>
            <w:r>
              <w:rPr>
                <w:sz w:val="22"/>
              </w:rPr>
              <w:t>劑量。</w:t>
            </w:r>
          </w:p>
        </w:tc>
      </w:tr>
      <w:tr>
        <w:trPr>
          <w:trHeight w:val="1407" w:hRule="atLeast"/>
        </w:trPr>
        <w:tc>
          <w:tcPr>
            <w:tcW w:w="2016" w:type="dxa"/>
            <w:vMerge/>
            <w:tcBorders>
              <w:top w:val="nil"/>
            </w:tcBorders>
          </w:tcPr>
          <w:p>
            <w:pPr>
              <w:rPr>
                <w:sz w:val="2"/>
                <w:szCs w:val="2"/>
              </w:rPr>
            </w:pPr>
          </w:p>
        </w:tc>
        <w:tc>
          <w:tcPr>
            <w:tcW w:w="2722" w:type="dxa"/>
          </w:tcPr>
          <w:p>
            <w:pPr>
              <w:pStyle w:val="TableParagraph"/>
              <w:spacing w:line="194" w:lineRule="auto" w:before="20"/>
              <w:ind w:left="76" w:right="371"/>
              <w:rPr>
                <w:sz w:val="22"/>
              </w:rPr>
            </w:pPr>
            <w:r>
              <w:rPr>
                <w:sz w:val="22"/>
              </w:rPr>
              <w:t>antacid sulcralfate iron preparation</w:t>
            </w:r>
          </w:p>
        </w:tc>
        <w:tc>
          <w:tcPr>
            <w:tcW w:w="2345" w:type="dxa"/>
            <w:vMerge/>
            <w:tcBorders>
              <w:top w:val="nil"/>
            </w:tcBorders>
          </w:tcPr>
          <w:p>
            <w:pPr>
              <w:rPr>
                <w:sz w:val="2"/>
                <w:szCs w:val="2"/>
              </w:rPr>
            </w:pPr>
          </w:p>
        </w:tc>
        <w:tc>
          <w:tcPr>
            <w:tcW w:w="2243" w:type="dxa"/>
          </w:tcPr>
          <w:p>
            <w:pPr>
              <w:pStyle w:val="TableParagraph"/>
              <w:spacing w:line="194" w:lineRule="auto" w:before="20"/>
              <w:ind w:left="62" w:right="28"/>
              <w:jc w:val="both"/>
              <w:rPr>
                <w:sz w:val="22"/>
              </w:rPr>
            </w:pPr>
            <w:r>
              <w:rPr>
                <w:spacing w:val="-2"/>
                <w:sz w:val="22"/>
              </w:rPr>
              <w:t>quinolone</w:t>
            </w:r>
            <w:r>
              <w:rPr>
                <w:spacing w:val="18"/>
                <w:sz w:val="22"/>
              </w:rPr>
              <w:t> 至少應與</w:t>
            </w:r>
            <w:r>
              <w:rPr>
                <w:sz w:val="22"/>
              </w:rPr>
              <w:t>antacid 或 </w:t>
            </w:r>
            <w:r>
              <w:rPr>
                <w:spacing w:val="-3"/>
                <w:sz w:val="22"/>
              </w:rPr>
              <w:t>sulcralfate </w:t>
            </w:r>
            <w:r>
              <w:rPr>
                <w:spacing w:val="-11"/>
                <w:sz w:val="22"/>
              </w:rPr>
              <w:t>相隔二小時以上。儘可能將二者隔開服用。</w:t>
            </w:r>
          </w:p>
        </w:tc>
      </w:tr>
      <w:tr>
        <w:trPr>
          <w:trHeight w:val="1360" w:hRule="atLeast"/>
        </w:trPr>
        <w:tc>
          <w:tcPr>
            <w:tcW w:w="2016" w:type="dxa"/>
            <w:vMerge w:val="restart"/>
          </w:tcPr>
          <w:p>
            <w:pPr>
              <w:pStyle w:val="TableParagraph"/>
              <w:spacing w:before="14"/>
              <w:rPr>
                <w:b/>
                <w:sz w:val="32"/>
              </w:rPr>
            </w:pPr>
          </w:p>
          <w:p>
            <w:pPr>
              <w:pStyle w:val="TableParagraph"/>
              <w:spacing w:line="194" w:lineRule="auto"/>
              <w:ind w:left="75"/>
              <w:rPr>
                <w:sz w:val="22"/>
              </w:rPr>
            </w:pPr>
            <w:r>
              <w:rPr>
                <w:sz w:val="22"/>
              </w:rPr>
              <w:t>prothionamide (TBN)</w:t>
            </w:r>
          </w:p>
        </w:tc>
        <w:tc>
          <w:tcPr>
            <w:tcW w:w="2722" w:type="dxa"/>
          </w:tcPr>
          <w:p>
            <w:pPr>
              <w:pStyle w:val="TableParagraph"/>
              <w:spacing w:line="368" w:lineRule="exact"/>
              <w:ind w:left="76"/>
              <w:rPr>
                <w:sz w:val="22"/>
              </w:rPr>
            </w:pPr>
            <w:r>
              <w:rPr>
                <w:sz w:val="22"/>
              </w:rPr>
              <w:t>PAS</w:t>
            </w:r>
          </w:p>
        </w:tc>
        <w:tc>
          <w:tcPr>
            <w:tcW w:w="2345" w:type="dxa"/>
          </w:tcPr>
          <w:p>
            <w:pPr>
              <w:pStyle w:val="TableParagraph"/>
              <w:spacing w:line="194" w:lineRule="auto" w:before="19"/>
              <w:ind w:left="63" w:right="48"/>
              <w:rPr>
                <w:sz w:val="22"/>
              </w:rPr>
            </w:pPr>
            <w:r>
              <w:rPr>
                <w:sz w:val="22"/>
              </w:rPr>
              <w:t>可能增加肝毒性甲狀腺功能低下症</w:t>
            </w:r>
          </w:p>
        </w:tc>
        <w:tc>
          <w:tcPr>
            <w:tcW w:w="2243" w:type="dxa"/>
          </w:tcPr>
          <w:p>
            <w:pPr>
              <w:pStyle w:val="TableParagraph"/>
              <w:spacing w:line="194" w:lineRule="auto" w:before="19"/>
              <w:ind w:left="63" w:right="31"/>
              <w:jc w:val="both"/>
              <w:rPr>
                <w:sz w:val="22"/>
              </w:rPr>
            </w:pPr>
            <w:r>
              <w:rPr>
                <w:spacing w:val="14"/>
                <w:sz w:val="22"/>
              </w:rPr>
              <w:t>監測肝功能及血中甲</w:t>
            </w:r>
            <w:r>
              <w:rPr>
                <w:spacing w:val="-11"/>
                <w:sz w:val="22"/>
              </w:rPr>
              <w:t>狀腺素濃度，必要時調</w:t>
            </w:r>
            <w:r>
              <w:rPr>
                <w:spacing w:val="-12"/>
                <w:sz w:val="22"/>
              </w:rPr>
              <w:t>整劑量，或改用其他藥物。</w:t>
            </w:r>
          </w:p>
        </w:tc>
      </w:tr>
      <w:tr>
        <w:trPr>
          <w:trHeight w:val="454" w:hRule="atLeast"/>
        </w:trPr>
        <w:tc>
          <w:tcPr>
            <w:tcW w:w="2016" w:type="dxa"/>
            <w:vMerge/>
            <w:tcBorders>
              <w:top w:val="nil"/>
            </w:tcBorders>
          </w:tcPr>
          <w:p>
            <w:pPr>
              <w:rPr>
                <w:sz w:val="2"/>
                <w:szCs w:val="2"/>
              </w:rPr>
            </w:pPr>
          </w:p>
        </w:tc>
        <w:tc>
          <w:tcPr>
            <w:tcW w:w="2722" w:type="dxa"/>
          </w:tcPr>
          <w:p>
            <w:pPr>
              <w:pStyle w:val="TableParagraph"/>
              <w:spacing w:before="11"/>
              <w:ind w:left="76"/>
              <w:rPr>
                <w:sz w:val="22"/>
              </w:rPr>
            </w:pPr>
            <w:r>
              <w:rPr>
                <w:sz w:val="22"/>
              </w:rPr>
              <w:t>CS</w:t>
            </w:r>
          </w:p>
        </w:tc>
        <w:tc>
          <w:tcPr>
            <w:tcW w:w="2345" w:type="dxa"/>
          </w:tcPr>
          <w:p>
            <w:pPr>
              <w:pStyle w:val="TableParagraph"/>
              <w:spacing w:before="11"/>
              <w:ind w:left="62"/>
              <w:rPr>
                <w:sz w:val="22"/>
              </w:rPr>
            </w:pPr>
            <w:r>
              <w:rPr>
                <w:sz w:val="22"/>
              </w:rPr>
              <w:t>可能增加神經毒性</w:t>
            </w:r>
          </w:p>
        </w:tc>
        <w:tc>
          <w:tcPr>
            <w:tcW w:w="2243" w:type="dxa"/>
          </w:tcPr>
          <w:p>
            <w:pPr>
              <w:pStyle w:val="TableParagraph"/>
              <w:spacing w:before="11"/>
              <w:ind w:left="62"/>
              <w:rPr>
                <w:sz w:val="22"/>
              </w:rPr>
            </w:pPr>
            <w:r>
              <w:rPr>
                <w:sz w:val="22"/>
              </w:rPr>
              <w:t>密切注意</w:t>
            </w:r>
          </w:p>
        </w:tc>
      </w:tr>
    </w:tbl>
    <w:p>
      <w:pPr>
        <w:spacing w:after="0"/>
        <w:rPr>
          <w:sz w:val="22"/>
        </w:rPr>
        <w:sectPr>
          <w:pgSz w:w="12250" w:h="17190"/>
          <w:pgMar w:header="0" w:footer="748" w:top="1480" w:bottom="940" w:left="1180" w:right="0"/>
        </w:sect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2722"/>
        <w:gridCol w:w="2345"/>
        <w:gridCol w:w="2243"/>
      </w:tblGrid>
      <w:tr>
        <w:trPr>
          <w:trHeight w:val="430" w:hRule="atLeast"/>
        </w:trPr>
        <w:tc>
          <w:tcPr>
            <w:tcW w:w="2016" w:type="dxa"/>
            <w:shd w:val="clear" w:color="auto" w:fill="F1F1F1"/>
          </w:tcPr>
          <w:p>
            <w:pPr>
              <w:pStyle w:val="TableParagraph"/>
              <w:spacing w:line="409" w:lineRule="exact" w:before="1"/>
              <w:ind w:left="442"/>
              <w:rPr>
                <w:sz w:val="23"/>
              </w:rPr>
            </w:pPr>
            <w:r>
              <w:rPr>
                <w:sz w:val="23"/>
              </w:rPr>
              <w:t>抗結核藥物</w:t>
            </w:r>
          </w:p>
        </w:tc>
        <w:tc>
          <w:tcPr>
            <w:tcW w:w="2722" w:type="dxa"/>
            <w:shd w:val="clear" w:color="auto" w:fill="F1F1F1"/>
          </w:tcPr>
          <w:p>
            <w:pPr>
              <w:pStyle w:val="TableParagraph"/>
              <w:spacing w:line="409" w:lineRule="exact" w:before="1"/>
              <w:ind w:left="683"/>
              <w:rPr>
                <w:sz w:val="23"/>
              </w:rPr>
            </w:pPr>
            <w:r>
              <w:rPr>
                <w:sz w:val="23"/>
              </w:rPr>
              <w:t>併用藥物種類</w:t>
            </w:r>
          </w:p>
        </w:tc>
        <w:tc>
          <w:tcPr>
            <w:tcW w:w="2345" w:type="dxa"/>
            <w:shd w:val="clear" w:color="auto" w:fill="F1F1F1"/>
          </w:tcPr>
          <w:p>
            <w:pPr>
              <w:pStyle w:val="TableParagraph"/>
              <w:spacing w:line="409" w:lineRule="exact" w:before="1"/>
              <w:ind w:left="493"/>
              <w:rPr>
                <w:sz w:val="23"/>
              </w:rPr>
            </w:pPr>
            <w:r>
              <w:rPr>
                <w:sz w:val="23"/>
              </w:rPr>
              <w:t>交互作用結果</w:t>
            </w:r>
          </w:p>
        </w:tc>
        <w:tc>
          <w:tcPr>
            <w:tcW w:w="2243" w:type="dxa"/>
            <w:shd w:val="clear" w:color="auto" w:fill="F1F1F1"/>
          </w:tcPr>
          <w:p>
            <w:pPr>
              <w:pStyle w:val="TableParagraph"/>
              <w:spacing w:line="409" w:lineRule="exact" w:before="1"/>
              <w:ind w:left="668"/>
              <w:rPr>
                <w:sz w:val="23"/>
              </w:rPr>
            </w:pPr>
            <w:r>
              <w:rPr>
                <w:sz w:val="23"/>
              </w:rPr>
              <w:t>處理方法</w:t>
            </w:r>
          </w:p>
        </w:tc>
      </w:tr>
      <w:tr>
        <w:trPr>
          <w:trHeight w:val="1360" w:hRule="atLeast"/>
        </w:trPr>
        <w:tc>
          <w:tcPr>
            <w:tcW w:w="2016" w:type="dxa"/>
            <w:vMerge w:val="restart"/>
          </w:tcPr>
          <w:p>
            <w:pPr>
              <w:pStyle w:val="TableParagraph"/>
              <w:spacing w:before="10"/>
              <w:rPr>
                <w:b/>
                <w:sz w:val="39"/>
              </w:rPr>
            </w:pPr>
          </w:p>
          <w:p>
            <w:pPr>
              <w:pStyle w:val="TableParagraph"/>
              <w:spacing w:line="194" w:lineRule="auto" w:before="1"/>
              <w:ind w:left="75"/>
              <w:rPr>
                <w:sz w:val="22"/>
              </w:rPr>
            </w:pPr>
            <w:r>
              <w:rPr>
                <w:sz w:val="22"/>
              </w:rPr>
              <w:t>para- aminosalicylate (PAS)</w:t>
            </w:r>
          </w:p>
        </w:tc>
        <w:tc>
          <w:tcPr>
            <w:tcW w:w="2722" w:type="dxa"/>
          </w:tcPr>
          <w:p>
            <w:pPr>
              <w:pStyle w:val="TableParagraph"/>
              <w:spacing w:line="368" w:lineRule="exact"/>
              <w:ind w:left="76"/>
              <w:rPr>
                <w:sz w:val="22"/>
              </w:rPr>
            </w:pPr>
            <w:r>
              <w:rPr>
                <w:sz w:val="22"/>
              </w:rPr>
              <w:t>TBN</w:t>
            </w:r>
          </w:p>
        </w:tc>
        <w:tc>
          <w:tcPr>
            <w:tcW w:w="2345" w:type="dxa"/>
          </w:tcPr>
          <w:p>
            <w:pPr>
              <w:pStyle w:val="TableParagraph"/>
              <w:spacing w:line="194" w:lineRule="auto" w:before="18"/>
              <w:ind w:left="62" w:right="48"/>
              <w:rPr>
                <w:sz w:val="22"/>
              </w:rPr>
            </w:pPr>
            <w:r>
              <w:rPr>
                <w:sz w:val="22"/>
              </w:rPr>
              <w:t>可能增加肝毒性甲狀腺功能低下症</w:t>
            </w:r>
          </w:p>
        </w:tc>
        <w:tc>
          <w:tcPr>
            <w:tcW w:w="2243" w:type="dxa"/>
          </w:tcPr>
          <w:p>
            <w:pPr>
              <w:pStyle w:val="TableParagraph"/>
              <w:spacing w:line="194" w:lineRule="auto" w:before="18"/>
              <w:ind w:left="62" w:right="32"/>
              <w:jc w:val="both"/>
              <w:rPr>
                <w:sz w:val="22"/>
              </w:rPr>
            </w:pPr>
            <w:r>
              <w:rPr>
                <w:spacing w:val="14"/>
                <w:sz w:val="22"/>
              </w:rPr>
              <w:t>監測肝功能及血中甲</w:t>
            </w:r>
            <w:r>
              <w:rPr>
                <w:spacing w:val="-11"/>
                <w:sz w:val="22"/>
              </w:rPr>
              <w:t>狀腺素濃度，必要時調</w:t>
            </w:r>
            <w:r>
              <w:rPr>
                <w:spacing w:val="-12"/>
                <w:sz w:val="22"/>
              </w:rPr>
              <w:t>整劑量，或改用其他藥物。</w:t>
            </w:r>
          </w:p>
        </w:tc>
      </w:tr>
      <w:tr>
        <w:trPr>
          <w:trHeight w:val="1031" w:hRule="atLeast"/>
        </w:trPr>
        <w:tc>
          <w:tcPr>
            <w:tcW w:w="2016" w:type="dxa"/>
            <w:vMerge/>
            <w:tcBorders>
              <w:top w:val="nil"/>
            </w:tcBorders>
          </w:tcPr>
          <w:p>
            <w:pPr>
              <w:rPr>
                <w:sz w:val="2"/>
                <w:szCs w:val="2"/>
              </w:rPr>
            </w:pPr>
          </w:p>
        </w:tc>
        <w:tc>
          <w:tcPr>
            <w:tcW w:w="2722" w:type="dxa"/>
          </w:tcPr>
          <w:p>
            <w:pPr>
              <w:pStyle w:val="TableParagraph"/>
              <w:spacing w:line="368" w:lineRule="exact"/>
              <w:ind w:left="76"/>
              <w:rPr>
                <w:sz w:val="22"/>
              </w:rPr>
            </w:pPr>
            <w:r>
              <w:rPr>
                <w:sz w:val="22"/>
              </w:rPr>
              <w:t>digoxin</w:t>
            </w:r>
          </w:p>
        </w:tc>
        <w:tc>
          <w:tcPr>
            <w:tcW w:w="2345" w:type="dxa"/>
          </w:tcPr>
          <w:p>
            <w:pPr>
              <w:pStyle w:val="TableParagraph"/>
              <w:spacing w:line="194" w:lineRule="auto" w:before="18"/>
              <w:ind w:left="62" w:right="28"/>
              <w:rPr>
                <w:sz w:val="22"/>
              </w:rPr>
            </w:pPr>
            <w:r>
              <w:rPr>
                <w:sz w:val="22"/>
              </w:rPr>
              <w:t>可能減少digoxin 吸收率</w:t>
            </w:r>
          </w:p>
        </w:tc>
        <w:tc>
          <w:tcPr>
            <w:tcW w:w="2243" w:type="dxa"/>
          </w:tcPr>
          <w:p>
            <w:pPr>
              <w:pStyle w:val="TableParagraph"/>
              <w:spacing w:line="194" w:lineRule="auto" w:before="18"/>
              <w:ind w:left="62" w:right="43"/>
              <w:jc w:val="both"/>
              <w:rPr>
                <w:sz w:val="22"/>
              </w:rPr>
            </w:pPr>
            <w:r>
              <w:rPr>
                <w:sz w:val="22"/>
              </w:rPr>
              <w:t>監 測digoxin 血中 濃度 ， 必 要 時 增 加digoxin劑量</w:t>
            </w:r>
          </w:p>
        </w:tc>
      </w:tr>
      <w:tr>
        <w:trPr>
          <w:trHeight w:val="1017" w:hRule="atLeast"/>
        </w:trPr>
        <w:tc>
          <w:tcPr>
            <w:tcW w:w="2016" w:type="dxa"/>
            <w:vMerge w:val="restart"/>
            <w:tcBorders>
              <w:bottom w:val="single" w:sz="6" w:space="0" w:color="000000"/>
            </w:tcBorders>
          </w:tcPr>
          <w:p>
            <w:pPr>
              <w:pStyle w:val="TableParagraph"/>
              <w:rPr>
                <w:b/>
                <w:sz w:val="28"/>
              </w:rPr>
            </w:pPr>
          </w:p>
          <w:p>
            <w:pPr>
              <w:pStyle w:val="TableParagraph"/>
              <w:spacing w:before="2"/>
              <w:rPr>
                <w:b/>
                <w:sz w:val="21"/>
              </w:rPr>
            </w:pPr>
          </w:p>
          <w:p>
            <w:pPr>
              <w:pStyle w:val="TableParagraph"/>
              <w:spacing w:line="194" w:lineRule="auto"/>
              <w:ind w:left="75"/>
              <w:rPr>
                <w:sz w:val="22"/>
              </w:rPr>
            </w:pPr>
            <w:r>
              <w:rPr>
                <w:sz w:val="22"/>
              </w:rPr>
              <w:t>kanamycin (KM)/ amikacin (AMK)</w:t>
            </w:r>
          </w:p>
        </w:tc>
        <w:tc>
          <w:tcPr>
            <w:tcW w:w="2722" w:type="dxa"/>
          </w:tcPr>
          <w:p>
            <w:pPr>
              <w:pStyle w:val="TableParagraph"/>
              <w:spacing w:line="368" w:lineRule="exact"/>
              <w:ind w:left="76"/>
              <w:rPr>
                <w:sz w:val="22"/>
              </w:rPr>
            </w:pPr>
            <w:r>
              <w:rPr>
                <w:sz w:val="22"/>
              </w:rPr>
              <w:t>loop diuretics 利尿劑</w:t>
            </w:r>
          </w:p>
        </w:tc>
        <w:tc>
          <w:tcPr>
            <w:tcW w:w="2345" w:type="dxa"/>
          </w:tcPr>
          <w:p>
            <w:pPr>
              <w:pStyle w:val="TableParagraph"/>
              <w:spacing w:line="368" w:lineRule="exact"/>
              <w:ind w:left="62"/>
              <w:rPr>
                <w:sz w:val="22"/>
              </w:rPr>
            </w:pPr>
            <w:r>
              <w:rPr>
                <w:sz w:val="22"/>
              </w:rPr>
              <w:t>增加其耳毒性</w:t>
            </w:r>
          </w:p>
        </w:tc>
        <w:tc>
          <w:tcPr>
            <w:tcW w:w="2243" w:type="dxa"/>
          </w:tcPr>
          <w:p>
            <w:pPr>
              <w:pStyle w:val="TableParagraph"/>
              <w:spacing w:line="194" w:lineRule="auto" w:before="19"/>
              <w:ind w:left="62" w:right="5"/>
              <w:rPr>
                <w:sz w:val="22"/>
              </w:rPr>
            </w:pPr>
            <w:r>
              <w:rPr>
                <w:spacing w:val="-4"/>
                <w:sz w:val="22"/>
              </w:rPr>
              <w:t>密切注意，</w:t>
            </w:r>
            <w:r>
              <w:rPr>
                <w:color w:val="FF0000"/>
                <w:spacing w:val="-5"/>
                <w:sz w:val="22"/>
              </w:rPr>
              <w:t>補充水分</w:t>
            </w:r>
            <w:r>
              <w:rPr>
                <w:spacing w:val="-12"/>
                <w:sz w:val="22"/>
              </w:rPr>
              <w:t>， </w:t>
            </w:r>
            <w:r>
              <w:rPr>
                <w:spacing w:val="-11"/>
                <w:sz w:val="22"/>
              </w:rPr>
              <w:t>必要時調整劑量，或改</w:t>
            </w:r>
          </w:p>
          <w:p>
            <w:pPr>
              <w:pStyle w:val="TableParagraph"/>
              <w:spacing w:line="323" w:lineRule="exact"/>
              <w:ind w:left="62"/>
              <w:rPr>
                <w:sz w:val="22"/>
              </w:rPr>
            </w:pPr>
            <w:r>
              <w:rPr>
                <w:sz w:val="22"/>
              </w:rPr>
              <w:t>用其他藥物</w:t>
            </w:r>
          </w:p>
        </w:tc>
      </w:tr>
      <w:tr>
        <w:trPr>
          <w:trHeight w:val="698" w:hRule="atLeast"/>
        </w:trPr>
        <w:tc>
          <w:tcPr>
            <w:tcW w:w="2016" w:type="dxa"/>
            <w:vMerge/>
            <w:tcBorders>
              <w:top w:val="nil"/>
              <w:bottom w:val="single" w:sz="6" w:space="0" w:color="000000"/>
            </w:tcBorders>
          </w:tcPr>
          <w:p>
            <w:pPr>
              <w:rPr>
                <w:sz w:val="2"/>
                <w:szCs w:val="2"/>
              </w:rPr>
            </w:pPr>
          </w:p>
        </w:tc>
        <w:tc>
          <w:tcPr>
            <w:tcW w:w="2722" w:type="dxa"/>
          </w:tcPr>
          <w:p>
            <w:pPr>
              <w:pStyle w:val="TableParagraph"/>
              <w:spacing w:line="340" w:lineRule="exact"/>
              <w:ind w:left="76"/>
              <w:rPr>
                <w:sz w:val="22"/>
              </w:rPr>
            </w:pPr>
            <w:r>
              <w:rPr>
                <w:sz w:val="22"/>
              </w:rPr>
              <w:t>non-depolarizing</w:t>
            </w:r>
          </w:p>
          <w:p>
            <w:pPr>
              <w:pStyle w:val="TableParagraph"/>
              <w:spacing w:line="339" w:lineRule="exact"/>
              <w:ind w:left="76"/>
              <w:rPr>
                <w:sz w:val="22"/>
              </w:rPr>
            </w:pPr>
            <w:r>
              <w:rPr>
                <w:sz w:val="22"/>
              </w:rPr>
              <w:t>muscle relaxants</w:t>
            </w:r>
          </w:p>
        </w:tc>
        <w:tc>
          <w:tcPr>
            <w:tcW w:w="2345" w:type="dxa"/>
          </w:tcPr>
          <w:p>
            <w:pPr>
              <w:pStyle w:val="TableParagraph"/>
              <w:spacing w:line="366" w:lineRule="exact"/>
              <w:ind w:left="62"/>
              <w:rPr>
                <w:sz w:val="22"/>
              </w:rPr>
            </w:pPr>
            <w:r>
              <w:rPr>
                <w:sz w:val="22"/>
              </w:rPr>
              <w:t>可能造成呼吸抑制。</w:t>
            </w:r>
          </w:p>
        </w:tc>
        <w:tc>
          <w:tcPr>
            <w:tcW w:w="2243" w:type="dxa"/>
          </w:tcPr>
          <w:p>
            <w:pPr>
              <w:pStyle w:val="TableParagraph"/>
              <w:spacing w:line="366" w:lineRule="exact"/>
              <w:ind w:left="62"/>
              <w:rPr>
                <w:sz w:val="22"/>
              </w:rPr>
            </w:pPr>
            <w:r>
              <w:rPr>
                <w:sz w:val="22"/>
              </w:rPr>
              <w:t>需謹慎小心</w:t>
            </w:r>
          </w:p>
        </w:tc>
      </w:tr>
      <w:tr>
        <w:trPr>
          <w:trHeight w:val="677" w:hRule="atLeast"/>
        </w:trPr>
        <w:tc>
          <w:tcPr>
            <w:tcW w:w="2016" w:type="dxa"/>
            <w:vMerge/>
            <w:tcBorders>
              <w:top w:val="nil"/>
              <w:bottom w:val="single" w:sz="6" w:space="0" w:color="000000"/>
            </w:tcBorders>
          </w:tcPr>
          <w:p>
            <w:pPr>
              <w:rPr>
                <w:sz w:val="2"/>
                <w:szCs w:val="2"/>
              </w:rPr>
            </w:pPr>
          </w:p>
        </w:tc>
        <w:tc>
          <w:tcPr>
            <w:tcW w:w="2722" w:type="dxa"/>
            <w:tcBorders>
              <w:bottom w:val="single" w:sz="6" w:space="0" w:color="000000"/>
            </w:tcBorders>
          </w:tcPr>
          <w:p>
            <w:pPr>
              <w:pStyle w:val="TableParagraph"/>
              <w:spacing w:line="328" w:lineRule="exact"/>
              <w:ind w:left="76"/>
              <w:rPr>
                <w:sz w:val="22"/>
              </w:rPr>
            </w:pPr>
            <w:r>
              <w:rPr>
                <w:sz w:val="22"/>
              </w:rPr>
              <w:t>amphotericinB、</w:t>
            </w:r>
          </w:p>
          <w:p>
            <w:pPr>
              <w:pStyle w:val="TableParagraph"/>
              <w:spacing w:line="329" w:lineRule="exact"/>
              <w:ind w:left="76"/>
              <w:rPr>
                <w:sz w:val="22"/>
              </w:rPr>
            </w:pPr>
            <w:r>
              <w:rPr>
                <w:sz w:val="22"/>
              </w:rPr>
              <w:t>foscarnet、cidofovir</w:t>
            </w:r>
          </w:p>
        </w:tc>
        <w:tc>
          <w:tcPr>
            <w:tcW w:w="2345" w:type="dxa"/>
            <w:tcBorders>
              <w:bottom w:val="single" w:sz="6" w:space="0" w:color="000000"/>
            </w:tcBorders>
          </w:tcPr>
          <w:p>
            <w:pPr>
              <w:pStyle w:val="TableParagraph"/>
              <w:spacing w:line="366" w:lineRule="exact"/>
              <w:ind w:left="63"/>
              <w:rPr>
                <w:sz w:val="22"/>
              </w:rPr>
            </w:pPr>
            <w:r>
              <w:rPr>
                <w:sz w:val="22"/>
              </w:rPr>
              <w:t>增加其腎毒性</w:t>
            </w:r>
          </w:p>
        </w:tc>
        <w:tc>
          <w:tcPr>
            <w:tcW w:w="2243" w:type="dxa"/>
            <w:tcBorders>
              <w:bottom w:val="single" w:sz="6" w:space="0" w:color="000000"/>
            </w:tcBorders>
          </w:tcPr>
          <w:p>
            <w:pPr>
              <w:pStyle w:val="TableParagraph"/>
              <w:spacing w:line="366" w:lineRule="exact"/>
              <w:ind w:left="63"/>
              <w:rPr>
                <w:sz w:val="22"/>
              </w:rPr>
            </w:pPr>
            <w:r>
              <w:rPr>
                <w:sz w:val="22"/>
              </w:rPr>
              <w:t>需密切監測腎功能</w:t>
            </w:r>
          </w:p>
        </w:tc>
      </w:tr>
      <w:tr>
        <w:trPr>
          <w:trHeight w:val="2041" w:hRule="atLeast"/>
        </w:trPr>
        <w:tc>
          <w:tcPr>
            <w:tcW w:w="2016" w:type="dxa"/>
            <w:vMerge w:val="restart"/>
            <w:tcBorders>
              <w:top w:val="single" w:sz="6" w:space="0" w:color="000000"/>
            </w:tcBorders>
          </w:tcPr>
          <w:p>
            <w:pPr>
              <w:pStyle w:val="TableParagraph"/>
              <w:rPr>
                <w:b/>
                <w:sz w:val="28"/>
              </w:rPr>
            </w:pPr>
          </w:p>
          <w:p>
            <w:pPr>
              <w:pStyle w:val="TableParagraph"/>
              <w:rPr>
                <w:b/>
                <w:sz w:val="28"/>
              </w:rPr>
            </w:pPr>
          </w:p>
          <w:p>
            <w:pPr>
              <w:pStyle w:val="TableParagraph"/>
              <w:spacing w:before="13"/>
              <w:rPr>
                <w:b/>
                <w:sz w:val="29"/>
              </w:rPr>
            </w:pPr>
          </w:p>
          <w:p>
            <w:pPr>
              <w:pStyle w:val="TableParagraph"/>
              <w:spacing w:line="194" w:lineRule="auto"/>
              <w:ind w:left="75" w:right="526"/>
              <w:rPr>
                <w:sz w:val="22"/>
              </w:rPr>
            </w:pPr>
            <w:r>
              <w:rPr>
                <w:sz w:val="22"/>
              </w:rPr>
              <w:t>capreomycin (CM)</w:t>
            </w:r>
          </w:p>
        </w:tc>
        <w:tc>
          <w:tcPr>
            <w:tcW w:w="2722" w:type="dxa"/>
            <w:tcBorders>
              <w:top w:val="single" w:sz="6" w:space="0" w:color="000000"/>
            </w:tcBorders>
          </w:tcPr>
          <w:p>
            <w:pPr>
              <w:pStyle w:val="TableParagraph"/>
              <w:spacing w:line="194" w:lineRule="auto" w:before="19"/>
              <w:ind w:left="76" w:right="68"/>
              <w:rPr>
                <w:sz w:val="22"/>
              </w:rPr>
            </w:pPr>
            <w:r>
              <w:rPr>
                <w:sz w:val="22"/>
              </w:rPr>
              <w:t>腎毒性(Nephrotoxic)、耳</w:t>
            </w:r>
            <w:r>
              <w:rPr>
                <w:w w:val="95"/>
                <w:sz w:val="22"/>
              </w:rPr>
              <w:t>毒性(Ototoxic)抗生素如： </w:t>
            </w:r>
            <w:r>
              <w:rPr>
                <w:sz w:val="22"/>
              </w:rPr>
              <w:t>aminoglycosides, amphotericin B, colistin, cidofovir, polymyxin B, vancomycin</w:t>
            </w:r>
          </w:p>
        </w:tc>
        <w:tc>
          <w:tcPr>
            <w:tcW w:w="2345" w:type="dxa"/>
            <w:tcBorders>
              <w:top w:val="single" w:sz="6" w:space="0" w:color="000000"/>
            </w:tcBorders>
          </w:tcPr>
          <w:p>
            <w:pPr>
              <w:pStyle w:val="TableParagraph"/>
              <w:spacing w:line="194" w:lineRule="auto" w:before="20"/>
              <w:ind w:left="62" w:right="48"/>
              <w:rPr>
                <w:sz w:val="22"/>
              </w:rPr>
            </w:pPr>
            <w:r>
              <w:rPr>
                <w:sz w:val="22"/>
              </w:rPr>
              <w:t>會增加腎毒性與耳毒性副作用</w:t>
            </w:r>
          </w:p>
        </w:tc>
        <w:tc>
          <w:tcPr>
            <w:tcW w:w="2243" w:type="dxa"/>
            <w:tcBorders>
              <w:top w:val="single" w:sz="6" w:space="0" w:color="000000"/>
            </w:tcBorders>
          </w:tcPr>
          <w:p>
            <w:pPr>
              <w:pStyle w:val="TableParagraph"/>
              <w:spacing w:line="194" w:lineRule="auto" w:before="20"/>
              <w:ind w:left="62" w:right="32"/>
              <w:jc w:val="both"/>
              <w:rPr>
                <w:sz w:val="22"/>
              </w:rPr>
            </w:pPr>
            <w:r>
              <w:rPr>
                <w:spacing w:val="-11"/>
                <w:sz w:val="22"/>
              </w:rPr>
              <w:t>密切注意，必要時調整</w:t>
            </w:r>
            <w:r>
              <w:rPr>
                <w:spacing w:val="14"/>
                <w:sz w:val="22"/>
              </w:rPr>
              <w:t>劑量，或改用其他藥</w:t>
            </w:r>
            <w:r>
              <w:rPr>
                <w:spacing w:val="-4"/>
                <w:sz w:val="22"/>
              </w:rPr>
              <w:t>物。</w:t>
            </w:r>
          </w:p>
        </w:tc>
      </w:tr>
      <w:tr>
        <w:trPr>
          <w:trHeight w:val="988" w:hRule="atLeast"/>
        </w:trPr>
        <w:tc>
          <w:tcPr>
            <w:tcW w:w="2016" w:type="dxa"/>
            <w:vMerge/>
            <w:tcBorders>
              <w:top w:val="nil"/>
            </w:tcBorders>
          </w:tcPr>
          <w:p>
            <w:pPr>
              <w:rPr>
                <w:sz w:val="2"/>
                <w:szCs w:val="2"/>
              </w:rPr>
            </w:pPr>
          </w:p>
        </w:tc>
        <w:tc>
          <w:tcPr>
            <w:tcW w:w="2722" w:type="dxa"/>
          </w:tcPr>
          <w:p>
            <w:pPr>
              <w:pStyle w:val="TableParagraph"/>
              <w:spacing w:line="194" w:lineRule="auto" w:before="23"/>
              <w:ind w:left="76"/>
              <w:rPr>
                <w:sz w:val="22"/>
              </w:rPr>
            </w:pPr>
            <w:r>
              <w:rPr>
                <w:sz w:val="22"/>
              </w:rPr>
              <w:t>類傷風苗(live typhoid vaccine)</w:t>
            </w:r>
          </w:p>
        </w:tc>
        <w:tc>
          <w:tcPr>
            <w:tcW w:w="2345" w:type="dxa"/>
          </w:tcPr>
          <w:p>
            <w:pPr>
              <w:pStyle w:val="TableParagraph"/>
              <w:spacing w:line="334" w:lineRule="exact"/>
              <w:ind w:left="62"/>
              <w:rPr>
                <w:sz w:val="22"/>
              </w:rPr>
            </w:pPr>
            <w:r>
              <w:rPr>
                <w:sz w:val="22"/>
              </w:rPr>
              <w:t>降低類傷風疫苗</w:t>
            </w:r>
          </w:p>
          <w:p>
            <w:pPr>
              <w:pStyle w:val="TableParagraph"/>
              <w:spacing w:line="328" w:lineRule="exact"/>
              <w:ind w:left="62"/>
              <w:rPr>
                <w:sz w:val="22"/>
              </w:rPr>
            </w:pPr>
            <w:r>
              <w:rPr>
                <w:sz w:val="22"/>
              </w:rPr>
              <w:t>(live typhoid vaccine)</w:t>
            </w:r>
          </w:p>
          <w:p>
            <w:pPr>
              <w:pStyle w:val="TableParagraph"/>
              <w:spacing w:line="306" w:lineRule="exact"/>
              <w:ind w:left="63"/>
              <w:rPr>
                <w:sz w:val="22"/>
              </w:rPr>
            </w:pPr>
            <w:r>
              <w:rPr>
                <w:sz w:val="22"/>
              </w:rPr>
              <w:t>的效果</w:t>
            </w:r>
          </w:p>
        </w:tc>
        <w:tc>
          <w:tcPr>
            <w:tcW w:w="2243" w:type="dxa"/>
          </w:tcPr>
          <w:p>
            <w:pPr>
              <w:pStyle w:val="TableParagraph"/>
              <w:spacing w:line="194" w:lineRule="auto" w:before="23"/>
              <w:ind w:left="62" w:right="32"/>
              <w:rPr>
                <w:sz w:val="22"/>
              </w:rPr>
            </w:pPr>
            <w:r>
              <w:rPr>
                <w:spacing w:val="-11"/>
                <w:sz w:val="22"/>
              </w:rPr>
              <w:t>密切注意，必要時調整</w:t>
            </w:r>
            <w:r>
              <w:rPr>
                <w:spacing w:val="14"/>
                <w:sz w:val="22"/>
              </w:rPr>
              <w:t>劑量，或改用其他藥</w:t>
            </w:r>
          </w:p>
          <w:p>
            <w:pPr>
              <w:pStyle w:val="TableParagraph"/>
              <w:spacing w:line="289" w:lineRule="exact"/>
              <w:ind w:left="62"/>
              <w:rPr>
                <w:sz w:val="22"/>
              </w:rPr>
            </w:pPr>
            <w:r>
              <w:rPr>
                <w:sz w:val="22"/>
              </w:rPr>
              <w:t>物。</w:t>
            </w:r>
          </w:p>
        </w:tc>
      </w:tr>
      <w:tr>
        <w:trPr>
          <w:trHeight w:val="719" w:hRule="atLeast"/>
        </w:trPr>
        <w:tc>
          <w:tcPr>
            <w:tcW w:w="2016" w:type="dxa"/>
            <w:vMerge/>
            <w:tcBorders>
              <w:top w:val="nil"/>
            </w:tcBorders>
          </w:tcPr>
          <w:p>
            <w:pPr>
              <w:rPr>
                <w:sz w:val="2"/>
                <w:szCs w:val="2"/>
              </w:rPr>
            </w:pPr>
          </w:p>
        </w:tc>
        <w:tc>
          <w:tcPr>
            <w:tcW w:w="2722" w:type="dxa"/>
          </w:tcPr>
          <w:p>
            <w:pPr>
              <w:pStyle w:val="TableParagraph"/>
              <w:spacing w:line="335" w:lineRule="exact"/>
              <w:ind w:left="76"/>
              <w:rPr>
                <w:sz w:val="22"/>
              </w:rPr>
            </w:pPr>
            <w:r>
              <w:rPr>
                <w:sz w:val="22"/>
              </w:rPr>
              <w:t>肌肉鬆弛劑( 如</w:t>
            </w:r>
          </w:p>
          <w:p>
            <w:pPr>
              <w:pStyle w:val="TableParagraph"/>
              <w:spacing w:line="364" w:lineRule="exact"/>
              <w:ind w:left="76"/>
              <w:rPr>
                <w:sz w:val="22"/>
              </w:rPr>
            </w:pPr>
            <w:r>
              <w:rPr>
                <w:sz w:val="22"/>
              </w:rPr>
              <w:t>pancuronium)</w:t>
            </w:r>
          </w:p>
        </w:tc>
        <w:tc>
          <w:tcPr>
            <w:tcW w:w="2345" w:type="dxa"/>
          </w:tcPr>
          <w:p>
            <w:pPr>
              <w:pStyle w:val="TableParagraph"/>
              <w:spacing w:line="335" w:lineRule="exact"/>
              <w:ind w:left="63"/>
              <w:rPr>
                <w:sz w:val="22"/>
              </w:rPr>
            </w:pPr>
            <w:r>
              <w:rPr>
                <w:sz w:val="22"/>
              </w:rPr>
              <w:t>增強肌肉鬆弛劑(如</w:t>
            </w:r>
          </w:p>
          <w:p>
            <w:pPr>
              <w:pStyle w:val="TableParagraph"/>
              <w:spacing w:line="364" w:lineRule="exact"/>
              <w:ind w:left="63"/>
              <w:rPr>
                <w:sz w:val="22"/>
              </w:rPr>
            </w:pPr>
            <w:r>
              <w:rPr>
                <w:sz w:val="22"/>
              </w:rPr>
              <w:t>pancuronium)作用</w:t>
            </w:r>
          </w:p>
        </w:tc>
        <w:tc>
          <w:tcPr>
            <w:tcW w:w="2243" w:type="dxa"/>
          </w:tcPr>
          <w:p>
            <w:pPr>
              <w:pStyle w:val="TableParagraph"/>
              <w:spacing w:line="194" w:lineRule="auto" w:before="24"/>
              <w:ind w:left="62" w:right="53"/>
              <w:rPr>
                <w:sz w:val="22"/>
              </w:rPr>
            </w:pPr>
            <w:r>
              <w:rPr>
                <w:spacing w:val="-12"/>
                <w:sz w:val="22"/>
              </w:rPr>
              <w:t>密切注意，必要時調整</w:t>
            </w:r>
            <w:r>
              <w:rPr>
                <w:spacing w:val="-4"/>
                <w:sz w:val="22"/>
              </w:rPr>
              <w:t>劑量</w:t>
            </w:r>
          </w:p>
        </w:tc>
      </w:tr>
      <w:tr>
        <w:trPr>
          <w:trHeight w:val="691" w:hRule="atLeast"/>
        </w:trPr>
        <w:tc>
          <w:tcPr>
            <w:tcW w:w="2016" w:type="dxa"/>
          </w:tcPr>
          <w:p>
            <w:pPr>
              <w:pStyle w:val="TableParagraph"/>
              <w:spacing w:line="330" w:lineRule="exact"/>
              <w:ind w:left="75"/>
              <w:rPr>
                <w:sz w:val="22"/>
              </w:rPr>
            </w:pPr>
            <w:r>
              <w:rPr>
                <w:sz w:val="22"/>
              </w:rPr>
              <w:t>cycloserine (CS)</w:t>
            </w:r>
          </w:p>
          <w:p>
            <w:pPr>
              <w:pStyle w:val="TableParagraph"/>
              <w:spacing w:line="342" w:lineRule="exact"/>
              <w:ind w:left="75"/>
              <w:rPr>
                <w:sz w:val="22"/>
              </w:rPr>
            </w:pPr>
            <w:r>
              <w:rPr>
                <w:sz w:val="22"/>
              </w:rPr>
              <w:t>/terzidone (TRD)</w:t>
            </w:r>
          </w:p>
        </w:tc>
        <w:tc>
          <w:tcPr>
            <w:tcW w:w="2722" w:type="dxa"/>
          </w:tcPr>
          <w:p>
            <w:pPr>
              <w:pStyle w:val="TableParagraph"/>
              <w:spacing w:line="369" w:lineRule="exact"/>
              <w:ind w:left="76"/>
              <w:rPr>
                <w:sz w:val="22"/>
              </w:rPr>
            </w:pPr>
            <w:r>
              <w:rPr>
                <w:sz w:val="22"/>
              </w:rPr>
              <w:t>INH 或 TBN</w:t>
            </w:r>
          </w:p>
        </w:tc>
        <w:tc>
          <w:tcPr>
            <w:tcW w:w="2345" w:type="dxa"/>
          </w:tcPr>
          <w:p>
            <w:pPr>
              <w:pStyle w:val="TableParagraph"/>
              <w:spacing w:line="369" w:lineRule="exact"/>
              <w:ind w:left="62"/>
              <w:rPr>
                <w:sz w:val="22"/>
              </w:rPr>
            </w:pPr>
            <w:r>
              <w:rPr>
                <w:sz w:val="22"/>
              </w:rPr>
              <w:t>易造成神經系統副作用</w:t>
            </w:r>
          </w:p>
        </w:tc>
        <w:tc>
          <w:tcPr>
            <w:tcW w:w="2243" w:type="dxa"/>
          </w:tcPr>
          <w:p>
            <w:pPr>
              <w:pStyle w:val="TableParagraph"/>
              <w:spacing w:line="330" w:lineRule="exact"/>
              <w:ind w:left="62"/>
              <w:rPr>
                <w:sz w:val="22"/>
              </w:rPr>
            </w:pPr>
            <w:r>
              <w:rPr>
                <w:spacing w:val="-11"/>
                <w:sz w:val="22"/>
              </w:rPr>
              <w:t>密切注意，補充維他命</w:t>
            </w:r>
          </w:p>
          <w:p>
            <w:pPr>
              <w:pStyle w:val="TableParagraph"/>
              <w:spacing w:line="342" w:lineRule="exact"/>
              <w:ind w:left="62"/>
              <w:rPr>
                <w:sz w:val="22"/>
              </w:rPr>
            </w:pPr>
            <w:r>
              <w:rPr>
                <w:sz w:val="22"/>
              </w:rPr>
              <w:t>B6，必要時調整劑量</w:t>
            </w:r>
          </w:p>
        </w:tc>
      </w:tr>
      <w:tr>
        <w:trPr>
          <w:trHeight w:val="692" w:hRule="atLeast"/>
        </w:trPr>
        <w:tc>
          <w:tcPr>
            <w:tcW w:w="2016" w:type="dxa"/>
            <w:vMerge w:val="restart"/>
          </w:tcPr>
          <w:p>
            <w:pPr>
              <w:pStyle w:val="TableParagraph"/>
              <w:rPr>
                <w:b/>
                <w:sz w:val="27"/>
              </w:rPr>
            </w:pPr>
          </w:p>
          <w:p>
            <w:pPr>
              <w:pStyle w:val="TableParagraph"/>
              <w:ind w:left="75"/>
              <w:rPr>
                <w:sz w:val="22"/>
              </w:rPr>
            </w:pPr>
            <w:r>
              <w:rPr>
                <w:sz w:val="22"/>
              </w:rPr>
              <w:t>clofazimine (CFZ)</w:t>
            </w:r>
          </w:p>
        </w:tc>
        <w:tc>
          <w:tcPr>
            <w:tcW w:w="2722" w:type="dxa"/>
          </w:tcPr>
          <w:p>
            <w:pPr>
              <w:pStyle w:val="TableParagraph"/>
              <w:spacing w:line="369" w:lineRule="exact"/>
              <w:ind w:left="76"/>
              <w:rPr>
                <w:sz w:val="22"/>
              </w:rPr>
            </w:pPr>
            <w:r>
              <w:rPr>
                <w:sz w:val="22"/>
              </w:rPr>
              <w:t>RMP</w:t>
            </w:r>
          </w:p>
        </w:tc>
        <w:tc>
          <w:tcPr>
            <w:tcW w:w="2345" w:type="dxa"/>
          </w:tcPr>
          <w:p>
            <w:pPr>
              <w:pStyle w:val="TableParagraph"/>
              <w:spacing w:line="331" w:lineRule="exact"/>
              <w:ind w:left="62"/>
              <w:rPr>
                <w:sz w:val="22"/>
              </w:rPr>
            </w:pPr>
            <w:r>
              <w:rPr>
                <w:spacing w:val="-5"/>
                <w:sz w:val="22"/>
              </w:rPr>
              <w:t>會影響 </w:t>
            </w:r>
            <w:r>
              <w:rPr>
                <w:sz w:val="22"/>
              </w:rPr>
              <w:t>RMP</w:t>
            </w:r>
            <w:r>
              <w:rPr>
                <w:spacing w:val="-30"/>
                <w:sz w:val="22"/>
              </w:rPr>
              <w:t> 的吸收，降</w:t>
            </w:r>
          </w:p>
          <w:p>
            <w:pPr>
              <w:pStyle w:val="TableParagraph"/>
              <w:spacing w:line="341" w:lineRule="exact"/>
              <w:ind w:left="62"/>
              <w:rPr>
                <w:sz w:val="22"/>
              </w:rPr>
            </w:pPr>
            <w:r>
              <w:rPr>
                <w:sz w:val="22"/>
              </w:rPr>
              <w:t>低血中濃度。</w:t>
            </w:r>
          </w:p>
        </w:tc>
        <w:tc>
          <w:tcPr>
            <w:tcW w:w="2243" w:type="dxa"/>
            <w:vMerge w:val="restart"/>
          </w:tcPr>
          <w:p>
            <w:pPr>
              <w:pStyle w:val="TableParagraph"/>
              <w:spacing w:line="194" w:lineRule="auto" w:before="20"/>
              <w:ind w:left="62" w:right="53"/>
              <w:rPr>
                <w:sz w:val="22"/>
              </w:rPr>
            </w:pPr>
            <w:r>
              <w:rPr>
                <w:spacing w:val="-12"/>
                <w:sz w:val="22"/>
              </w:rPr>
              <w:t>密切注意，必要時調整</w:t>
            </w:r>
            <w:r>
              <w:rPr>
                <w:spacing w:val="-4"/>
                <w:sz w:val="22"/>
              </w:rPr>
              <w:t>劑量</w:t>
            </w:r>
          </w:p>
        </w:tc>
      </w:tr>
      <w:tr>
        <w:trPr>
          <w:trHeight w:val="693" w:hRule="atLeast"/>
        </w:trPr>
        <w:tc>
          <w:tcPr>
            <w:tcW w:w="2016" w:type="dxa"/>
            <w:vMerge/>
            <w:tcBorders>
              <w:top w:val="nil"/>
            </w:tcBorders>
          </w:tcPr>
          <w:p>
            <w:pPr>
              <w:rPr>
                <w:sz w:val="2"/>
                <w:szCs w:val="2"/>
              </w:rPr>
            </w:pPr>
          </w:p>
        </w:tc>
        <w:tc>
          <w:tcPr>
            <w:tcW w:w="2722" w:type="dxa"/>
          </w:tcPr>
          <w:p>
            <w:pPr>
              <w:pStyle w:val="TableParagraph"/>
              <w:spacing w:line="369" w:lineRule="exact"/>
              <w:ind w:left="76"/>
              <w:rPr>
                <w:sz w:val="22"/>
              </w:rPr>
            </w:pPr>
            <w:r>
              <w:rPr>
                <w:sz w:val="22"/>
              </w:rPr>
              <w:t>INH</w:t>
            </w:r>
          </w:p>
        </w:tc>
        <w:tc>
          <w:tcPr>
            <w:tcW w:w="2345" w:type="dxa"/>
          </w:tcPr>
          <w:p>
            <w:pPr>
              <w:pStyle w:val="TableParagraph"/>
              <w:spacing w:line="330" w:lineRule="exact"/>
              <w:ind w:left="63"/>
              <w:rPr>
                <w:sz w:val="22"/>
              </w:rPr>
            </w:pPr>
            <w:r>
              <w:rPr>
                <w:sz w:val="22"/>
              </w:rPr>
              <w:t>會增加兩者在血中及尿</w:t>
            </w:r>
          </w:p>
          <w:p>
            <w:pPr>
              <w:pStyle w:val="TableParagraph"/>
              <w:spacing w:line="343" w:lineRule="exact"/>
              <w:ind w:left="63"/>
              <w:rPr>
                <w:sz w:val="22"/>
              </w:rPr>
            </w:pPr>
            <w:r>
              <w:rPr>
                <w:sz w:val="22"/>
              </w:rPr>
              <w:t>液中的濃度。</w:t>
            </w:r>
          </w:p>
        </w:tc>
        <w:tc>
          <w:tcPr>
            <w:tcW w:w="2243" w:type="dxa"/>
            <w:vMerge/>
            <w:tcBorders>
              <w:top w:val="nil"/>
            </w:tcBorders>
          </w:tcPr>
          <w:p>
            <w:pPr>
              <w:rPr>
                <w:sz w:val="2"/>
                <w:szCs w:val="2"/>
              </w:rPr>
            </w:pPr>
          </w:p>
        </w:tc>
      </w:tr>
    </w:tbl>
    <w:p>
      <w:pPr>
        <w:rPr>
          <w:sz w:val="2"/>
          <w:szCs w:val="2"/>
        </w:rPr>
      </w:pPr>
      <w:r>
        <w:rPr/>
        <w:pict>
          <v:group style="position:absolute;margin-left:571.5pt;margin-top:73.749916pt;width:40.9pt;height:316.05pt;mso-position-horizontal-relative:page;mso-position-vertical-relative:page;z-index:251774976" coordorigin="11430,1475" coordsize="818,6321">
            <v:shape style="position:absolute;left:11430;top:1475;width:818;height:6321" coordorigin="11430,1475" coordsize="818,6321" path="m12247,1475l11595,1475,11531,1488,11478,1523,11443,1576,11430,1640,11430,7631,11443,7695,11478,7748,11531,7783,11595,7796,12247,7796,12247,1475xe" filled="true" fillcolor="#a6a6a6" stroked="false">
              <v:path arrowok="t"/>
              <v:fill type="solid"/>
            </v:shape>
            <v:shape style="position:absolute;left:11430;top:1475;width:818;height:6321" type="#_x0000_t202" filled="false" stroked="false">
              <v:textbox inset="0,0,0,0">
                <w:txbxContent>
                  <w:p>
                    <w:pPr>
                      <w:spacing w:line="146" w:lineRule="auto" w:before="126"/>
                      <w:ind w:left="136" w:right="458" w:firstLine="0"/>
                      <w:jc w:val="both"/>
                      <w:rPr>
                        <w:sz w:val="22"/>
                      </w:rPr>
                    </w:pPr>
                    <w:r>
                      <w:rPr>
                        <w:sz w:val="22"/>
                      </w:rPr>
                      <w:t>第六章</w:t>
                    </w:r>
                  </w:p>
                  <w:p>
                    <w:pPr>
                      <w:spacing w:line="141" w:lineRule="auto" w:before="176"/>
                      <w:ind w:left="136" w:right="458" w:firstLine="0"/>
                      <w:jc w:val="both"/>
                      <w:rPr>
                        <w:sz w:val="22"/>
                      </w:rPr>
                    </w:pPr>
                    <w:r>
                      <w:rPr>
                        <w:sz w:val="22"/>
                      </w:rPr>
                      <w:t>結核病的藥物及藥物交互作用</w:t>
                    </w:r>
                  </w:p>
                  <w:p>
                    <w:pPr>
                      <w:spacing w:line="240" w:lineRule="auto" w:before="0"/>
                      <w:rPr>
                        <w:sz w:val="14"/>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pict>
          <v:shape style="position:absolute;margin-left:574.289001pt;margin-top:379.23764pt;width:16.650pt;height:5.55pt;mso-position-horizontal-relative:page;mso-position-vertical-relative:page;z-index:251776000"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pict>
          <v:shape style="position:absolute;margin-left:574.289001pt;margin-top:283.23764pt;width:16.650pt;height:5.55pt;mso-position-horizontal-relative:page;mso-position-vertical-relative:page;z-index:251777024"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p>
    <w:p>
      <w:pPr>
        <w:spacing w:after="0"/>
        <w:rPr>
          <w:sz w:val="2"/>
          <w:szCs w:val="2"/>
        </w:rPr>
        <w:sectPr>
          <w:pgSz w:w="12250" w:h="17190"/>
          <w:pgMar w:header="0" w:footer="748" w:top="1480" w:bottom="940" w:left="1180" w:right="0"/>
        </w:sect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2722"/>
        <w:gridCol w:w="2345"/>
        <w:gridCol w:w="2243"/>
      </w:tblGrid>
      <w:tr>
        <w:trPr>
          <w:trHeight w:val="430" w:hRule="atLeast"/>
        </w:trPr>
        <w:tc>
          <w:tcPr>
            <w:tcW w:w="2016" w:type="dxa"/>
            <w:shd w:val="clear" w:color="auto" w:fill="F1F1F1"/>
          </w:tcPr>
          <w:p>
            <w:pPr>
              <w:pStyle w:val="TableParagraph"/>
              <w:spacing w:line="409" w:lineRule="exact" w:before="1"/>
              <w:ind w:left="442"/>
              <w:rPr>
                <w:sz w:val="23"/>
              </w:rPr>
            </w:pPr>
            <w:r>
              <w:rPr>
                <w:sz w:val="23"/>
              </w:rPr>
              <w:t>抗結核藥物</w:t>
            </w:r>
          </w:p>
        </w:tc>
        <w:tc>
          <w:tcPr>
            <w:tcW w:w="2722" w:type="dxa"/>
            <w:shd w:val="clear" w:color="auto" w:fill="F1F1F1"/>
          </w:tcPr>
          <w:p>
            <w:pPr>
              <w:pStyle w:val="TableParagraph"/>
              <w:spacing w:line="409" w:lineRule="exact" w:before="1"/>
              <w:ind w:left="683"/>
              <w:rPr>
                <w:sz w:val="23"/>
              </w:rPr>
            </w:pPr>
            <w:r>
              <w:rPr>
                <w:sz w:val="23"/>
              </w:rPr>
              <w:t>併用藥物種類</w:t>
            </w:r>
          </w:p>
        </w:tc>
        <w:tc>
          <w:tcPr>
            <w:tcW w:w="2345" w:type="dxa"/>
            <w:shd w:val="clear" w:color="auto" w:fill="F1F1F1"/>
          </w:tcPr>
          <w:p>
            <w:pPr>
              <w:pStyle w:val="TableParagraph"/>
              <w:spacing w:line="409" w:lineRule="exact" w:before="1"/>
              <w:ind w:left="493"/>
              <w:rPr>
                <w:sz w:val="23"/>
              </w:rPr>
            </w:pPr>
            <w:r>
              <w:rPr>
                <w:sz w:val="23"/>
              </w:rPr>
              <w:t>交互作用結果</w:t>
            </w:r>
          </w:p>
        </w:tc>
        <w:tc>
          <w:tcPr>
            <w:tcW w:w="2243" w:type="dxa"/>
            <w:shd w:val="clear" w:color="auto" w:fill="F1F1F1"/>
          </w:tcPr>
          <w:p>
            <w:pPr>
              <w:pStyle w:val="TableParagraph"/>
              <w:spacing w:line="409" w:lineRule="exact" w:before="1"/>
              <w:ind w:left="668"/>
              <w:rPr>
                <w:sz w:val="23"/>
              </w:rPr>
            </w:pPr>
            <w:r>
              <w:rPr>
                <w:sz w:val="23"/>
              </w:rPr>
              <w:t>處理方法</w:t>
            </w:r>
          </w:p>
        </w:tc>
      </w:tr>
      <w:tr>
        <w:trPr>
          <w:trHeight w:val="4415" w:hRule="atLeast"/>
        </w:trPr>
        <w:tc>
          <w:tcPr>
            <w:tcW w:w="2016" w:type="dxa"/>
          </w:tcPr>
          <w:p>
            <w:pPr>
              <w:pStyle w:val="TableParagraph"/>
              <w:rPr>
                <w:b/>
                <w:sz w:val="28"/>
              </w:rPr>
            </w:pPr>
          </w:p>
          <w:p>
            <w:pPr>
              <w:pStyle w:val="TableParagraph"/>
              <w:rPr>
                <w:b/>
                <w:sz w:val="28"/>
              </w:rPr>
            </w:pPr>
          </w:p>
          <w:p>
            <w:pPr>
              <w:pStyle w:val="TableParagraph"/>
              <w:rPr>
                <w:b/>
                <w:sz w:val="28"/>
              </w:rPr>
            </w:pPr>
          </w:p>
          <w:p>
            <w:pPr>
              <w:pStyle w:val="TableParagraph"/>
              <w:spacing w:before="5"/>
              <w:rPr>
                <w:b/>
                <w:sz w:val="19"/>
              </w:rPr>
            </w:pPr>
          </w:p>
          <w:p>
            <w:pPr>
              <w:pStyle w:val="TableParagraph"/>
              <w:spacing w:line="194" w:lineRule="auto"/>
              <w:ind w:left="75" w:right="526"/>
              <w:rPr>
                <w:sz w:val="22"/>
              </w:rPr>
            </w:pPr>
            <w:r>
              <w:rPr>
                <w:sz w:val="22"/>
              </w:rPr>
              <w:t>linezolid (LZD)</w:t>
            </w:r>
          </w:p>
        </w:tc>
        <w:tc>
          <w:tcPr>
            <w:tcW w:w="2722" w:type="dxa"/>
          </w:tcPr>
          <w:p>
            <w:pPr>
              <w:pStyle w:val="TableParagraph"/>
              <w:spacing w:line="199" w:lineRule="auto" w:before="19"/>
              <w:ind w:left="76" w:right="214"/>
              <w:rPr>
                <w:sz w:val="22"/>
              </w:rPr>
            </w:pPr>
            <w:r>
              <w:rPr>
                <w:spacing w:val="-4"/>
                <w:sz w:val="22"/>
              </w:rPr>
              <w:t>血清素作用劑</w:t>
            </w:r>
            <w:r>
              <w:rPr>
                <w:spacing w:val="-6"/>
                <w:sz w:val="22"/>
              </w:rPr>
              <w:t>(serotonergic </w:t>
            </w:r>
            <w:r>
              <w:rPr>
                <w:spacing w:val="-3"/>
                <w:sz w:val="22"/>
              </w:rPr>
              <w:t>agents)/</w:t>
            </w:r>
            <w:r>
              <w:rPr>
                <w:sz w:val="22"/>
              </w:rPr>
              <w:t>抗</w:t>
            </w:r>
            <w:r>
              <w:rPr>
                <w:spacing w:val="-4"/>
                <w:sz w:val="22"/>
              </w:rPr>
              <w:t>抑鬱劑：</w:t>
            </w:r>
          </w:p>
          <w:p>
            <w:pPr>
              <w:pStyle w:val="TableParagraph"/>
              <w:spacing w:line="199" w:lineRule="auto"/>
              <w:ind w:left="76" w:right="11"/>
              <w:rPr>
                <w:sz w:val="22"/>
              </w:rPr>
            </w:pPr>
            <w:r>
              <w:rPr>
                <w:sz w:val="22"/>
              </w:rPr>
              <w:t>如：單胺氧化脢抑制劑(monoamine oxidase inhibitors， MAOIs) 、選擇性血清回收抑制劑(selective serotonin reuptake inhibitors，如： fluoxetine 及paroxetine)</w:t>
            </w:r>
          </w:p>
          <w:p>
            <w:pPr>
              <w:pStyle w:val="TableParagraph"/>
              <w:spacing w:line="199" w:lineRule="auto" w:before="2"/>
              <w:ind w:left="76" w:right="213"/>
              <w:rPr>
                <w:sz w:val="22"/>
              </w:rPr>
            </w:pPr>
            <w:r>
              <w:rPr>
                <w:sz w:val="22"/>
              </w:rPr>
              <w:t>、血清鋰鹽(lithium)、三環 抗 鬱 劑 (tricyclic antidepressants)等</w:t>
            </w:r>
          </w:p>
        </w:tc>
        <w:tc>
          <w:tcPr>
            <w:tcW w:w="2345" w:type="dxa"/>
          </w:tcPr>
          <w:p>
            <w:pPr>
              <w:pStyle w:val="TableParagraph"/>
              <w:spacing w:line="194" w:lineRule="auto" w:before="18"/>
              <w:ind w:left="63" w:right="48"/>
              <w:rPr>
                <w:sz w:val="22"/>
              </w:rPr>
            </w:pPr>
            <w:r>
              <w:rPr>
                <w:sz w:val="22"/>
              </w:rPr>
              <w:t>可能會導致嚴重中樞神經系統反應</w:t>
            </w:r>
          </w:p>
        </w:tc>
        <w:tc>
          <w:tcPr>
            <w:tcW w:w="2243" w:type="dxa"/>
          </w:tcPr>
          <w:p>
            <w:pPr>
              <w:pStyle w:val="TableParagraph"/>
              <w:spacing w:line="368" w:lineRule="exact"/>
              <w:ind w:left="63"/>
              <w:rPr>
                <w:sz w:val="22"/>
              </w:rPr>
            </w:pPr>
            <w:r>
              <w:rPr>
                <w:sz w:val="22"/>
              </w:rPr>
              <w:t>建議不要同時使用</w:t>
            </w:r>
          </w:p>
        </w:tc>
      </w:tr>
      <w:tr>
        <w:trPr>
          <w:trHeight w:val="1134" w:hRule="atLeast"/>
        </w:trPr>
        <w:tc>
          <w:tcPr>
            <w:tcW w:w="2016" w:type="dxa"/>
          </w:tcPr>
          <w:p>
            <w:pPr>
              <w:pStyle w:val="TableParagraph"/>
              <w:spacing w:line="366" w:lineRule="exact" w:before="12"/>
              <w:ind w:left="75"/>
              <w:rPr>
                <w:sz w:val="22"/>
              </w:rPr>
            </w:pPr>
            <w:r>
              <w:rPr>
                <w:sz w:val="22"/>
              </w:rPr>
              <w:t>Meropenem(MPM</w:t>
            </w:r>
          </w:p>
          <w:p>
            <w:pPr>
              <w:pStyle w:val="TableParagraph"/>
              <w:spacing w:line="352" w:lineRule="exact"/>
              <w:ind w:left="75"/>
              <w:rPr>
                <w:sz w:val="22"/>
              </w:rPr>
            </w:pPr>
            <w:r>
              <w:rPr>
                <w:w w:val="99"/>
                <w:sz w:val="22"/>
              </w:rPr>
              <w:t>)</w:t>
            </w:r>
          </w:p>
          <w:p>
            <w:pPr>
              <w:pStyle w:val="TableParagraph"/>
              <w:spacing w:line="385" w:lineRule="exact"/>
              <w:ind w:left="75"/>
              <w:rPr>
                <w:sz w:val="22"/>
              </w:rPr>
            </w:pPr>
            <w:r>
              <w:rPr>
                <w:sz w:val="22"/>
              </w:rPr>
              <w:t>/imipenem(IPM)</w:t>
            </w:r>
          </w:p>
        </w:tc>
        <w:tc>
          <w:tcPr>
            <w:tcW w:w="2722" w:type="dxa"/>
          </w:tcPr>
          <w:p>
            <w:pPr>
              <w:pStyle w:val="TableParagraph"/>
              <w:spacing w:line="366" w:lineRule="exact" w:before="12"/>
              <w:ind w:left="76"/>
              <w:rPr>
                <w:sz w:val="22"/>
              </w:rPr>
            </w:pPr>
            <w:r>
              <w:rPr>
                <w:sz w:val="22"/>
              </w:rPr>
              <w:t>抗驚厥或抗癲癇藥物</w:t>
            </w:r>
          </w:p>
          <w:p>
            <w:pPr>
              <w:pStyle w:val="TableParagraph"/>
              <w:spacing w:line="366" w:lineRule="exact"/>
              <w:ind w:left="76"/>
              <w:rPr>
                <w:sz w:val="22"/>
              </w:rPr>
            </w:pPr>
            <w:r>
              <w:rPr>
                <w:sz w:val="22"/>
              </w:rPr>
              <w:t>Sodium valproate</w:t>
            </w:r>
          </w:p>
        </w:tc>
        <w:tc>
          <w:tcPr>
            <w:tcW w:w="2345" w:type="dxa"/>
          </w:tcPr>
          <w:p>
            <w:pPr>
              <w:pStyle w:val="TableParagraph"/>
              <w:spacing w:line="194" w:lineRule="auto" w:before="68"/>
              <w:ind w:left="62" w:right="48"/>
              <w:jc w:val="both"/>
              <w:rPr>
                <w:sz w:val="22"/>
              </w:rPr>
            </w:pPr>
            <w:r>
              <w:rPr>
                <w:spacing w:val="-8"/>
                <w:sz w:val="22"/>
              </w:rPr>
              <w:t>會使 </w:t>
            </w:r>
            <w:r>
              <w:rPr>
                <w:sz w:val="22"/>
              </w:rPr>
              <w:t>valproic</w:t>
            </w:r>
            <w:r>
              <w:rPr>
                <w:spacing w:val="-25"/>
                <w:sz w:val="22"/>
              </w:rPr>
              <w:t> </w:t>
            </w:r>
            <w:r>
              <w:rPr>
                <w:sz w:val="22"/>
              </w:rPr>
              <w:t>acid</w:t>
            </w:r>
            <w:r>
              <w:rPr>
                <w:spacing w:val="-9"/>
                <w:sz w:val="22"/>
              </w:rPr>
              <w:t> 血中</w:t>
            </w:r>
            <w:r>
              <w:rPr>
                <w:spacing w:val="-1"/>
                <w:sz w:val="22"/>
              </w:rPr>
              <w:t>濃度降低，會引起癲癇</w:t>
            </w:r>
            <w:r>
              <w:rPr>
                <w:spacing w:val="-4"/>
                <w:sz w:val="22"/>
              </w:rPr>
              <w:t>病人再發作</w:t>
            </w:r>
          </w:p>
        </w:tc>
        <w:tc>
          <w:tcPr>
            <w:tcW w:w="2243" w:type="dxa"/>
          </w:tcPr>
          <w:p>
            <w:pPr>
              <w:pStyle w:val="TableParagraph"/>
              <w:spacing w:line="194" w:lineRule="auto" w:before="68"/>
              <w:ind w:left="62" w:right="32"/>
              <w:jc w:val="both"/>
              <w:rPr>
                <w:sz w:val="22"/>
              </w:rPr>
            </w:pPr>
            <w:r>
              <w:rPr>
                <w:spacing w:val="-9"/>
                <w:sz w:val="22"/>
              </w:rPr>
              <w:t>建議不要同時使用，開</w:t>
            </w:r>
            <w:r>
              <w:rPr>
                <w:spacing w:val="14"/>
                <w:sz w:val="22"/>
              </w:rPr>
              <w:t>處方時應考慮其他的</w:t>
            </w:r>
            <w:r>
              <w:rPr>
                <w:spacing w:val="-4"/>
                <w:sz w:val="22"/>
              </w:rPr>
              <w:t>抗菌藥劑組合</w:t>
            </w:r>
          </w:p>
        </w:tc>
      </w:tr>
    </w:tbl>
    <w:p>
      <w:pPr>
        <w:spacing w:after="0" w:line="194" w:lineRule="auto"/>
        <w:jc w:val="both"/>
        <w:rPr>
          <w:sz w:val="22"/>
        </w:rPr>
        <w:sectPr>
          <w:pgSz w:w="12250" w:h="17190"/>
          <w:pgMar w:header="0" w:footer="748" w:top="1480" w:bottom="940" w:left="1180" w:right="0"/>
        </w:sectPr>
      </w:pPr>
    </w:p>
    <w:p>
      <w:pPr>
        <w:pStyle w:val="BodyText"/>
        <w:spacing w:before="9"/>
        <w:rPr>
          <w:b/>
          <w:sz w:val="15"/>
        </w:rPr>
      </w:pPr>
      <w:r>
        <w:rPr/>
        <w:pict>
          <v:line style="position:absolute;mso-position-horizontal-relative:page;mso-position-vertical-relative:page;z-index:-268729344" from="308.80011pt,319.119385pt" to="408.55011pt,362.619385pt" stroked="true" strokeweight=".75pt" strokecolor="#000000">
            <v:stroke dashstyle="solid"/>
            <w10:wrap type="none"/>
          </v:line>
        </w:pict>
      </w:r>
    </w:p>
    <w:p>
      <w:pPr>
        <w:spacing w:before="36"/>
        <w:ind w:left="5638" w:right="5158" w:firstLine="0"/>
        <w:jc w:val="center"/>
        <w:rPr>
          <w:b/>
          <w:sz w:val="25"/>
        </w:rPr>
      </w:pPr>
      <w:bookmarkStart w:name="表 6-5 疾病管制署抗結核公費藥申請須知" w:id="80"/>
      <w:bookmarkEnd w:id="80"/>
      <w:r>
        <w:rPr/>
      </w:r>
      <w:r>
        <w:rPr>
          <w:b/>
          <w:color w:val="FF0000"/>
          <w:sz w:val="25"/>
        </w:rPr>
        <w:t>表 6-5  疾病管制署抗結核公費藥申請須知</w:t>
      </w:r>
    </w:p>
    <w:p>
      <w:pPr>
        <w:pStyle w:val="BodyText"/>
        <w:spacing w:before="10"/>
        <w:rPr>
          <w:b/>
          <w:sz w:val="4"/>
        </w:rPr>
      </w:pPr>
    </w:p>
    <w:tbl>
      <w:tblPr>
        <w:tblW w:w="0" w:type="auto"/>
        <w:jc w:val="left"/>
        <w:tblInd w:w="1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53"/>
        <w:gridCol w:w="1985"/>
        <w:gridCol w:w="567"/>
        <w:gridCol w:w="1135"/>
        <w:gridCol w:w="995"/>
        <w:gridCol w:w="1276"/>
        <w:gridCol w:w="1277"/>
        <w:gridCol w:w="1845"/>
        <w:gridCol w:w="3546"/>
      </w:tblGrid>
      <w:tr>
        <w:trPr>
          <w:trHeight w:val="337" w:hRule="atLeast"/>
        </w:trPr>
        <w:tc>
          <w:tcPr>
            <w:tcW w:w="15179" w:type="dxa"/>
            <w:gridSpan w:val="9"/>
            <w:shd w:val="clear" w:color="auto" w:fill="E1EED9"/>
          </w:tcPr>
          <w:p>
            <w:pPr>
              <w:pStyle w:val="TableParagraph"/>
              <w:spacing w:line="317" w:lineRule="exact"/>
              <w:ind w:left="43"/>
              <w:rPr>
                <w:b/>
                <w:sz w:val="24"/>
              </w:rPr>
            </w:pPr>
            <w:r>
              <w:rPr>
                <w:b/>
                <w:sz w:val="24"/>
              </w:rPr>
              <w:t>一、可提供一般/TMTC團隊醫院申請的藥物（*為專案進口藥品，不適用藥害救濟法，應先請個案簽署使用同意書。）</w:t>
            </w:r>
          </w:p>
        </w:tc>
      </w:tr>
      <w:tr>
        <w:trPr>
          <w:trHeight w:val="634" w:hRule="atLeast"/>
        </w:trPr>
        <w:tc>
          <w:tcPr>
            <w:tcW w:w="15179" w:type="dxa"/>
            <w:gridSpan w:val="9"/>
            <w:tcBorders>
              <w:top w:val="single" w:sz="34" w:space="0" w:color="E1EED9"/>
              <w:bottom w:val="single" w:sz="4" w:space="0" w:color="000000"/>
            </w:tcBorders>
          </w:tcPr>
          <w:p>
            <w:pPr>
              <w:pStyle w:val="TableParagraph"/>
              <w:spacing w:line="312" w:lineRule="exact"/>
              <w:ind w:left="16"/>
              <w:rPr>
                <w:sz w:val="24"/>
              </w:rPr>
            </w:pPr>
            <w:r>
              <w:rPr>
                <w:sz w:val="24"/>
              </w:rPr>
              <w:t>(一) Levofloxacin 750/500/100mg、moxifloxacin 400mg、Streptomycin 1gm、cycloserine 250mg、amikacin 500mg、kanamycin</w:t>
            </w:r>
          </w:p>
          <w:p>
            <w:pPr>
              <w:pStyle w:val="TableParagraph"/>
              <w:spacing w:line="302" w:lineRule="exact"/>
              <w:ind w:left="571"/>
              <w:rPr>
                <w:sz w:val="24"/>
              </w:rPr>
            </w:pPr>
            <w:r>
              <w:rPr>
                <w:sz w:val="24"/>
              </w:rPr>
              <w:t>1gm*、prothionamide 250mg* (備註1)</w:t>
            </w:r>
          </w:p>
        </w:tc>
      </w:tr>
      <w:tr>
        <w:trPr>
          <w:trHeight w:val="640" w:hRule="atLeast"/>
        </w:trPr>
        <w:tc>
          <w:tcPr>
            <w:tcW w:w="2553" w:type="dxa"/>
            <w:vMerge w:val="restart"/>
            <w:tcBorders>
              <w:top w:val="single" w:sz="4" w:space="0" w:color="000000"/>
              <w:bottom w:val="single" w:sz="4" w:space="0" w:color="000000"/>
              <w:right w:val="single" w:sz="4" w:space="0" w:color="000000"/>
            </w:tcBorders>
          </w:tcPr>
          <w:p>
            <w:pPr>
              <w:pStyle w:val="TableParagraph"/>
              <w:spacing w:before="9"/>
              <w:rPr>
                <w:b/>
                <w:sz w:val="31"/>
              </w:rPr>
            </w:pPr>
          </w:p>
          <w:p>
            <w:pPr>
              <w:pStyle w:val="TableParagraph"/>
              <w:ind w:left="732"/>
              <w:rPr>
                <w:sz w:val="24"/>
              </w:rPr>
            </w:pPr>
            <w:r>
              <w:rPr>
                <w:sz w:val="24"/>
              </w:rPr>
              <w:t>申請原因</w:t>
            </w:r>
          </w:p>
        </w:tc>
        <w:tc>
          <w:tcPr>
            <w:tcW w:w="2552"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spacing w:before="9"/>
              <w:rPr>
                <w:b/>
                <w:sz w:val="31"/>
              </w:rPr>
            </w:pPr>
          </w:p>
          <w:p>
            <w:pPr>
              <w:pStyle w:val="TableParagraph"/>
              <w:ind w:left="570"/>
              <w:rPr>
                <w:sz w:val="24"/>
              </w:rPr>
            </w:pPr>
            <w:r>
              <w:rPr>
                <w:sz w:val="24"/>
              </w:rPr>
              <w:t>診治醫院</w:t>
            </w:r>
          </w:p>
        </w:tc>
        <w:tc>
          <w:tcPr>
            <w:tcW w:w="2130" w:type="dxa"/>
            <w:gridSpan w:val="2"/>
            <w:tcBorders>
              <w:top w:val="single" w:sz="4" w:space="0" w:color="000000"/>
              <w:left w:val="single" w:sz="4" w:space="0" w:color="000000"/>
              <w:bottom w:val="single" w:sz="4" w:space="0" w:color="000000"/>
              <w:right w:val="single" w:sz="4" w:space="0" w:color="000000"/>
            </w:tcBorders>
          </w:tcPr>
          <w:p>
            <w:pPr>
              <w:pStyle w:val="TableParagraph"/>
              <w:spacing w:line="318" w:lineRule="exact"/>
              <w:ind w:left="225"/>
              <w:rPr>
                <w:sz w:val="24"/>
              </w:rPr>
            </w:pPr>
            <w:r>
              <w:rPr>
                <w:sz w:val="24"/>
              </w:rPr>
              <w:t>個案是否納入</w:t>
            </w:r>
          </w:p>
          <w:p>
            <w:pPr>
              <w:pStyle w:val="TableParagraph"/>
              <w:spacing w:line="302" w:lineRule="exact"/>
              <w:ind w:left="350"/>
              <w:rPr>
                <w:sz w:val="24"/>
              </w:rPr>
            </w:pPr>
            <w:r>
              <w:rPr>
                <w:sz w:val="24"/>
              </w:rPr>
              <w:t>TMTC計畫</w:t>
            </w:r>
          </w:p>
        </w:tc>
        <w:tc>
          <w:tcPr>
            <w:tcW w:w="2553"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3"/>
              <w:ind w:left="533"/>
              <w:rPr>
                <w:sz w:val="24"/>
              </w:rPr>
            </w:pPr>
            <w:r>
              <w:rPr>
                <w:sz w:val="24"/>
              </w:rPr>
              <w:t>受理申請單位</w:t>
            </w:r>
          </w:p>
        </w:tc>
        <w:tc>
          <w:tcPr>
            <w:tcW w:w="1845"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9"/>
              <w:rPr>
                <w:b/>
                <w:sz w:val="31"/>
              </w:rPr>
            </w:pPr>
          </w:p>
          <w:p>
            <w:pPr>
              <w:pStyle w:val="TableParagraph"/>
              <w:ind w:left="356"/>
              <w:rPr>
                <w:sz w:val="24"/>
              </w:rPr>
            </w:pPr>
            <w:r>
              <w:rPr>
                <w:sz w:val="24"/>
              </w:rPr>
              <w:t>都治種類</w:t>
            </w:r>
          </w:p>
        </w:tc>
        <w:tc>
          <w:tcPr>
            <w:tcW w:w="3546" w:type="dxa"/>
            <w:vMerge w:val="restart"/>
            <w:tcBorders>
              <w:top w:val="single" w:sz="4" w:space="0" w:color="000000"/>
              <w:left w:val="single" w:sz="4" w:space="0" w:color="000000"/>
              <w:bottom w:val="single" w:sz="4" w:space="0" w:color="000000"/>
            </w:tcBorders>
          </w:tcPr>
          <w:p>
            <w:pPr>
              <w:pStyle w:val="TableParagraph"/>
              <w:spacing w:before="9"/>
              <w:rPr>
                <w:b/>
                <w:sz w:val="31"/>
              </w:rPr>
            </w:pPr>
          </w:p>
          <w:p>
            <w:pPr>
              <w:pStyle w:val="TableParagraph"/>
              <w:ind w:left="1090"/>
              <w:rPr>
                <w:sz w:val="24"/>
              </w:rPr>
            </w:pPr>
            <w:r>
              <w:rPr>
                <w:sz w:val="24"/>
              </w:rPr>
              <w:t>備註</w:t>
            </w:r>
          </w:p>
        </w:tc>
      </w:tr>
      <w:tr>
        <w:trPr>
          <w:trHeight w:val="729" w:hRule="atLeast"/>
        </w:trPr>
        <w:tc>
          <w:tcPr>
            <w:tcW w:w="2553" w:type="dxa"/>
            <w:vMerge/>
            <w:tcBorders>
              <w:top w:val="nil"/>
              <w:bottom w:val="single" w:sz="4" w:space="0" w:color="000000"/>
              <w:right w:val="single" w:sz="4" w:space="0" w:color="000000"/>
            </w:tcBorders>
          </w:tcPr>
          <w:p>
            <w:pPr>
              <w:rPr>
                <w:sz w:val="2"/>
                <w:szCs w:val="2"/>
              </w:rPr>
            </w:pPr>
          </w:p>
        </w:tc>
        <w:tc>
          <w:tcPr>
            <w:tcW w:w="2552" w:type="dxa"/>
            <w:gridSpan w:val="2"/>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41"/>
              <w:ind w:left="468"/>
              <w:rPr>
                <w:sz w:val="24"/>
              </w:rPr>
            </w:pPr>
            <w:r>
              <w:rPr>
                <w:sz w:val="24"/>
              </w:rPr>
              <w:t>是</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141"/>
              <w:ind w:left="51"/>
              <w:jc w:val="center"/>
              <w:rPr>
                <w:sz w:val="24"/>
              </w:rPr>
            </w:pPr>
            <w:r>
              <w:rPr>
                <w:sz w:val="24"/>
              </w:rPr>
              <w:t>否</w:t>
            </w:r>
          </w:p>
        </w:tc>
        <w:tc>
          <w:tcPr>
            <w:tcW w:w="1276" w:type="dxa"/>
            <w:tcBorders>
              <w:top w:val="single" w:sz="4" w:space="0" w:color="000000"/>
              <w:left w:val="single" w:sz="4" w:space="0" w:color="000000"/>
              <w:bottom w:val="single" w:sz="4" w:space="0" w:color="000000"/>
              <w:right w:val="single" w:sz="4" w:space="0" w:color="000000"/>
            </w:tcBorders>
          </w:tcPr>
          <w:p>
            <w:pPr>
              <w:pStyle w:val="TableParagraph"/>
              <w:spacing w:before="141"/>
              <w:ind w:left="68" w:right="15"/>
              <w:jc w:val="center"/>
              <w:rPr>
                <w:sz w:val="24"/>
              </w:rPr>
            </w:pPr>
            <w:r>
              <w:rPr>
                <w:sz w:val="24"/>
              </w:rPr>
              <w:t>TMTC團隊</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363" w:lineRule="exact"/>
              <w:ind w:left="54"/>
              <w:rPr>
                <w:sz w:val="24"/>
              </w:rPr>
            </w:pPr>
            <w:r>
              <w:rPr>
                <w:sz w:val="24"/>
              </w:rPr>
              <w:t>疾病管制署</w:t>
            </w:r>
          </w:p>
          <w:p>
            <w:pPr>
              <w:pStyle w:val="TableParagraph"/>
              <w:spacing w:line="347" w:lineRule="exact"/>
              <w:ind w:left="54"/>
              <w:rPr>
                <w:sz w:val="24"/>
              </w:rPr>
            </w:pPr>
            <w:r>
              <w:rPr>
                <w:sz w:val="24"/>
              </w:rPr>
              <w:t>各區管中心</w:t>
            </w:r>
          </w:p>
        </w:tc>
        <w:tc>
          <w:tcPr>
            <w:tcW w:w="1845" w:type="dxa"/>
            <w:vMerge/>
            <w:tcBorders>
              <w:top w:val="nil"/>
              <w:left w:val="single" w:sz="4" w:space="0" w:color="000000"/>
              <w:bottom w:val="single" w:sz="4" w:space="0" w:color="000000"/>
              <w:right w:val="single" w:sz="4" w:space="0" w:color="000000"/>
            </w:tcBorders>
          </w:tcPr>
          <w:p>
            <w:pPr>
              <w:rPr>
                <w:sz w:val="2"/>
                <w:szCs w:val="2"/>
              </w:rPr>
            </w:pPr>
          </w:p>
        </w:tc>
        <w:tc>
          <w:tcPr>
            <w:tcW w:w="3546" w:type="dxa"/>
            <w:vMerge/>
            <w:tcBorders>
              <w:top w:val="nil"/>
              <w:left w:val="single" w:sz="4" w:space="0" w:color="000000"/>
              <w:bottom w:val="single" w:sz="4" w:space="0" w:color="000000"/>
            </w:tcBorders>
          </w:tcPr>
          <w:p>
            <w:pPr>
              <w:rPr>
                <w:sz w:val="2"/>
                <w:szCs w:val="2"/>
              </w:rPr>
            </w:pPr>
          </w:p>
        </w:tc>
      </w:tr>
      <w:tr>
        <w:trPr>
          <w:trHeight w:val="947" w:hRule="atLeast"/>
        </w:trPr>
        <w:tc>
          <w:tcPr>
            <w:tcW w:w="2553" w:type="dxa"/>
            <w:vMerge w:val="restart"/>
            <w:tcBorders>
              <w:top w:val="single" w:sz="4" w:space="0" w:color="000000"/>
              <w:bottom w:val="single" w:sz="4" w:space="0" w:color="000000"/>
              <w:right w:val="single" w:sz="4" w:space="0" w:color="000000"/>
            </w:tcBorders>
          </w:tcPr>
          <w:p>
            <w:pPr>
              <w:pStyle w:val="TableParagraph"/>
              <w:numPr>
                <w:ilvl w:val="0"/>
                <w:numId w:val="89"/>
              </w:numPr>
              <w:tabs>
                <w:tab w:pos="402" w:val="left" w:leader="none"/>
              </w:tabs>
              <w:spacing w:line="381" w:lineRule="exact" w:before="279" w:after="0"/>
              <w:ind w:left="401" w:right="0" w:hanging="359"/>
              <w:jc w:val="both"/>
              <w:rPr>
                <w:sz w:val="24"/>
              </w:rPr>
            </w:pPr>
            <w:r>
              <w:rPr>
                <w:color w:val="FF0000"/>
                <w:sz w:val="24"/>
              </w:rPr>
              <w:t>抗藥性結核病個案</w:t>
            </w:r>
          </w:p>
          <w:p>
            <w:pPr>
              <w:pStyle w:val="TableParagraph"/>
              <w:numPr>
                <w:ilvl w:val="0"/>
                <w:numId w:val="89"/>
              </w:numPr>
              <w:tabs>
                <w:tab w:pos="402" w:val="left" w:leader="none"/>
              </w:tabs>
              <w:spacing w:line="175" w:lineRule="auto" w:before="26" w:after="0"/>
              <w:ind w:left="401" w:right="136" w:hanging="358"/>
              <w:jc w:val="both"/>
              <w:rPr>
                <w:sz w:val="24"/>
              </w:rPr>
            </w:pPr>
            <w:r>
              <w:rPr>
                <w:color w:val="FF0000"/>
                <w:spacing w:val="36"/>
                <w:sz w:val="24"/>
              </w:rPr>
              <w:t>一線藥治療效果</w:t>
            </w:r>
            <w:r>
              <w:rPr>
                <w:color w:val="FF0000"/>
                <w:spacing w:val="41"/>
                <w:sz w:val="24"/>
              </w:rPr>
              <w:t>不良或副作用等</w:t>
            </w:r>
            <w:r>
              <w:rPr>
                <w:color w:val="FF0000"/>
                <w:spacing w:val="5"/>
                <w:sz w:val="24"/>
              </w:rPr>
              <w:t>非抗藥性結核病個案</w:t>
            </w:r>
          </w:p>
          <w:p>
            <w:pPr>
              <w:pStyle w:val="TableParagraph"/>
              <w:numPr>
                <w:ilvl w:val="0"/>
                <w:numId w:val="89"/>
              </w:numPr>
              <w:tabs>
                <w:tab w:pos="402" w:val="left" w:leader="none"/>
              </w:tabs>
              <w:spacing w:line="347" w:lineRule="exact" w:before="0" w:after="0"/>
              <w:ind w:left="401" w:right="0" w:hanging="359"/>
              <w:jc w:val="both"/>
              <w:rPr>
                <w:sz w:val="24"/>
              </w:rPr>
            </w:pPr>
            <w:r>
              <w:rPr>
                <w:color w:val="FF0000"/>
                <w:sz w:val="24"/>
              </w:rPr>
              <w:t>其他</w:t>
            </w:r>
          </w:p>
        </w:tc>
        <w:tc>
          <w:tcPr>
            <w:tcW w:w="2552"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spacing w:before="13"/>
              <w:rPr>
                <w:b/>
                <w:sz w:val="39"/>
              </w:rPr>
            </w:pPr>
          </w:p>
          <w:p>
            <w:pPr>
              <w:pStyle w:val="TableParagraph"/>
              <w:ind w:left="475"/>
              <w:rPr>
                <w:sz w:val="24"/>
              </w:rPr>
            </w:pPr>
            <w:r>
              <w:rPr>
                <w:sz w:val="24"/>
              </w:rPr>
              <w:t>TMTC團隊醫院</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17"/>
              <w:rPr>
                <w:b/>
                <w:sz w:val="16"/>
              </w:rPr>
            </w:pPr>
          </w:p>
          <w:p>
            <w:pPr>
              <w:pStyle w:val="TableParagraph"/>
              <w:ind w:left="507"/>
              <w:rPr>
                <w:sz w:val="24"/>
              </w:rPr>
            </w:pPr>
            <w:r>
              <w:rPr>
                <w:sz w:val="24"/>
              </w:rPr>
              <w:t>V</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276" w:type="dxa"/>
            <w:tcBorders>
              <w:top w:val="single" w:sz="4" w:space="0" w:color="000000"/>
              <w:left w:val="single" w:sz="4" w:space="0" w:color="000000"/>
              <w:bottom w:val="single" w:sz="4" w:space="0" w:color="000000"/>
              <w:right w:val="single" w:sz="4" w:space="0" w:color="000000"/>
            </w:tcBorders>
          </w:tcPr>
          <w:p>
            <w:pPr>
              <w:pStyle w:val="TableParagraph"/>
              <w:spacing w:before="17"/>
              <w:rPr>
                <w:b/>
                <w:sz w:val="16"/>
              </w:rPr>
            </w:pPr>
          </w:p>
          <w:p>
            <w:pPr>
              <w:pStyle w:val="TableParagraph"/>
              <w:ind w:left="45"/>
              <w:jc w:val="center"/>
              <w:rPr>
                <w:sz w:val="24"/>
              </w:rPr>
            </w:pPr>
            <w:r>
              <w:rPr>
                <w:sz w:val="24"/>
              </w:rPr>
              <w:t>V</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381" w:lineRule="exact" w:before="91"/>
              <w:ind w:left="41"/>
              <w:jc w:val="center"/>
              <w:rPr>
                <w:sz w:val="24"/>
              </w:rPr>
            </w:pPr>
            <w:r>
              <w:rPr>
                <w:sz w:val="24"/>
              </w:rPr>
              <w:t>V</w:t>
            </w:r>
          </w:p>
          <w:p>
            <w:pPr>
              <w:pStyle w:val="TableParagraph"/>
              <w:spacing w:line="381" w:lineRule="exact"/>
              <w:ind w:left="229" w:right="190"/>
              <w:jc w:val="center"/>
              <w:rPr>
                <w:sz w:val="24"/>
              </w:rPr>
            </w:pPr>
            <w:r>
              <w:rPr>
                <w:sz w:val="24"/>
              </w:rPr>
              <w:t>(DOTS-plus)</w:t>
            </w:r>
          </w:p>
        </w:tc>
        <w:tc>
          <w:tcPr>
            <w:tcW w:w="3546" w:type="dxa"/>
            <w:vMerge w:val="restart"/>
            <w:tcBorders>
              <w:top w:val="single" w:sz="4" w:space="0" w:color="000000"/>
              <w:left w:val="single" w:sz="4" w:space="0" w:color="000000"/>
              <w:bottom w:val="single" w:sz="4" w:space="0" w:color="000000"/>
            </w:tcBorders>
          </w:tcPr>
          <w:p>
            <w:pPr>
              <w:pStyle w:val="TableParagraph"/>
              <w:numPr>
                <w:ilvl w:val="0"/>
                <w:numId w:val="90"/>
              </w:numPr>
              <w:tabs>
                <w:tab w:pos="402" w:val="left" w:leader="none"/>
              </w:tabs>
              <w:spacing w:line="172" w:lineRule="auto" w:before="49" w:after="0"/>
              <w:ind w:left="401" w:right="79" w:hanging="360"/>
              <w:jc w:val="both"/>
              <w:rPr>
                <w:color w:val="FF0000"/>
                <w:sz w:val="24"/>
              </w:rPr>
            </w:pPr>
            <w:r>
              <w:rPr>
                <w:color w:val="FF0000"/>
                <w:sz w:val="24"/>
              </w:rPr>
              <w:t>prothionamide</w:t>
            </w:r>
            <w:r>
              <w:rPr>
                <w:color w:val="FF0000"/>
                <w:spacing w:val="4"/>
                <w:sz w:val="24"/>
              </w:rPr>
              <w:t> </w:t>
            </w:r>
            <w:r>
              <w:rPr>
                <w:color w:val="FF0000"/>
                <w:sz w:val="24"/>
              </w:rPr>
              <w:t>250mg一般</w:t>
            </w:r>
            <w:r>
              <w:rPr>
                <w:color w:val="FF0000"/>
                <w:spacing w:val="10"/>
                <w:sz w:val="24"/>
              </w:rPr>
              <w:t>醫院限</w:t>
            </w:r>
            <w:r>
              <w:rPr>
                <w:color w:val="FF0000"/>
                <w:spacing w:val="3"/>
                <w:sz w:val="24"/>
              </w:rPr>
              <w:t>18</w:t>
            </w:r>
            <w:r>
              <w:rPr>
                <w:color w:val="FF0000"/>
                <w:spacing w:val="9"/>
                <w:sz w:val="24"/>
              </w:rPr>
              <w:t>歲以下兒童結核病</w:t>
            </w:r>
            <w:r>
              <w:rPr>
                <w:color w:val="FF0000"/>
                <w:sz w:val="24"/>
              </w:rPr>
              <w:t>申請使用。</w:t>
            </w:r>
          </w:p>
          <w:p>
            <w:pPr>
              <w:pStyle w:val="TableParagraph"/>
              <w:numPr>
                <w:ilvl w:val="0"/>
                <w:numId w:val="90"/>
              </w:numPr>
              <w:tabs>
                <w:tab w:pos="402" w:val="left" w:leader="none"/>
              </w:tabs>
              <w:spacing w:line="175" w:lineRule="auto" w:before="25" w:after="0"/>
              <w:ind w:left="401" w:right="31" w:hanging="360"/>
              <w:jc w:val="both"/>
              <w:rPr>
                <w:sz w:val="24"/>
              </w:rPr>
            </w:pPr>
            <w:r>
              <w:rPr>
                <w:spacing w:val="21"/>
                <w:sz w:val="24"/>
              </w:rPr>
              <w:t>無論是否納入</w:t>
            </w:r>
            <w:r>
              <w:rPr>
                <w:spacing w:val="9"/>
                <w:sz w:val="24"/>
              </w:rPr>
              <w:t>TMTC</w:t>
            </w:r>
            <w:r>
              <w:rPr>
                <w:spacing w:val="14"/>
                <w:sz w:val="24"/>
              </w:rPr>
              <w:t>計畫之MDR/RR-TB</w:t>
            </w:r>
            <w:r>
              <w:rPr>
                <w:spacing w:val="5"/>
                <w:sz w:val="24"/>
              </w:rPr>
              <w:t>等抗藥個案，務</w:t>
            </w:r>
            <w:r>
              <w:rPr>
                <w:spacing w:val="-3"/>
                <w:sz w:val="24"/>
              </w:rPr>
              <w:t>必執行</w:t>
            </w:r>
            <w:r>
              <w:rPr>
                <w:spacing w:val="-11"/>
                <w:sz w:val="24"/>
              </w:rPr>
              <w:t>DOTS-plus</w:t>
            </w:r>
            <w:r>
              <w:rPr>
                <w:spacing w:val="-3"/>
                <w:sz w:val="24"/>
              </w:rPr>
              <w:t>，其餘一般</w:t>
            </w:r>
            <w:r>
              <w:rPr>
                <w:spacing w:val="-7"/>
                <w:sz w:val="24"/>
              </w:rPr>
              <w:t>結核病個案使用本公費藥者，</w:t>
            </w:r>
          </w:p>
          <w:p>
            <w:pPr>
              <w:pStyle w:val="TableParagraph"/>
              <w:spacing w:line="268" w:lineRule="exact"/>
              <w:ind w:left="401"/>
              <w:rPr>
                <w:sz w:val="24"/>
              </w:rPr>
            </w:pPr>
            <w:r>
              <w:rPr>
                <w:sz w:val="24"/>
              </w:rPr>
              <w:t>皆需加入都治計畫。</w:t>
            </w:r>
          </w:p>
        </w:tc>
      </w:tr>
      <w:tr>
        <w:trPr>
          <w:trHeight w:val="947" w:hRule="atLeast"/>
        </w:trPr>
        <w:tc>
          <w:tcPr>
            <w:tcW w:w="2553" w:type="dxa"/>
            <w:vMerge/>
            <w:tcBorders>
              <w:top w:val="nil"/>
              <w:bottom w:val="single" w:sz="4" w:space="0" w:color="000000"/>
              <w:right w:val="single" w:sz="4" w:space="0" w:color="000000"/>
            </w:tcBorders>
          </w:tcPr>
          <w:p>
            <w:pPr>
              <w:rPr>
                <w:sz w:val="2"/>
                <w:szCs w:val="2"/>
              </w:rPr>
            </w:pPr>
          </w:p>
        </w:tc>
        <w:tc>
          <w:tcPr>
            <w:tcW w:w="2552" w:type="dxa"/>
            <w:gridSpan w:val="2"/>
            <w:vMerge/>
            <w:tcBorders>
              <w:top w:val="nil"/>
              <w:left w:val="single" w:sz="4" w:space="0" w:color="000000"/>
              <w:bottom w:val="single" w:sz="4" w:space="0" w:color="000000"/>
              <w:right w:val="single" w:sz="4" w:space="0" w:color="000000"/>
            </w:tcBorders>
          </w:tcPr>
          <w:p>
            <w:pPr>
              <w:rPr>
                <w:sz w:val="2"/>
                <w:szCs w:val="2"/>
              </w:rPr>
            </w:pP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before="5"/>
              <w:rPr>
                <w:b/>
                <w:sz w:val="19"/>
              </w:rPr>
            </w:pPr>
          </w:p>
          <w:p>
            <w:pPr>
              <w:pStyle w:val="TableParagraph"/>
              <w:ind w:left="53"/>
              <w:jc w:val="center"/>
              <w:rPr>
                <w:sz w:val="24"/>
              </w:rPr>
            </w:pPr>
            <w:r>
              <w:rPr>
                <w:sz w:val="24"/>
              </w:rPr>
              <w:t>V</w:t>
            </w:r>
          </w:p>
        </w:tc>
        <w:tc>
          <w:tcPr>
            <w:tcW w:w="1276" w:type="dxa"/>
            <w:tcBorders>
              <w:top w:val="single" w:sz="4" w:space="0" w:color="000000"/>
              <w:left w:val="single" w:sz="4" w:space="0" w:color="000000"/>
              <w:bottom w:val="single" w:sz="4" w:space="0" w:color="000000"/>
              <w:right w:val="single" w:sz="4" w:space="0" w:color="000000"/>
            </w:tcBorders>
          </w:tcPr>
          <w:p>
            <w:pPr>
              <w:pStyle w:val="TableParagraph"/>
              <w:spacing w:before="5"/>
              <w:rPr>
                <w:b/>
                <w:sz w:val="19"/>
              </w:rPr>
            </w:pPr>
          </w:p>
          <w:p>
            <w:pPr>
              <w:pStyle w:val="TableParagraph"/>
              <w:ind w:left="45"/>
              <w:jc w:val="center"/>
              <w:rPr>
                <w:sz w:val="24"/>
              </w:rPr>
            </w:pPr>
            <w:r>
              <w:rPr>
                <w:sz w:val="24"/>
              </w:rPr>
              <w:t>V</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381" w:lineRule="exact" w:before="119"/>
              <w:ind w:left="41"/>
              <w:jc w:val="center"/>
              <w:rPr>
                <w:sz w:val="24"/>
              </w:rPr>
            </w:pPr>
            <w:r>
              <w:rPr>
                <w:sz w:val="24"/>
              </w:rPr>
              <w:t>V</w:t>
            </w:r>
          </w:p>
          <w:p>
            <w:pPr>
              <w:pStyle w:val="TableParagraph"/>
              <w:spacing w:line="381" w:lineRule="exact"/>
              <w:ind w:left="229" w:right="190"/>
              <w:jc w:val="center"/>
              <w:rPr>
                <w:sz w:val="24"/>
              </w:rPr>
            </w:pPr>
            <w:r>
              <w:rPr>
                <w:sz w:val="24"/>
              </w:rPr>
              <w:t>(備註2)</w:t>
            </w:r>
          </w:p>
        </w:tc>
        <w:tc>
          <w:tcPr>
            <w:tcW w:w="3546" w:type="dxa"/>
            <w:vMerge/>
            <w:tcBorders>
              <w:top w:val="nil"/>
              <w:left w:val="single" w:sz="4" w:space="0" w:color="000000"/>
              <w:bottom w:val="single" w:sz="4" w:space="0" w:color="000000"/>
            </w:tcBorders>
          </w:tcPr>
          <w:p>
            <w:pPr>
              <w:rPr>
                <w:sz w:val="2"/>
                <w:szCs w:val="2"/>
              </w:rPr>
            </w:pPr>
          </w:p>
        </w:tc>
      </w:tr>
      <w:tr>
        <w:trPr>
          <w:trHeight w:val="689" w:hRule="atLeast"/>
        </w:trPr>
        <w:tc>
          <w:tcPr>
            <w:tcW w:w="2553" w:type="dxa"/>
            <w:vMerge/>
            <w:tcBorders>
              <w:top w:val="nil"/>
              <w:bottom w:val="single" w:sz="4" w:space="0" w:color="000000"/>
              <w:right w:val="single" w:sz="4" w:space="0" w:color="000000"/>
            </w:tcBorders>
          </w:tcPr>
          <w:p>
            <w:pPr>
              <w:rPr>
                <w:sz w:val="2"/>
                <w:szCs w:val="2"/>
              </w:rPr>
            </w:pPr>
          </w:p>
        </w:tc>
        <w:tc>
          <w:tcPr>
            <w:tcW w:w="2552"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22"/>
              <w:ind w:left="686"/>
              <w:rPr>
                <w:sz w:val="24"/>
              </w:rPr>
            </w:pPr>
            <w:r>
              <w:rPr>
                <w:sz w:val="24"/>
              </w:rPr>
              <w:t>一般醫院</w:t>
            </w:r>
          </w:p>
        </w:tc>
        <w:tc>
          <w:tcPr>
            <w:tcW w:w="2130"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2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55"/>
              <w:ind w:left="38"/>
              <w:jc w:val="center"/>
              <w:rPr>
                <w:sz w:val="24"/>
              </w:rPr>
            </w:pPr>
            <w:r>
              <w:rPr>
                <w:sz w:val="24"/>
              </w:rPr>
              <w:t>V</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343" w:lineRule="exact"/>
              <w:ind w:left="41"/>
              <w:jc w:val="center"/>
              <w:rPr>
                <w:sz w:val="24"/>
              </w:rPr>
            </w:pPr>
            <w:r>
              <w:rPr>
                <w:sz w:val="24"/>
              </w:rPr>
              <w:t>V</w:t>
            </w:r>
          </w:p>
          <w:p>
            <w:pPr>
              <w:pStyle w:val="TableParagraph"/>
              <w:spacing w:line="327" w:lineRule="exact"/>
              <w:ind w:left="229" w:right="190"/>
              <w:jc w:val="center"/>
              <w:rPr>
                <w:sz w:val="24"/>
              </w:rPr>
            </w:pPr>
            <w:r>
              <w:rPr>
                <w:sz w:val="24"/>
              </w:rPr>
              <w:t>(備註2)</w:t>
            </w:r>
          </w:p>
        </w:tc>
        <w:tc>
          <w:tcPr>
            <w:tcW w:w="3546" w:type="dxa"/>
            <w:vMerge/>
            <w:tcBorders>
              <w:top w:val="nil"/>
              <w:left w:val="single" w:sz="4" w:space="0" w:color="000000"/>
              <w:bottom w:val="single" w:sz="4" w:space="0" w:color="000000"/>
            </w:tcBorders>
          </w:tcPr>
          <w:p>
            <w:pPr>
              <w:rPr>
                <w:sz w:val="2"/>
                <w:szCs w:val="2"/>
              </w:rPr>
            </w:pPr>
          </w:p>
        </w:tc>
      </w:tr>
      <w:tr>
        <w:trPr>
          <w:trHeight w:val="716" w:hRule="atLeast"/>
        </w:trPr>
        <w:tc>
          <w:tcPr>
            <w:tcW w:w="2553" w:type="dxa"/>
            <w:tcBorders>
              <w:top w:val="single" w:sz="4" w:space="0" w:color="000000"/>
              <w:right w:val="single" w:sz="4" w:space="0" w:color="000000"/>
            </w:tcBorders>
          </w:tcPr>
          <w:p>
            <w:pPr>
              <w:pStyle w:val="TableParagraph"/>
              <w:spacing w:before="135"/>
              <w:ind w:left="43"/>
              <w:rPr>
                <w:sz w:val="24"/>
              </w:rPr>
            </w:pPr>
            <w:r>
              <w:rPr>
                <w:sz w:val="24"/>
              </w:rPr>
              <w:t>BCG 不良反應者</w:t>
            </w:r>
          </w:p>
        </w:tc>
        <w:tc>
          <w:tcPr>
            <w:tcW w:w="2552" w:type="dxa"/>
            <w:gridSpan w:val="2"/>
            <w:tcBorders>
              <w:top w:val="single" w:sz="4" w:space="0" w:color="000000"/>
              <w:left w:val="single" w:sz="4" w:space="0" w:color="000000"/>
              <w:right w:val="single" w:sz="4" w:space="0" w:color="000000"/>
            </w:tcBorders>
          </w:tcPr>
          <w:p>
            <w:pPr>
              <w:pStyle w:val="TableParagraph"/>
              <w:spacing w:before="135"/>
              <w:ind w:left="185"/>
              <w:rPr>
                <w:sz w:val="24"/>
              </w:rPr>
            </w:pPr>
            <w:r>
              <w:rPr>
                <w:sz w:val="24"/>
              </w:rPr>
              <w:t>一般/TMTC團隊醫院</w:t>
            </w:r>
          </w:p>
        </w:tc>
        <w:tc>
          <w:tcPr>
            <w:tcW w:w="2130" w:type="dxa"/>
            <w:gridSpan w:val="2"/>
            <w:tcBorders>
              <w:top w:val="single" w:sz="4" w:space="0" w:color="000000"/>
              <w:left w:val="single" w:sz="4" w:space="0" w:color="000000"/>
              <w:right w:val="single" w:sz="4" w:space="0" w:color="000000"/>
            </w:tcBorders>
          </w:tcPr>
          <w:p>
            <w:pPr>
              <w:pStyle w:val="TableParagraph"/>
              <w:spacing w:before="135"/>
              <w:ind w:left="592"/>
              <w:rPr>
                <w:sz w:val="24"/>
              </w:rPr>
            </w:pPr>
            <w:r>
              <w:rPr>
                <w:sz w:val="24"/>
              </w:rPr>
              <w:t>不需納入</w:t>
            </w:r>
          </w:p>
        </w:tc>
        <w:tc>
          <w:tcPr>
            <w:tcW w:w="1276" w:type="dxa"/>
            <w:tcBorders>
              <w:top w:val="single" w:sz="4" w:space="0" w:color="000000"/>
              <w:left w:val="single" w:sz="4" w:space="0" w:color="000000"/>
              <w:right w:val="single" w:sz="4" w:space="0" w:color="000000"/>
            </w:tcBorders>
          </w:tcPr>
          <w:p>
            <w:pPr>
              <w:pStyle w:val="TableParagraph"/>
              <w:rPr>
                <w:rFonts w:ascii="Times New Roman"/>
                <w:sz w:val="24"/>
              </w:rPr>
            </w:pPr>
          </w:p>
        </w:tc>
        <w:tc>
          <w:tcPr>
            <w:tcW w:w="1277" w:type="dxa"/>
            <w:tcBorders>
              <w:top w:val="single" w:sz="4" w:space="0" w:color="000000"/>
              <w:left w:val="single" w:sz="4" w:space="0" w:color="000000"/>
              <w:right w:val="single" w:sz="4" w:space="0" w:color="000000"/>
            </w:tcBorders>
          </w:tcPr>
          <w:p>
            <w:pPr>
              <w:pStyle w:val="TableParagraph"/>
              <w:spacing w:before="135"/>
              <w:ind w:left="38"/>
              <w:jc w:val="center"/>
              <w:rPr>
                <w:sz w:val="24"/>
              </w:rPr>
            </w:pPr>
            <w:r>
              <w:rPr>
                <w:sz w:val="24"/>
              </w:rPr>
              <w:t>V</w:t>
            </w:r>
          </w:p>
        </w:tc>
        <w:tc>
          <w:tcPr>
            <w:tcW w:w="1845" w:type="dxa"/>
            <w:tcBorders>
              <w:top w:val="single" w:sz="4" w:space="0" w:color="000000"/>
              <w:left w:val="single" w:sz="4" w:space="0" w:color="000000"/>
              <w:right w:val="single" w:sz="4" w:space="0" w:color="000000"/>
            </w:tcBorders>
          </w:tcPr>
          <w:p>
            <w:pPr>
              <w:pStyle w:val="TableParagraph"/>
              <w:spacing w:before="135"/>
              <w:ind w:right="427"/>
              <w:jc w:val="right"/>
              <w:rPr>
                <w:sz w:val="24"/>
              </w:rPr>
            </w:pPr>
            <w:r>
              <w:rPr>
                <w:sz w:val="24"/>
              </w:rPr>
              <w:t>不需執行</w:t>
            </w:r>
          </w:p>
        </w:tc>
        <w:tc>
          <w:tcPr>
            <w:tcW w:w="3546" w:type="dxa"/>
            <w:tcBorders>
              <w:top w:val="single" w:sz="4" w:space="0" w:color="000000"/>
              <w:left w:val="single" w:sz="4" w:space="0" w:color="000000"/>
            </w:tcBorders>
          </w:tcPr>
          <w:p>
            <w:pPr>
              <w:pStyle w:val="TableParagraph"/>
              <w:spacing w:line="356" w:lineRule="exact"/>
              <w:ind w:left="7" w:right="-15"/>
              <w:rPr>
                <w:sz w:val="24"/>
              </w:rPr>
            </w:pPr>
            <w:r>
              <w:rPr>
                <w:color w:val="FF0000"/>
                <w:sz w:val="24"/>
              </w:rPr>
              <w:t>應每月回診，最多每次開立1個月</w:t>
            </w:r>
          </w:p>
          <w:p>
            <w:pPr>
              <w:pStyle w:val="TableParagraph"/>
              <w:spacing w:line="340" w:lineRule="exact"/>
              <w:ind w:left="7"/>
              <w:rPr>
                <w:sz w:val="24"/>
              </w:rPr>
            </w:pPr>
            <w:r>
              <w:rPr>
                <w:color w:val="FF0000"/>
                <w:sz w:val="24"/>
              </w:rPr>
              <w:t>藥量，以維護用藥安全。</w:t>
            </w:r>
          </w:p>
        </w:tc>
      </w:tr>
      <w:tr>
        <w:trPr>
          <w:trHeight w:val="470" w:hRule="atLeast"/>
        </w:trPr>
        <w:tc>
          <w:tcPr>
            <w:tcW w:w="15179" w:type="dxa"/>
            <w:gridSpan w:val="9"/>
            <w:tcBorders>
              <w:bottom w:val="single" w:sz="4" w:space="0" w:color="000000"/>
            </w:tcBorders>
          </w:tcPr>
          <w:p>
            <w:pPr>
              <w:pStyle w:val="TableParagraph"/>
              <w:spacing w:line="437" w:lineRule="exact" w:before="13"/>
              <w:ind w:left="5"/>
              <w:rPr>
                <w:sz w:val="24"/>
              </w:rPr>
            </w:pPr>
            <w:r>
              <w:rPr>
                <w:sz w:val="24"/>
              </w:rPr>
              <w:t>(二) RHZ 75/50/150mg/tab*、RH 75/50mg/tab*</w:t>
            </w:r>
          </w:p>
        </w:tc>
      </w:tr>
      <w:tr>
        <w:trPr>
          <w:trHeight w:val="671" w:hRule="atLeast"/>
        </w:trPr>
        <w:tc>
          <w:tcPr>
            <w:tcW w:w="2553" w:type="dxa"/>
            <w:tcBorders>
              <w:top w:val="single" w:sz="4" w:space="0" w:color="000000"/>
              <w:right w:val="single" w:sz="8" w:space="0" w:color="000000"/>
            </w:tcBorders>
          </w:tcPr>
          <w:p>
            <w:pPr>
              <w:pStyle w:val="TableParagraph"/>
              <w:spacing w:before="113"/>
              <w:ind w:left="799"/>
              <w:rPr>
                <w:sz w:val="24"/>
              </w:rPr>
            </w:pPr>
            <w:r>
              <w:rPr>
                <w:sz w:val="24"/>
              </w:rPr>
              <w:t>申請原因</w:t>
            </w:r>
          </w:p>
        </w:tc>
        <w:tc>
          <w:tcPr>
            <w:tcW w:w="1985" w:type="dxa"/>
            <w:tcBorders>
              <w:top w:val="single" w:sz="4" w:space="0" w:color="000000"/>
              <w:left w:val="single" w:sz="8" w:space="0" w:color="000000"/>
              <w:right w:val="single" w:sz="8" w:space="0" w:color="000000"/>
            </w:tcBorders>
          </w:tcPr>
          <w:p>
            <w:pPr>
              <w:pStyle w:val="TableParagraph"/>
              <w:spacing w:before="113"/>
              <w:ind w:left="578"/>
              <w:rPr>
                <w:sz w:val="24"/>
              </w:rPr>
            </w:pPr>
            <w:r>
              <w:rPr>
                <w:sz w:val="24"/>
              </w:rPr>
              <w:t>診治醫院</w:t>
            </w:r>
          </w:p>
        </w:tc>
        <w:tc>
          <w:tcPr>
            <w:tcW w:w="2697" w:type="dxa"/>
            <w:gridSpan w:val="3"/>
            <w:tcBorders>
              <w:top w:val="single" w:sz="4" w:space="0" w:color="000000"/>
              <w:left w:val="single" w:sz="8" w:space="0" w:color="000000"/>
              <w:right w:val="single" w:sz="8" w:space="0" w:color="000000"/>
            </w:tcBorders>
          </w:tcPr>
          <w:p>
            <w:pPr>
              <w:pStyle w:val="TableParagraph"/>
              <w:spacing w:before="113"/>
              <w:ind w:left="60"/>
              <w:rPr>
                <w:sz w:val="24"/>
              </w:rPr>
            </w:pPr>
            <w:r>
              <w:rPr>
                <w:sz w:val="24"/>
              </w:rPr>
              <w:t>個案是否納入TMTC計畫</w:t>
            </w:r>
          </w:p>
        </w:tc>
        <w:tc>
          <w:tcPr>
            <w:tcW w:w="2553" w:type="dxa"/>
            <w:gridSpan w:val="2"/>
            <w:tcBorders>
              <w:top w:val="single" w:sz="4" w:space="0" w:color="000000"/>
              <w:left w:val="single" w:sz="8" w:space="0" w:color="000000"/>
              <w:right w:val="single" w:sz="8" w:space="0" w:color="000000"/>
            </w:tcBorders>
          </w:tcPr>
          <w:p>
            <w:pPr>
              <w:pStyle w:val="TableParagraph"/>
              <w:spacing w:before="113"/>
              <w:ind w:left="569"/>
              <w:rPr>
                <w:sz w:val="24"/>
              </w:rPr>
            </w:pPr>
            <w:r>
              <w:rPr>
                <w:sz w:val="24"/>
              </w:rPr>
              <w:t>受理申請單位</w:t>
            </w:r>
          </w:p>
        </w:tc>
        <w:tc>
          <w:tcPr>
            <w:tcW w:w="1845" w:type="dxa"/>
            <w:tcBorders>
              <w:top w:val="single" w:sz="4" w:space="0" w:color="000000"/>
              <w:left w:val="single" w:sz="8" w:space="0" w:color="000000"/>
              <w:right w:val="single" w:sz="8" w:space="0" w:color="000000"/>
            </w:tcBorders>
          </w:tcPr>
          <w:p>
            <w:pPr>
              <w:pStyle w:val="TableParagraph"/>
              <w:spacing w:before="113"/>
              <w:ind w:right="351"/>
              <w:jc w:val="right"/>
              <w:rPr>
                <w:sz w:val="24"/>
              </w:rPr>
            </w:pPr>
            <w:r>
              <w:rPr>
                <w:sz w:val="24"/>
              </w:rPr>
              <w:t>都治種類</w:t>
            </w:r>
          </w:p>
        </w:tc>
        <w:tc>
          <w:tcPr>
            <w:tcW w:w="3546" w:type="dxa"/>
            <w:tcBorders>
              <w:top w:val="single" w:sz="4" w:space="0" w:color="000000"/>
              <w:left w:val="single" w:sz="8" w:space="0" w:color="000000"/>
            </w:tcBorders>
          </w:tcPr>
          <w:p>
            <w:pPr>
              <w:pStyle w:val="TableParagraph"/>
              <w:spacing w:before="113"/>
              <w:ind w:left="1507" w:right="1494"/>
              <w:jc w:val="center"/>
              <w:rPr>
                <w:sz w:val="24"/>
              </w:rPr>
            </w:pPr>
            <w:r>
              <w:rPr>
                <w:sz w:val="24"/>
              </w:rPr>
              <w:t>備註</w:t>
            </w:r>
          </w:p>
        </w:tc>
      </w:tr>
      <w:tr>
        <w:trPr>
          <w:trHeight w:val="1667" w:hRule="atLeast"/>
        </w:trPr>
        <w:tc>
          <w:tcPr>
            <w:tcW w:w="2553" w:type="dxa"/>
            <w:tcBorders>
              <w:bottom w:val="single" w:sz="8" w:space="0" w:color="000000"/>
              <w:right w:val="single" w:sz="8" w:space="0" w:color="000000"/>
            </w:tcBorders>
          </w:tcPr>
          <w:p>
            <w:pPr>
              <w:pStyle w:val="TableParagraph"/>
              <w:numPr>
                <w:ilvl w:val="0"/>
                <w:numId w:val="91"/>
              </w:numPr>
              <w:tabs>
                <w:tab w:pos="419" w:val="left" w:leader="none"/>
              </w:tabs>
              <w:spacing w:line="352" w:lineRule="exact" w:before="0" w:after="0"/>
              <w:ind w:left="418" w:right="0" w:hanging="376"/>
              <w:jc w:val="left"/>
              <w:rPr>
                <w:sz w:val="24"/>
              </w:rPr>
            </w:pPr>
            <w:r>
              <w:rPr>
                <w:spacing w:val="11"/>
                <w:sz w:val="24"/>
              </w:rPr>
              <w:t>體重未滿 </w:t>
            </w:r>
            <w:r>
              <w:rPr>
                <w:sz w:val="24"/>
              </w:rPr>
              <w:t>25kg  之</w:t>
            </w:r>
          </w:p>
          <w:p>
            <w:pPr>
              <w:pStyle w:val="TableParagraph"/>
              <w:numPr>
                <w:ilvl w:val="1"/>
                <w:numId w:val="91"/>
              </w:numPr>
              <w:tabs>
                <w:tab w:pos="527" w:val="left" w:leader="none"/>
              </w:tabs>
              <w:spacing w:line="320" w:lineRule="exact" w:before="0" w:after="0"/>
              <w:ind w:left="526" w:right="0" w:hanging="242"/>
              <w:jc w:val="left"/>
              <w:rPr>
                <w:sz w:val="24"/>
              </w:rPr>
            </w:pPr>
            <w:r>
              <w:rPr>
                <w:sz w:val="24"/>
              </w:rPr>
              <w:t>兒童結核病個案</w:t>
            </w:r>
          </w:p>
          <w:p>
            <w:pPr>
              <w:pStyle w:val="TableParagraph"/>
              <w:numPr>
                <w:ilvl w:val="1"/>
                <w:numId w:val="91"/>
              </w:numPr>
              <w:tabs>
                <w:tab w:pos="527" w:val="left" w:leader="none"/>
              </w:tabs>
              <w:spacing w:line="320" w:lineRule="exact" w:before="0" w:after="0"/>
              <w:ind w:left="526" w:right="0" w:hanging="242"/>
              <w:jc w:val="left"/>
              <w:rPr>
                <w:sz w:val="24"/>
              </w:rPr>
            </w:pPr>
            <w:r>
              <w:rPr>
                <w:spacing w:val="-4"/>
                <w:sz w:val="24"/>
              </w:rPr>
              <w:t>BCG</w:t>
            </w:r>
            <w:r>
              <w:rPr>
                <w:sz w:val="24"/>
              </w:rPr>
              <w:t>不良反應者</w:t>
            </w:r>
          </w:p>
          <w:p>
            <w:pPr>
              <w:pStyle w:val="TableParagraph"/>
              <w:numPr>
                <w:ilvl w:val="0"/>
                <w:numId w:val="91"/>
              </w:numPr>
              <w:tabs>
                <w:tab w:pos="419" w:val="left" w:leader="none"/>
              </w:tabs>
              <w:spacing w:line="320" w:lineRule="exact" w:before="0" w:after="0"/>
              <w:ind w:left="418" w:right="-44" w:hanging="376"/>
              <w:jc w:val="left"/>
              <w:rPr>
                <w:color w:val="FF0000"/>
                <w:sz w:val="24"/>
              </w:rPr>
            </w:pPr>
            <w:r>
              <w:rPr>
                <w:color w:val="FF0000"/>
                <w:spacing w:val="26"/>
                <w:sz w:val="24"/>
              </w:rPr>
              <w:t>無法整粒吞服藥物</w:t>
            </w:r>
          </w:p>
          <w:p>
            <w:pPr>
              <w:pStyle w:val="TableParagraph"/>
              <w:spacing w:line="336" w:lineRule="exact"/>
              <w:ind w:left="418"/>
              <w:rPr>
                <w:sz w:val="24"/>
              </w:rPr>
            </w:pPr>
            <w:r>
              <w:rPr>
                <w:color w:val="FF0000"/>
                <w:sz w:val="24"/>
              </w:rPr>
              <w:t>之結核病個案</w:t>
            </w:r>
          </w:p>
        </w:tc>
        <w:tc>
          <w:tcPr>
            <w:tcW w:w="1985" w:type="dxa"/>
            <w:tcBorders>
              <w:left w:val="single" w:sz="8" w:space="0" w:color="000000"/>
              <w:bottom w:val="single" w:sz="8" w:space="0" w:color="000000"/>
              <w:right w:val="single" w:sz="8" w:space="0" w:color="000000"/>
            </w:tcBorders>
          </w:tcPr>
          <w:p>
            <w:pPr>
              <w:pStyle w:val="TableParagraph"/>
              <w:spacing w:before="7"/>
              <w:rPr>
                <w:b/>
                <w:sz w:val="35"/>
              </w:rPr>
            </w:pPr>
          </w:p>
          <w:p>
            <w:pPr>
              <w:pStyle w:val="TableParagraph"/>
              <w:spacing w:line="172" w:lineRule="auto"/>
              <w:ind w:left="747" w:right="114" w:hanging="622"/>
              <w:rPr>
                <w:sz w:val="24"/>
              </w:rPr>
            </w:pPr>
            <w:r>
              <w:rPr>
                <w:color w:val="FF0000"/>
                <w:sz w:val="24"/>
              </w:rPr>
              <w:t>一般/TMTC團隊醫院</w:t>
            </w:r>
          </w:p>
        </w:tc>
        <w:tc>
          <w:tcPr>
            <w:tcW w:w="2697" w:type="dxa"/>
            <w:gridSpan w:val="3"/>
            <w:tcBorders>
              <w:left w:val="single" w:sz="8" w:space="0" w:color="000000"/>
              <w:bottom w:val="single" w:sz="8" w:space="0" w:color="000000"/>
              <w:right w:val="single" w:sz="8" w:space="0" w:color="000000"/>
            </w:tcBorders>
          </w:tcPr>
          <w:p>
            <w:pPr>
              <w:pStyle w:val="TableParagraph"/>
              <w:spacing w:before="4"/>
              <w:rPr>
                <w:b/>
                <w:sz w:val="39"/>
              </w:rPr>
            </w:pPr>
          </w:p>
          <w:p>
            <w:pPr>
              <w:pStyle w:val="TableParagraph"/>
              <w:ind w:left="871"/>
              <w:rPr>
                <w:sz w:val="24"/>
              </w:rPr>
            </w:pPr>
            <w:r>
              <w:rPr>
                <w:sz w:val="24"/>
              </w:rPr>
              <w:t>不需納入</w:t>
            </w:r>
          </w:p>
        </w:tc>
        <w:tc>
          <w:tcPr>
            <w:tcW w:w="2553" w:type="dxa"/>
            <w:gridSpan w:val="2"/>
            <w:tcBorders>
              <w:left w:val="single" w:sz="8" w:space="0" w:color="000000"/>
              <w:bottom w:val="single" w:sz="8" w:space="0" w:color="000000"/>
              <w:right w:val="single" w:sz="8" w:space="0" w:color="000000"/>
            </w:tcBorders>
          </w:tcPr>
          <w:p>
            <w:pPr>
              <w:pStyle w:val="TableParagraph"/>
              <w:spacing w:before="4"/>
              <w:rPr>
                <w:b/>
                <w:sz w:val="29"/>
              </w:rPr>
            </w:pPr>
          </w:p>
          <w:p>
            <w:pPr>
              <w:pStyle w:val="TableParagraph"/>
              <w:spacing w:line="175" w:lineRule="auto"/>
              <w:ind w:left="724" w:right="606"/>
              <w:rPr>
                <w:sz w:val="24"/>
              </w:rPr>
            </w:pPr>
            <w:r>
              <w:rPr>
                <w:sz w:val="24"/>
              </w:rPr>
              <w:t>疾病管制署各區管中心</w:t>
            </w:r>
          </w:p>
        </w:tc>
        <w:tc>
          <w:tcPr>
            <w:tcW w:w="1845" w:type="dxa"/>
            <w:tcBorders>
              <w:left w:val="single" w:sz="8" w:space="0" w:color="000000"/>
              <w:bottom w:val="single" w:sz="8" w:space="0" w:color="000000"/>
              <w:right w:val="single" w:sz="8" w:space="0" w:color="000000"/>
            </w:tcBorders>
          </w:tcPr>
          <w:p>
            <w:pPr>
              <w:pStyle w:val="TableParagraph"/>
              <w:spacing w:before="9"/>
              <w:rPr>
                <w:b/>
                <w:sz w:val="24"/>
              </w:rPr>
            </w:pPr>
          </w:p>
          <w:p>
            <w:pPr>
              <w:pStyle w:val="TableParagraph"/>
              <w:spacing w:line="381" w:lineRule="exact" w:before="1"/>
              <w:ind w:left="159"/>
              <w:jc w:val="center"/>
              <w:rPr>
                <w:sz w:val="24"/>
              </w:rPr>
            </w:pPr>
            <w:r>
              <w:rPr>
                <w:sz w:val="24"/>
              </w:rPr>
              <w:t>V</w:t>
            </w:r>
          </w:p>
          <w:p>
            <w:pPr>
              <w:pStyle w:val="TableParagraph"/>
              <w:spacing w:line="381" w:lineRule="exact"/>
              <w:ind w:left="394" w:right="237"/>
              <w:jc w:val="center"/>
              <w:rPr>
                <w:sz w:val="24"/>
              </w:rPr>
            </w:pPr>
            <w:r>
              <w:rPr>
                <w:sz w:val="24"/>
              </w:rPr>
              <w:t>(備註1、2)</w:t>
            </w:r>
          </w:p>
        </w:tc>
        <w:tc>
          <w:tcPr>
            <w:tcW w:w="3546" w:type="dxa"/>
            <w:tcBorders>
              <w:left w:val="single" w:sz="8" w:space="0" w:color="000000"/>
              <w:bottom w:val="single" w:sz="8" w:space="0" w:color="000000"/>
            </w:tcBorders>
          </w:tcPr>
          <w:p>
            <w:pPr>
              <w:pStyle w:val="TableParagraph"/>
              <w:numPr>
                <w:ilvl w:val="0"/>
                <w:numId w:val="92"/>
              </w:numPr>
              <w:tabs>
                <w:tab w:pos="402" w:val="left" w:leader="none"/>
              </w:tabs>
              <w:spacing w:line="175" w:lineRule="auto" w:before="57" w:after="0"/>
              <w:ind w:left="401" w:right="79" w:hanging="360"/>
              <w:jc w:val="left"/>
              <w:rPr>
                <w:sz w:val="24"/>
              </w:rPr>
            </w:pPr>
            <w:r>
              <w:rPr>
                <w:spacing w:val="11"/>
                <w:sz w:val="24"/>
              </w:rPr>
              <w:t>結核病個案使用本公費藥者皆需加入都治計畫。</w:t>
            </w:r>
          </w:p>
          <w:p>
            <w:pPr>
              <w:pStyle w:val="TableParagraph"/>
              <w:numPr>
                <w:ilvl w:val="0"/>
                <w:numId w:val="92"/>
              </w:numPr>
              <w:tabs>
                <w:tab w:pos="402" w:val="left" w:leader="none"/>
              </w:tabs>
              <w:spacing w:line="172" w:lineRule="auto" w:before="21" w:after="0"/>
              <w:ind w:left="401" w:right="32" w:hanging="360"/>
              <w:jc w:val="left"/>
              <w:rPr>
                <w:sz w:val="24"/>
              </w:rPr>
            </w:pPr>
            <w:r>
              <w:rPr>
                <w:sz w:val="24"/>
              </w:rPr>
              <w:t>BCG</w:t>
            </w:r>
            <w:r>
              <w:rPr>
                <w:spacing w:val="-5"/>
                <w:sz w:val="24"/>
              </w:rPr>
              <w:t>不良反應使用本藥物者， </w:t>
            </w:r>
            <w:r>
              <w:rPr>
                <w:sz w:val="24"/>
              </w:rPr>
              <w:t>應每月回診，最多每次開立1</w:t>
            </w:r>
          </w:p>
          <w:p>
            <w:pPr>
              <w:pStyle w:val="TableParagraph"/>
              <w:spacing w:line="289" w:lineRule="exact"/>
              <w:ind w:left="401"/>
              <w:rPr>
                <w:sz w:val="24"/>
              </w:rPr>
            </w:pPr>
            <w:r>
              <w:rPr>
                <w:sz w:val="24"/>
              </w:rPr>
              <w:t>個月藥量，以維護用藥安全。</w:t>
            </w:r>
          </w:p>
        </w:tc>
      </w:tr>
    </w:tbl>
    <w:p>
      <w:pPr>
        <w:spacing w:after="0" w:line="289" w:lineRule="exact"/>
        <w:rPr>
          <w:sz w:val="24"/>
        </w:rPr>
        <w:sectPr>
          <w:footerReference w:type="default" r:id="rId39"/>
          <w:pgSz w:w="17190" w:h="12250" w:orient="landscape"/>
          <w:pgMar w:footer="748" w:header="0" w:top="1140" w:bottom="940" w:left="900" w:right="860"/>
          <w:pgNumType w:start="73"/>
        </w:sectPr>
      </w:pPr>
    </w:p>
    <w:p>
      <w:pPr>
        <w:pStyle w:val="BodyText"/>
        <w:rPr>
          <w:b/>
          <w:sz w:val="20"/>
        </w:rPr>
      </w:pPr>
    </w:p>
    <w:p>
      <w:pPr>
        <w:pStyle w:val="BodyText"/>
        <w:spacing w:before="8"/>
        <w:rPr>
          <w:b/>
          <w:sz w:val="16"/>
        </w:rPr>
      </w:pPr>
    </w:p>
    <w:tbl>
      <w:tblPr>
        <w:tblW w:w="0" w:type="auto"/>
        <w:jc w:val="left"/>
        <w:tblInd w:w="1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6"/>
        <w:gridCol w:w="2125"/>
        <w:gridCol w:w="1134"/>
        <w:gridCol w:w="1134"/>
        <w:gridCol w:w="1985"/>
        <w:gridCol w:w="1985"/>
        <w:gridCol w:w="4111"/>
      </w:tblGrid>
      <w:tr>
        <w:trPr>
          <w:trHeight w:val="363" w:hRule="atLeast"/>
        </w:trPr>
        <w:tc>
          <w:tcPr>
            <w:tcW w:w="15170" w:type="dxa"/>
            <w:gridSpan w:val="7"/>
            <w:shd w:val="clear" w:color="auto" w:fill="E1EED9"/>
          </w:tcPr>
          <w:p>
            <w:pPr>
              <w:pStyle w:val="TableParagraph"/>
              <w:spacing w:line="344" w:lineRule="exact"/>
              <w:ind w:left="43"/>
              <w:rPr>
                <w:b/>
                <w:sz w:val="24"/>
              </w:rPr>
            </w:pPr>
            <w:r>
              <w:rPr>
                <w:b/>
                <w:sz w:val="24"/>
              </w:rPr>
              <w:t>二、限TMTC團隊醫院申請的藥物（*為專案進口藥品，不適用藥害救濟法，應先請個案簽署使用同意書。）</w:t>
            </w:r>
          </w:p>
        </w:tc>
      </w:tr>
      <w:tr>
        <w:trPr>
          <w:trHeight w:val="545" w:hRule="atLeast"/>
        </w:trPr>
        <w:tc>
          <w:tcPr>
            <w:tcW w:w="15170" w:type="dxa"/>
            <w:gridSpan w:val="7"/>
            <w:tcBorders>
              <w:top w:val="single" w:sz="48" w:space="0" w:color="E1EED9"/>
              <w:bottom w:val="single" w:sz="4" w:space="0" w:color="000000"/>
            </w:tcBorders>
          </w:tcPr>
          <w:p>
            <w:pPr>
              <w:pStyle w:val="TableParagraph"/>
              <w:spacing w:before="49"/>
              <w:ind w:left="16"/>
              <w:rPr>
                <w:sz w:val="24"/>
              </w:rPr>
            </w:pPr>
            <w:r>
              <w:rPr>
                <w:sz w:val="24"/>
              </w:rPr>
              <w:t>(一) PAS 4g*、terizidone 250mg*、clofazimine 100mg*、</w:t>
            </w:r>
            <w:r>
              <w:rPr>
                <w:color w:val="FF0000"/>
                <w:sz w:val="24"/>
              </w:rPr>
              <w:t>bedaquiline 100mg(備註1)</w:t>
            </w:r>
          </w:p>
        </w:tc>
      </w:tr>
      <w:tr>
        <w:trPr>
          <w:trHeight w:val="639" w:hRule="atLeast"/>
        </w:trPr>
        <w:tc>
          <w:tcPr>
            <w:tcW w:w="2696" w:type="dxa"/>
            <w:vMerge w:val="restart"/>
            <w:tcBorders>
              <w:top w:val="single" w:sz="4" w:space="0" w:color="000000"/>
              <w:bottom w:val="single" w:sz="4" w:space="0" w:color="000000"/>
              <w:right w:val="single" w:sz="4" w:space="0" w:color="000000"/>
            </w:tcBorders>
          </w:tcPr>
          <w:p>
            <w:pPr>
              <w:pStyle w:val="TableParagraph"/>
              <w:rPr>
                <w:b/>
                <w:sz w:val="22"/>
              </w:rPr>
            </w:pPr>
          </w:p>
          <w:p>
            <w:pPr>
              <w:pStyle w:val="TableParagraph"/>
              <w:spacing w:before="1"/>
              <w:ind w:left="877"/>
              <w:rPr>
                <w:sz w:val="24"/>
              </w:rPr>
            </w:pPr>
            <w:r>
              <w:rPr>
                <w:sz w:val="24"/>
              </w:rPr>
              <w:t>申請原因</w:t>
            </w:r>
          </w:p>
        </w:tc>
        <w:tc>
          <w:tcPr>
            <w:tcW w:w="2125"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2"/>
              </w:rPr>
            </w:pPr>
          </w:p>
          <w:p>
            <w:pPr>
              <w:pStyle w:val="TableParagraph"/>
              <w:spacing w:before="1"/>
              <w:ind w:left="591"/>
              <w:rPr>
                <w:sz w:val="24"/>
              </w:rPr>
            </w:pPr>
            <w:r>
              <w:rPr>
                <w:sz w:val="24"/>
              </w:rPr>
              <w:t>診治醫院</w:t>
            </w:r>
          </w:p>
        </w:tc>
        <w:tc>
          <w:tcPr>
            <w:tcW w:w="2268" w:type="dxa"/>
            <w:gridSpan w:val="2"/>
            <w:tcBorders>
              <w:top w:val="single" w:sz="4" w:space="0" w:color="000000"/>
              <w:left w:val="single" w:sz="4" w:space="0" w:color="000000"/>
              <w:bottom w:val="single" w:sz="4" w:space="0" w:color="000000"/>
              <w:right w:val="single" w:sz="4" w:space="0" w:color="000000"/>
            </w:tcBorders>
          </w:tcPr>
          <w:p>
            <w:pPr>
              <w:pStyle w:val="TableParagraph"/>
              <w:spacing w:line="318" w:lineRule="exact"/>
              <w:ind w:left="425"/>
              <w:rPr>
                <w:sz w:val="24"/>
              </w:rPr>
            </w:pPr>
            <w:r>
              <w:rPr>
                <w:sz w:val="24"/>
              </w:rPr>
              <w:t>個案是否納入</w:t>
            </w:r>
          </w:p>
          <w:p>
            <w:pPr>
              <w:pStyle w:val="TableParagraph"/>
              <w:spacing w:line="302" w:lineRule="exact"/>
              <w:ind w:left="574"/>
              <w:rPr>
                <w:sz w:val="24"/>
              </w:rPr>
            </w:pPr>
            <w:r>
              <w:rPr>
                <w:sz w:val="24"/>
              </w:rPr>
              <w:t>TMTC計畫</w:t>
            </w:r>
          </w:p>
        </w:tc>
        <w:tc>
          <w:tcPr>
            <w:tcW w:w="1985"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2"/>
              </w:rPr>
            </w:pPr>
          </w:p>
          <w:p>
            <w:pPr>
              <w:pStyle w:val="TableParagraph"/>
              <w:spacing w:before="1"/>
              <w:ind w:left="282"/>
              <w:rPr>
                <w:sz w:val="24"/>
              </w:rPr>
            </w:pPr>
            <w:r>
              <w:rPr>
                <w:sz w:val="24"/>
              </w:rPr>
              <w:t>受理申請單位</w:t>
            </w:r>
          </w:p>
        </w:tc>
        <w:tc>
          <w:tcPr>
            <w:tcW w:w="1985"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2"/>
              </w:rPr>
            </w:pPr>
          </w:p>
          <w:p>
            <w:pPr>
              <w:pStyle w:val="TableParagraph"/>
              <w:spacing w:before="1"/>
              <w:ind w:left="522"/>
              <w:rPr>
                <w:sz w:val="24"/>
              </w:rPr>
            </w:pPr>
            <w:r>
              <w:rPr>
                <w:sz w:val="24"/>
              </w:rPr>
              <w:t>都治種類</w:t>
            </w:r>
          </w:p>
        </w:tc>
        <w:tc>
          <w:tcPr>
            <w:tcW w:w="4111" w:type="dxa"/>
            <w:vMerge w:val="restart"/>
            <w:tcBorders>
              <w:top w:val="single" w:sz="4" w:space="0" w:color="000000"/>
              <w:left w:val="single" w:sz="4" w:space="0" w:color="000000"/>
              <w:bottom w:val="single" w:sz="4" w:space="0" w:color="000000"/>
            </w:tcBorders>
          </w:tcPr>
          <w:p>
            <w:pPr>
              <w:pStyle w:val="TableParagraph"/>
              <w:rPr>
                <w:b/>
                <w:sz w:val="22"/>
              </w:rPr>
            </w:pPr>
          </w:p>
          <w:p>
            <w:pPr>
              <w:pStyle w:val="TableParagraph"/>
              <w:spacing w:before="1"/>
              <w:ind w:left="915"/>
              <w:rPr>
                <w:sz w:val="24"/>
              </w:rPr>
            </w:pPr>
            <w:r>
              <w:rPr>
                <w:sz w:val="24"/>
              </w:rPr>
              <w:t>備註</w:t>
            </w:r>
          </w:p>
        </w:tc>
      </w:tr>
      <w:tr>
        <w:trPr>
          <w:trHeight w:val="382" w:hRule="atLeast"/>
        </w:trPr>
        <w:tc>
          <w:tcPr>
            <w:tcW w:w="2696" w:type="dxa"/>
            <w:vMerge/>
            <w:tcBorders>
              <w:top w:val="nil"/>
              <w:bottom w:val="single" w:sz="4" w:space="0" w:color="000000"/>
              <w:right w:val="single" w:sz="4" w:space="0" w:color="000000"/>
            </w:tcBorders>
          </w:tcPr>
          <w:p>
            <w:pPr>
              <w:rPr>
                <w:sz w:val="2"/>
                <w:szCs w:val="2"/>
              </w:rPr>
            </w:pPr>
          </w:p>
        </w:tc>
        <w:tc>
          <w:tcPr>
            <w:tcW w:w="2125" w:type="dxa"/>
            <w:vMerge/>
            <w:tcBorders>
              <w:top w:val="nil"/>
              <w:left w:val="single" w:sz="4" w:space="0" w:color="000000"/>
              <w:bottom w:val="single" w:sz="4" w:space="0" w:color="000000"/>
              <w:right w:val="single" w:sz="4" w:space="0" w:color="000000"/>
            </w:tcBorders>
          </w:tcPr>
          <w:p>
            <w:pPr>
              <w:rPr>
                <w:sz w:val="2"/>
                <w:szCs w:val="2"/>
              </w:rPr>
            </w:pPr>
          </w:p>
        </w:tc>
        <w:tc>
          <w:tcPr>
            <w:tcW w:w="1134" w:type="dxa"/>
            <w:tcBorders>
              <w:top w:val="single" w:sz="4" w:space="0" w:color="000000"/>
              <w:left w:val="single" w:sz="4" w:space="0" w:color="000000"/>
              <w:bottom w:val="single" w:sz="4" w:space="0" w:color="000000"/>
              <w:right w:val="single" w:sz="4" w:space="0" w:color="000000"/>
            </w:tcBorders>
          </w:tcPr>
          <w:p>
            <w:pPr>
              <w:pStyle w:val="TableParagraph"/>
              <w:spacing w:line="362" w:lineRule="exact"/>
              <w:ind w:left="31"/>
              <w:jc w:val="center"/>
              <w:rPr>
                <w:sz w:val="24"/>
              </w:rPr>
            </w:pPr>
            <w:r>
              <w:rPr>
                <w:sz w:val="24"/>
              </w:rPr>
              <w:t>是</w:t>
            </w:r>
          </w:p>
        </w:tc>
        <w:tc>
          <w:tcPr>
            <w:tcW w:w="1134" w:type="dxa"/>
            <w:tcBorders>
              <w:top w:val="single" w:sz="4" w:space="0" w:color="000000"/>
              <w:left w:val="single" w:sz="4" w:space="0" w:color="000000"/>
              <w:bottom w:val="single" w:sz="4" w:space="0" w:color="000000"/>
              <w:right w:val="single" w:sz="4" w:space="0" w:color="000000"/>
            </w:tcBorders>
          </w:tcPr>
          <w:p>
            <w:pPr>
              <w:pStyle w:val="TableParagraph"/>
              <w:spacing w:line="362" w:lineRule="exact"/>
              <w:ind w:left="31"/>
              <w:jc w:val="center"/>
              <w:rPr>
                <w:sz w:val="24"/>
              </w:rPr>
            </w:pPr>
            <w:r>
              <w:rPr>
                <w:sz w:val="24"/>
              </w:rPr>
              <w:t>否</w:t>
            </w:r>
          </w:p>
        </w:tc>
        <w:tc>
          <w:tcPr>
            <w:tcW w:w="1985" w:type="dxa"/>
            <w:vMerge/>
            <w:tcBorders>
              <w:top w:val="nil"/>
              <w:left w:val="single" w:sz="4" w:space="0" w:color="000000"/>
              <w:bottom w:val="single" w:sz="4" w:space="0" w:color="000000"/>
              <w:right w:val="single" w:sz="4" w:space="0" w:color="000000"/>
            </w:tcBorders>
          </w:tcPr>
          <w:p>
            <w:pPr>
              <w:rPr>
                <w:sz w:val="2"/>
                <w:szCs w:val="2"/>
              </w:rPr>
            </w:pPr>
          </w:p>
        </w:tc>
        <w:tc>
          <w:tcPr>
            <w:tcW w:w="1985" w:type="dxa"/>
            <w:vMerge/>
            <w:tcBorders>
              <w:top w:val="nil"/>
              <w:left w:val="single" w:sz="4" w:space="0" w:color="000000"/>
              <w:bottom w:val="single" w:sz="4" w:space="0" w:color="000000"/>
              <w:right w:val="single" w:sz="4" w:space="0" w:color="000000"/>
            </w:tcBorders>
          </w:tcPr>
          <w:p>
            <w:pPr>
              <w:rPr>
                <w:sz w:val="2"/>
                <w:szCs w:val="2"/>
              </w:rPr>
            </w:pPr>
          </w:p>
        </w:tc>
        <w:tc>
          <w:tcPr>
            <w:tcW w:w="4111" w:type="dxa"/>
            <w:vMerge/>
            <w:tcBorders>
              <w:top w:val="nil"/>
              <w:left w:val="single" w:sz="4" w:space="0" w:color="000000"/>
              <w:bottom w:val="single" w:sz="4" w:space="0" w:color="000000"/>
            </w:tcBorders>
          </w:tcPr>
          <w:p>
            <w:pPr>
              <w:rPr>
                <w:sz w:val="2"/>
                <w:szCs w:val="2"/>
              </w:rPr>
            </w:pPr>
          </w:p>
        </w:tc>
      </w:tr>
      <w:tr>
        <w:trPr>
          <w:trHeight w:val="815" w:hRule="atLeast"/>
        </w:trPr>
        <w:tc>
          <w:tcPr>
            <w:tcW w:w="2696" w:type="dxa"/>
            <w:vMerge w:val="restart"/>
            <w:tcBorders>
              <w:top w:val="single" w:sz="4" w:space="0" w:color="000000"/>
              <w:right w:val="single" w:sz="4" w:space="0" w:color="000000"/>
            </w:tcBorders>
          </w:tcPr>
          <w:p>
            <w:pPr>
              <w:pStyle w:val="TableParagraph"/>
              <w:spacing w:before="17"/>
              <w:rPr>
                <w:b/>
                <w:sz w:val="17"/>
              </w:rPr>
            </w:pPr>
          </w:p>
          <w:p>
            <w:pPr>
              <w:pStyle w:val="TableParagraph"/>
              <w:numPr>
                <w:ilvl w:val="0"/>
                <w:numId w:val="93"/>
              </w:numPr>
              <w:tabs>
                <w:tab w:pos="402" w:val="left" w:leader="none"/>
              </w:tabs>
              <w:spacing w:line="381" w:lineRule="exact" w:before="0" w:after="0"/>
              <w:ind w:left="401" w:right="0" w:hanging="359"/>
              <w:jc w:val="both"/>
              <w:rPr>
                <w:sz w:val="24"/>
              </w:rPr>
            </w:pPr>
            <w:r>
              <w:rPr>
                <w:spacing w:val="-9"/>
                <w:sz w:val="24"/>
              </w:rPr>
              <w:t>抗藥性結核病個案</w:t>
            </w:r>
          </w:p>
          <w:p>
            <w:pPr>
              <w:pStyle w:val="TableParagraph"/>
              <w:numPr>
                <w:ilvl w:val="0"/>
                <w:numId w:val="93"/>
              </w:numPr>
              <w:tabs>
                <w:tab w:pos="402" w:val="left" w:leader="none"/>
              </w:tabs>
              <w:spacing w:line="172" w:lineRule="auto" w:before="29" w:after="0"/>
              <w:ind w:left="401" w:right="188" w:hanging="358"/>
              <w:jc w:val="both"/>
              <w:rPr>
                <w:sz w:val="24"/>
              </w:rPr>
            </w:pPr>
            <w:r>
              <w:rPr>
                <w:spacing w:val="16"/>
                <w:sz w:val="24"/>
              </w:rPr>
              <w:t>一線藥治療效果不良或副作用等非抗</w:t>
            </w:r>
            <w:r>
              <w:rPr>
                <w:sz w:val="24"/>
              </w:rPr>
              <w:t>藥性結核病個案</w:t>
            </w:r>
          </w:p>
          <w:p>
            <w:pPr>
              <w:pStyle w:val="TableParagraph"/>
              <w:numPr>
                <w:ilvl w:val="0"/>
                <w:numId w:val="93"/>
              </w:numPr>
              <w:tabs>
                <w:tab w:pos="402" w:val="left" w:leader="none"/>
              </w:tabs>
              <w:spacing w:line="359" w:lineRule="exact" w:before="0" w:after="0"/>
              <w:ind w:left="401" w:right="0" w:hanging="359"/>
              <w:jc w:val="both"/>
              <w:rPr>
                <w:sz w:val="24"/>
              </w:rPr>
            </w:pPr>
            <w:r>
              <w:rPr>
                <w:spacing w:val="-8"/>
                <w:sz w:val="24"/>
              </w:rPr>
              <w:t>其他</w:t>
            </w:r>
          </w:p>
        </w:tc>
        <w:tc>
          <w:tcPr>
            <w:tcW w:w="2125" w:type="dxa"/>
            <w:vMerge w:val="restart"/>
            <w:tcBorders>
              <w:top w:val="single" w:sz="4" w:space="0" w:color="000000"/>
              <w:left w:val="single" w:sz="4" w:space="0" w:color="000000"/>
              <w:right w:val="single" w:sz="4" w:space="0" w:color="000000"/>
            </w:tcBorders>
          </w:tcPr>
          <w:p>
            <w:pPr>
              <w:pStyle w:val="TableParagraph"/>
              <w:rPr>
                <w:b/>
                <w:sz w:val="44"/>
              </w:rPr>
            </w:pPr>
          </w:p>
          <w:p>
            <w:pPr>
              <w:pStyle w:val="TableParagraph"/>
              <w:spacing w:line="381" w:lineRule="exact"/>
              <w:ind w:left="571" w:right="539"/>
              <w:jc w:val="center"/>
              <w:rPr>
                <w:sz w:val="24"/>
              </w:rPr>
            </w:pPr>
            <w:r>
              <w:rPr>
                <w:sz w:val="24"/>
              </w:rPr>
              <w:t>TMTC</w:t>
            </w:r>
          </w:p>
          <w:p>
            <w:pPr>
              <w:pStyle w:val="TableParagraph"/>
              <w:spacing w:line="381" w:lineRule="exact"/>
              <w:ind w:left="571" w:right="543"/>
              <w:jc w:val="center"/>
              <w:rPr>
                <w:sz w:val="24"/>
              </w:rPr>
            </w:pPr>
            <w:r>
              <w:rPr>
                <w:sz w:val="24"/>
              </w:rPr>
              <w:t>團隊醫院</w:t>
            </w:r>
          </w:p>
        </w:tc>
        <w:tc>
          <w:tcPr>
            <w:tcW w:w="1134" w:type="dxa"/>
            <w:tcBorders>
              <w:top w:val="single" w:sz="4" w:space="0" w:color="000000"/>
              <w:left w:val="single" w:sz="4" w:space="0" w:color="000000"/>
              <w:bottom w:val="single" w:sz="4" w:space="0" w:color="000000"/>
              <w:right w:val="single" w:sz="4" w:space="0" w:color="000000"/>
            </w:tcBorders>
          </w:tcPr>
          <w:p>
            <w:pPr>
              <w:pStyle w:val="TableParagraph"/>
              <w:spacing w:before="5"/>
              <w:rPr>
                <w:b/>
                <w:sz w:val="16"/>
              </w:rPr>
            </w:pPr>
          </w:p>
          <w:p>
            <w:pPr>
              <w:pStyle w:val="TableParagraph"/>
              <w:ind w:left="32"/>
              <w:jc w:val="center"/>
              <w:rPr>
                <w:sz w:val="24"/>
              </w:rPr>
            </w:pPr>
            <w:r>
              <w:rPr>
                <w:sz w:val="24"/>
              </w:rPr>
              <w:t>V</w:t>
            </w:r>
          </w:p>
        </w:tc>
        <w:tc>
          <w:tcPr>
            <w:tcW w:w="11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985" w:type="dxa"/>
            <w:vMerge w:val="restart"/>
            <w:tcBorders>
              <w:top w:val="single" w:sz="4" w:space="0" w:color="000000"/>
              <w:left w:val="single" w:sz="4" w:space="0" w:color="000000"/>
              <w:right w:val="single" w:sz="4" w:space="0" w:color="000000"/>
            </w:tcBorders>
          </w:tcPr>
          <w:p>
            <w:pPr>
              <w:pStyle w:val="TableParagraph"/>
              <w:rPr>
                <w:b/>
                <w:sz w:val="32"/>
              </w:rPr>
            </w:pPr>
          </w:p>
          <w:p>
            <w:pPr>
              <w:pStyle w:val="TableParagraph"/>
              <w:spacing w:before="13"/>
              <w:rPr>
                <w:b/>
                <w:sz w:val="26"/>
              </w:rPr>
            </w:pPr>
          </w:p>
          <w:p>
            <w:pPr>
              <w:pStyle w:val="TableParagraph"/>
              <w:ind w:left="336"/>
              <w:rPr>
                <w:sz w:val="24"/>
              </w:rPr>
            </w:pPr>
            <w:r>
              <w:rPr>
                <w:sz w:val="24"/>
              </w:rPr>
              <w:t>TMTC團隊</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line="381" w:lineRule="exact" w:before="29"/>
              <w:ind w:left="79"/>
              <w:jc w:val="center"/>
              <w:rPr>
                <w:sz w:val="24"/>
              </w:rPr>
            </w:pPr>
            <w:r>
              <w:rPr>
                <w:sz w:val="24"/>
              </w:rPr>
              <w:t>V</w:t>
            </w:r>
          </w:p>
          <w:p>
            <w:pPr>
              <w:pStyle w:val="TableParagraph"/>
              <w:spacing w:line="381" w:lineRule="exact"/>
              <w:ind w:left="315" w:right="240"/>
              <w:jc w:val="center"/>
              <w:rPr>
                <w:sz w:val="24"/>
              </w:rPr>
            </w:pPr>
            <w:r>
              <w:rPr>
                <w:sz w:val="24"/>
              </w:rPr>
              <w:t>(DOTS-plus)</w:t>
            </w:r>
          </w:p>
        </w:tc>
        <w:tc>
          <w:tcPr>
            <w:tcW w:w="4111" w:type="dxa"/>
            <w:vMerge w:val="restart"/>
            <w:tcBorders>
              <w:top w:val="single" w:sz="4" w:space="0" w:color="000000"/>
              <w:left w:val="single" w:sz="4" w:space="0" w:color="000000"/>
            </w:tcBorders>
          </w:tcPr>
          <w:p>
            <w:pPr>
              <w:pStyle w:val="TableParagraph"/>
              <w:numPr>
                <w:ilvl w:val="0"/>
                <w:numId w:val="94"/>
              </w:numPr>
              <w:tabs>
                <w:tab w:pos="408" w:val="left" w:leader="none"/>
              </w:tabs>
              <w:spacing w:line="175" w:lineRule="auto" w:before="95" w:after="0"/>
              <w:ind w:left="407" w:right="67" w:hanging="360"/>
              <w:jc w:val="both"/>
              <w:rPr>
                <w:sz w:val="24"/>
              </w:rPr>
            </w:pPr>
            <w:r>
              <w:rPr>
                <w:color w:val="FF0000"/>
                <w:sz w:val="24"/>
              </w:rPr>
              <w:t>bedaquiline</w:t>
            </w:r>
            <w:r>
              <w:rPr>
                <w:color w:val="FF0000"/>
                <w:spacing w:val="-14"/>
                <w:sz w:val="24"/>
              </w:rPr>
              <w:t> </w:t>
            </w:r>
            <w:r>
              <w:rPr>
                <w:color w:val="FF0000"/>
                <w:spacing w:val="-19"/>
                <w:sz w:val="24"/>
              </w:rPr>
              <w:t>100mg</w:t>
            </w:r>
            <w:r>
              <w:rPr>
                <w:color w:val="FF0000"/>
                <w:spacing w:val="-18"/>
                <w:sz w:val="24"/>
              </w:rPr>
              <w:t>，限納入</w:t>
            </w:r>
            <w:r>
              <w:rPr>
                <w:color w:val="FF0000"/>
                <w:spacing w:val="-7"/>
                <w:sz w:val="24"/>
              </w:rPr>
              <w:t>TMTC </w:t>
            </w:r>
            <w:r>
              <w:rPr>
                <w:color w:val="FF0000"/>
                <w:spacing w:val="-17"/>
                <w:sz w:val="24"/>
              </w:rPr>
              <w:t>計畫之個案申請。</w:t>
            </w:r>
          </w:p>
          <w:p>
            <w:pPr>
              <w:pStyle w:val="TableParagraph"/>
              <w:numPr>
                <w:ilvl w:val="0"/>
                <w:numId w:val="94"/>
              </w:numPr>
              <w:tabs>
                <w:tab w:pos="408" w:val="left" w:leader="none"/>
              </w:tabs>
              <w:spacing w:line="175" w:lineRule="auto" w:before="18" w:after="0"/>
              <w:ind w:left="407" w:right="72" w:hanging="360"/>
              <w:jc w:val="both"/>
              <w:rPr>
                <w:sz w:val="24"/>
              </w:rPr>
            </w:pPr>
            <w:r>
              <w:rPr>
                <w:spacing w:val="10"/>
                <w:sz w:val="24"/>
              </w:rPr>
              <w:t>無 論 是 否 納 入 </w:t>
            </w:r>
            <w:r>
              <w:rPr>
                <w:spacing w:val="6"/>
                <w:sz w:val="24"/>
              </w:rPr>
              <w:t>TMTC</w:t>
            </w:r>
            <w:r>
              <w:rPr>
                <w:spacing w:val="8"/>
                <w:sz w:val="24"/>
              </w:rPr>
              <w:t> 計 畫 之</w:t>
            </w:r>
            <w:r>
              <w:rPr>
                <w:sz w:val="24"/>
              </w:rPr>
              <w:t>MDR/RR-TB</w:t>
            </w:r>
            <w:r>
              <w:rPr>
                <w:spacing w:val="6"/>
                <w:sz w:val="24"/>
              </w:rPr>
              <w:t>等抗藥個案，務必執</w:t>
            </w:r>
            <w:r>
              <w:rPr>
                <w:spacing w:val="-3"/>
                <w:sz w:val="24"/>
              </w:rPr>
              <w:t>行</w:t>
            </w:r>
            <w:r>
              <w:rPr>
                <w:spacing w:val="-1"/>
                <w:sz w:val="24"/>
              </w:rPr>
              <w:t>DOTS-plus，其餘一般結核病個</w:t>
            </w:r>
            <w:r>
              <w:rPr>
                <w:spacing w:val="-2"/>
                <w:sz w:val="24"/>
              </w:rPr>
              <w:t>案使用本公費藥者，皆需加入都治</w:t>
            </w:r>
          </w:p>
          <w:p>
            <w:pPr>
              <w:pStyle w:val="TableParagraph"/>
              <w:spacing w:line="319" w:lineRule="exact"/>
              <w:ind w:left="408"/>
              <w:rPr>
                <w:sz w:val="24"/>
              </w:rPr>
            </w:pPr>
            <w:r>
              <w:rPr>
                <w:sz w:val="24"/>
              </w:rPr>
              <w:t>計畫。</w:t>
            </w:r>
          </w:p>
        </w:tc>
      </w:tr>
      <w:tr>
        <w:trPr>
          <w:trHeight w:val="1540" w:hRule="atLeast"/>
        </w:trPr>
        <w:tc>
          <w:tcPr>
            <w:tcW w:w="2696" w:type="dxa"/>
            <w:vMerge/>
            <w:tcBorders>
              <w:top w:val="nil"/>
              <w:right w:val="single" w:sz="4" w:space="0" w:color="000000"/>
            </w:tcBorders>
          </w:tcPr>
          <w:p>
            <w:pPr>
              <w:rPr>
                <w:sz w:val="2"/>
                <w:szCs w:val="2"/>
              </w:rPr>
            </w:pPr>
          </w:p>
        </w:tc>
        <w:tc>
          <w:tcPr>
            <w:tcW w:w="2125" w:type="dxa"/>
            <w:vMerge/>
            <w:tcBorders>
              <w:top w:val="nil"/>
              <w:left w:val="single" w:sz="4" w:space="0" w:color="000000"/>
              <w:right w:val="single" w:sz="4" w:space="0" w:color="000000"/>
            </w:tcBorders>
          </w:tcPr>
          <w:p>
            <w:pPr>
              <w:rPr>
                <w:sz w:val="2"/>
                <w:szCs w:val="2"/>
              </w:rPr>
            </w:pPr>
          </w:p>
        </w:tc>
        <w:tc>
          <w:tcPr>
            <w:tcW w:w="1134" w:type="dxa"/>
            <w:tcBorders>
              <w:top w:val="single" w:sz="4" w:space="0" w:color="000000"/>
              <w:left w:val="single" w:sz="4" w:space="0" w:color="000000"/>
              <w:right w:val="single" w:sz="4" w:space="0" w:color="000000"/>
            </w:tcBorders>
          </w:tcPr>
          <w:p>
            <w:pPr>
              <w:pStyle w:val="TableParagraph"/>
              <w:rPr>
                <w:rFonts w:ascii="Times New Roman"/>
                <w:sz w:val="24"/>
              </w:rPr>
            </w:pPr>
          </w:p>
        </w:tc>
        <w:tc>
          <w:tcPr>
            <w:tcW w:w="1134" w:type="dxa"/>
            <w:tcBorders>
              <w:top w:val="single" w:sz="4" w:space="0" w:color="000000"/>
              <w:left w:val="single" w:sz="4" w:space="0" w:color="000000"/>
              <w:right w:val="single" w:sz="4" w:space="0" w:color="000000"/>
            </w:tcBorders>
          </w:tcPr>
          <w:p>
            <w:pPr>
              <w:pStyle w:val="TableParagraph"/>
              <w:spacing w:before="12"/>
              <w:rPr>
                <w:b/>
                <w:sz w:val="35"/>
              </w:rPr>
            </w:pPr>
          </w:p>
          <w:p>
            <w:pPr>
              <w:pStyle w:val="TableParagraph"/>
              <w:ind w:left="59"/>
              <w:jc w:val="center"/>
              <w:rPr>
                <w:sz w:val="24"/>
              </w:rPr>
            </w:pPr>
            <w:r>
              <w:rPr>
                <w:sz w:val="24"/>
              </w:rPr>
              <w:t>V</w:t>
            </w:r>
          </w:p>
        </w:tc>
        <w:tc>
          <w:tcPr>
            <w:tcW w:w="1985" w:type="dxa"/>
            <w:vMerge/>
            <w:tcBorders>
              <w:top w:val="nil"/>
              <w:left w:val="single" w:sz="4" w:space="0" w:color="000000"/>
              <w:right w:val="single" w:sz="4" w:space="0" w:color="000000"/>
            </w:tcBorders>
          </w:tcPr>
          <w:p>
            <w:pPr>
              <w:rPr>
                <w:sz w:val="2"/>
                <w:szCs w:val="2"/>
              </w:rPr>
            </w:pPr>
          </w:p>
        </w:tc>
        <w:tc>
          <w:tcPr>
            <w:tcW w:w="1985" w:type="dxa"/>
            <w:tcBorders>
              <w:top w:val="single" w:sz="4" w:space="0" w:color="000000"/>
              <w:left w:val="single" w:sz="4" w:space="0" w:color="000000"/>
              <w:right w:val="single" w:sz="4" w:space="0" w:color="000000"/>
            </w:tcBorders>
          </w:tcPr>
          <w:p>
            <w:pPr>
              <w:pStyle w:val="TableParagraph"/>
              <w:spacing w:before="16"/>
              <w:rPr>
                <w:b/>
                <w:sz w:val="22"/>
              </w:rPr>
            </w:pPr>
          </w:p>
          <w:p>
            <w:pPr>
              <w:pStyle w:val="TableParagraph"/>
              <w:spacing w:line="381" w:lineRule="exact"/>
              <w:ind w:left="79"/>
              <w:jc w:val="center"/>
              <w:rPr>
                <w:sz w:val="24"/>
              </w:rPr>
            </w:pPr>
            <w:r>
              <w:rPr>
                <w:sz w:val="24"/>
              </w:rPr>
              <w:t>V</w:t>
            </w:r>
          </w:p>
          <w:p>
            <w:pPr>
              <w:pStyle w:val="TableParagraph"/>
              <w:spacing w:line="381" w:lineRule="exact"/>
              <w:ind w:left="317" w:right="240"/>
              <w:jc w:val="center"/>
              <w:rPr>
                <w:sz w:val="24"/>
              </w:rPr>
            </w:pPr>
            <w:r>
              <w:rPr>
                <w:sz w:val="24"/>
              </w:rPr>
              <w:t>(備註2)</w:t>
            </w:r>
          </w:p>
        </w:tc>
        <w:tc>
          <w:tcPr>
            <w:tcW w:w="4111" w:type="dxa"/>
            <w:vMerge/>
            <w:tcBorders>
              <w:top w:val="nil"/>
              <w:left w:val="single" w:sz="4" w:space="0" w:color="000000"/>
            </w:tcBorders>
          </w:tcPr>
          <w:p>
            <w:pPr>
              <w:rPr>
                <w:sz w:val="2"/>
                <w:szCs w:val="2"/>
              </w:rPr>
            </w:pPr>
          </w:p>
        </w:tc>
      </w:tr>
      <w:tr>
        <w:trPr>
          <w:trHeight w:val="561" w:hRule="atLeast"/>
        </w:trPr>
        <w:tc>
          <w:tcPr>
            <w:tcW w:w="15170" w:type="dxa"/>
            <w:gridSpan w:val="7"/>
            <w:tcBorders>
              <w:bottom w:val="single" w:sz="4" w:space="0" w:color="000000"/>
            </w:tcBorders>
          </w:tcPr>
          <w:p>
            <w:pPr>
              <w:pStyle w:val="TableParagraph"/>
              <w:spacing w:before="57"/>
              <w:ind w:left="16"/>
              <w:rPr>
                <w:sz w:val="24"/>
              </w:rPr>
            </w:pPr>
            <w:r>
              <w:rPr>
                <w:sz w:val="24"/>
              </w:rPr>
              <w:t>(二) Bedaquiline 20mg、delamanid 50mg*、pretomanid 200mg *、</w:t>
            </w:r>
            <w:r>
              <w:rPr>
                <w:color w:val="FF0000"/>
                <w:sz w:val="24"/>
              </w:rPr>
              <w:t>BPaL處方</w:t>
            </w:r>
          </w:p>
        </w:tc>
      </w:tr>
      <w:tr>
        <w:trPr>
          <w:trHeight w:val="640" w:hRule="atLeast"/>
        </w:trPr>
        <w:tc>
          <w:tcPr>
            <w:tcW w:w="2696" w:type="dxa"/>
            <w:vMerge w:val="restart"/>
            <w:tcBorders>
              <w:top w:val="single" w:sz="4" w:space="0" w:color="000000"/>
              <w:bottom w:val="single" w:sz="4" w:space="0" w:color="000000"/>
              <w:right w:val="single" w:sz="4" w:space="0" w:color="000000"/>
            </w:tcBorders>
          </w:tcPr>
          <w:p>
            <w:pPr>
              <w:pStyle w:val="TableParagraph"/>
              <w:spacing w:before="4"/>
              <w:rPr>
                <w:b/>
                <w:sz w:val="22"/>
              </w:rPr>
            </w:pPr>
          </w:p>
          <w:p>
            <w:pPr>
              <w:pStyle w:val="TableParagraph"/>
              <w:ind w:left="877"/>
              <w:rPr>
                <w:sz w:val="24"/>
              </w:rPr>
            </w:pPr>
            <w:r>
              <w:rPr>
                <w:sz w:val="24"/>
              </w:rPr>
              <w:t>申請原因</w:t>
            </w:r>
          </w:p>
        </w:tc>
        <w:tc>
          <w:tcPr>
            <w:tcW w:w="2125"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4"/>
              <w:rPr>
                <w:b/>
                <w:sz w:val="22"/>
              </w:rPr>
            </w:pPr>
          </w:p>
          <w:p>
            <w:pPr>
              <w:pStyle w:val="TableParagraph"/>
              <w:ind w:left="591"/>
              <w:rPr>
                <w:sz w:val="24"/>
              </w:rPr>
            </w:pPr>
            <w:r>
              <w:rPr>
                <w:sz w:val="24"/>
              </w:rPr>
              <w:t>診治醫院</w:t>
            </w:r>
          </w:p>
        </w:tc>
        <w:tc>
          <w:tcPr>
            <w:tcW w:w="2268" w:type="dxa"/>
            <w:gridSpan w:val="2"/>
            <w:tcBorders>
              <w:top w:val="single" w:sz="4" w:space="0" w:color="000000"/>
              <w:left w:val="single" w:sz="4" w:space="0" w:color="000000"/>
              <w:bottom w:val="single" w:sz="4" w:space="0" w:color="000000"/>
              <w:right w:val="single" w:sz="4" w:space="0" w:color="000000"/>
            </w:tcBorders>
          </w:tcPr>
          <w:p>
            <w:pPr>
              <w:pStyle w:val="TableParagraph"/>
              <w:spacing w:line="318" w:lineRule="exact"/>
              <w:ind w:left="425"/>
              <w:rPr>
                <w:sz w:val="24"/>
              </w:rPr>
            </w:pPr>
            <w:r>
              <w:rPr>
                <w:sz w:val="24"/>
              </w:rPr>
              <w:t>個案是否納入</w:t>
            </w:r>
          </w:p>
          <w:p>
            <w:pPr>
              <w:pStyle w:val="TableParagraph"/>
              <w:spacing w:line="302" w:lineRule="exact"/>
              <w:ind w:left="574"/>
              <w:rPr>
                <w:sz w:val="24"/>
              </w:rPr>
            </w:pPr>
            <w:r>
              <w:rPr>
                <w:sz w:val="24"/>
              </w:rPr>
              <w:t>TMTC計畫</w:t>
            </w:r>
          </w:p>
        </w:tc>
        <w:tc>
          <w:tcPr>
            <w:tcW w:w="1985"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4"/>
              <w:rPr>
                <w:b/>
                <w:sz w:val="22"/>
              </w:rPr>
            </w:pPr>
          </w:p>
          <w:p>
            <w:pPr>
              <w:pStyle w:val="TableParagraph"/>
              <w:ind w:left="282"/>
              <w:rPr>
                <w:sz w:val="24"/>
              </w:rPr>
            </w:pPr>
            <w:r>
              <w:rPr>
                <w:sz w:val="24"/>
              </w:rPr>
              <w:t>受理申請單位</w:t>
            </w:r>
          </w:p>
        </w:tc>
        <w:tc>
          <w:tcPr>
            <w:tcW w:w="1985"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4"/>
              <w:rPr>
                <w:b/>
                <w:sz w:val="22"/>
              </w:rPr>
            </w:pPr>
          </w:p>
          <w:p>
            <w:pPr>
              <w:pStyle w:val="TableParagraph"/>
              <w:ind w:left="522"/>
              <w:rPr>
                <w:sz w:val="24"/>
              </w:rPr>
            </w:pPr>
            <w:r>
              <w:rPr>
                <w:sz w:val="24"/>
              </w:rPr>
              <w:t>都治種類</w:t>
            </w:r>
          </w:p>
        </w:tc>
        <w:tc>
          <w:tcPr>
            <w:tcW w:w="4111" w:type="dxa"/>
            <w:vMerge w:val="restart"/>
            <w:tcBorders>
              <w:top w:val="single" w:sz="4" w:space="0" w:color="000000"/>
              <w:left w:val="single" w:sz="4" w:space="0" w:color="000000"/>
              <w:bottom w:val="single" w:sz="4" w:space="0" w:color="000000"/>
            </w:tcBorders>
          </w:tcPr>
          <w:p>
            <w:pPr>
              <w:pStyle w:val="TableParagraph"/>
              <w:spacing w:before="4"/>
              <w:rPr>
                <w:b/>
                <w:sz w:val="22"/>
              </w:rPr>
            </w:pPr>
          </w:p>
          <w:p>
            <w:pPr>
              <w:pStyle w:val="TableParagraph"/>
              <w:ind w:left="915"/>
              <w:rPr>
                <w:sz w:val="24"/>
              </w:rPr>
            </w:pPr>
            <w:r>
              <w:rPr>
                <w:sz w:val="24"/>
              </w:rPr>
              <w:t>備註</w:t>
            </w:r>
          </w:p>
        </w:tc>
      </w:tr>
      <w:tr>
        <w:trPr>
          <w:trHeight w:val="388" w:hRule="atLeast"/>
        </w:trPr>
        <w:tc>
          <w:tcPr>
            <w:tcW w:w="2696" w:type="dxa"/>
            <w:vMerge/>
            <w:tcBorders>
              <w:top w:val="nil"/>
              <w:bottom w:val="single" w:sz="4" w:space="0" w:color="000000"/>
              <w:right w:val="single" w:sz="4" w:space="0" w:color="000000"/>
            </w:tcBorders>
          </w:tcPr>
          <w:p>
            <w:pPr>
              <w:rPr>
                <w:sz w:val="2"/>
                <w:szCs w:val="2"/>
              </w:rPr>
            </w:pPr>
          </w:p>
        </w:tc>
        <w:tc>
          <w:tcPr>
            <w:tcW w:w="2125" w:type="dxa"/>
            <w:vMerge/>
            <w:tcBorders>
              <w:top w:val="nil"/>
              <w:left w:val="single" w:sz="4" w:space="0" w:color="000000"/>
              <w:bottom w:val="single" w:sz="4" w:space="0" w:color="000000"/>
              <w:right w:val="single" w:sz="4" w:space="0" w:color="000000"/>
            </w:tcBorders>
          </w:tcPr>
          <w:p>
            <w:pPr>
              <w:rPr>
                <w:sz w:val="2"/>
                <w:szCs w:val="2"/>
              </w:rPr>
            </w:pPr>
          </w:p>
        </w:tc>
        <w:tc>
          <w:tcPr>
            <w:tcW w:w="1134" w:type="dxa"/>
            <w:tcBorders>
              <w:top w:val="single" w:sz="4" w:space="0" w:color="000000"/>
              <w:left w:val="single" w:sz="4" w:space="0" w:color="000000"/>
              <w:bottom w:val="single" w:sz="4" w:space="0" w:color="000000"/>
              <w:right w:val="single" w:sz="4" w:space="0" w:color="000000"/>
            </w:tcBorders>
          </w:tcPr>
          <w:p>
            <w:pPr>
              <w:pStyle w:val="TableParagraph"/>
              <w:spacing w:line="368" w:lineRule="exact"/>
              <w:ind w:left="31"/>
              <w:jc w:val="center"/>
              <w:rPr>
                <w:sz w:val="24"/>
              </w:rPr>
            </w:pPr>
            <w:r>
              <w:rPr>
                <w:sz w:val="24"/>
              </w:rPr>
              <w:t>是</w:t>
            </w:r>
          </w:p>
        </w:tc>
        <w:tc>
          <w:tcPr>
            <w:tcW w:w="1134" w:type="dxa"/>
            <w:tcBorders>
              <w:top w:val="single" w:sz="4" w:space="0" w:color="000000"/>
              <w:left w:val="single" w:sz="4" w:space="0" w:color="000000"/>
              <w:bottom w:val="single" w:sz="4" w:space="0" w:color="000000"/>
              <w:right w:val="single" w:sz="4" w:space="0" w:color="000000"/>
            </w:tcBorders>
          </w:tcPr>
          <w:p>
            <w:pPr>
              <w:pStyle w:val="TableParagraph"/>
              <w:spacing w:line="368" w:lineRule="exact"/>
              <w:ind w:left="31"/>
              <w:jc w:val="center"/>
              <w:rPr>
                <w:sz w:val="24"/>
              </w:rPr>
            </w:pPr>
            <w:r>
              <w:rPr>
                <w:sz w:val="24"/>
              </w:rPr>
              <w:t>否</w:t>
            </w:r>
          </w:p>
        </w:tc>
        <w:tc>
          <w:tcPr>
            <w:tcW w:w="1985" w:type="dxa"/>
            <w:vMerge/>
            <w:tcBorders>
              <w:top w:val="nil"/>
              <w:left w:val="single" w:sz="4" w:space="0" w:color="000000"/>
              <w:bottom w:val="single" w:sz="4" w:space="0" w:color="000000"/>
              <w:right w:val="single" w:sz="4" w:space="0" w:color="000000"/>
            </w:tcBorders>
          </w:tcPr>
          <w:p>
            <w:pPr>
              <w:rPr>
                <w:sz w:val="2"/>
                <w:szCs w:val="2"/>
              </w:rPr>
            </w:pPr>
          </w:p>
        </w:tc>
        <w:tc>
          <w:tcPr>
            <w:tcW w:w="1985" w:type="dxa"/>
            <w:vMerge/>
            <w:tcBorders>
              <w:top w:val="nil"/>
              <w:left w:val="single" w:sz="4" w:space="0" w:color="000000"/>
              <w:bottom w:val="single" w:sz="4" w:space="0" w:color="000000"/>
              <w:right w:val="single" w:sz="4" w:space="0" w:color="000000"/>
            </w:tcBorders>
          </w:tcPr>
          <w:p>
            <w:pPr>
              <w:rPr>
                <w:sz w:val="2"/>
                <w:szCs w:val="2"/>
              </w:rPr>
            </w:pPr>
          </w:p>
        </w:tc>
        <w:tc>
          <w:tcPr>
            <w:tcW w:w="4111" w:type="dxa"/>
            <w:vMerge/>
            <w:tcBorders>
              <w:top w:val="nil"/>
              <w:left w:val="single" w:sz="4" w:space="0" w:color="000000"/>
              <w:bottom w:val="single" w:sz="4" w:space="0" w:color="000000"/>
            </w:tcBorders>
          </w:tcPr>
          <w:p>
            <w:pPr>
              <w:rPr>
                <w:sz w:val="2"/>
                <w:szCs w:val="2"/>
              </w:rPr>
            </w:pPr>
          </w:p>
        </w:tc>
      </w:tr>
      <w:tr>
        <w:trPr>
          <w:trHeight w:val="1893" w:hRule="atLeast"/>
        </w:trPr>
        <w:tc>
          <w:tcPr>
            <w:tcW w:w="2696" w:type="dxa"/>
            <w:tcBorders>
              <w:top w:val="single" w:sz="4" w:space="0" w:color="000000"/>
              <w:right w:val="single" w:sz="4" w:space="0" w:color="000000"/>
            </w:tcBorders>
          </w:tcPr>
          <w:p>
            <w:pPr>
              <w:pStyle w:val="TableParagraph"/>
              <w:numPr>
                <w:ilvl w:val="0"/>
                <w:numId w:val="95"/>
              </w:numPr>
              <w:tabs>
                <w:tab w:pos="428" w:val="left" w:leader="none"/>
              </w:tabs>
              <w:spacing w:line="172" w:lineRule="auto" w:before="173" w:after="0"/>
              <w:ind w:left="427" w:right="-29" w:hanging="285"/>
              <w:jc w:val="both"/>
              <w:rPr>
                <w:sz w:val="24"/>
              </w:rPr>
            </w:pPr>
            <w:r>
              <w:rPr>
                <w:sz w:val="24"/>
              </w:rPr>
              <w:t>MDR-TB</w:t>
            </w:r>
            <w:r>
              <w:rPr>
                <w:spacing w:val="-12"/>
                <w:sz w:val="24"/>
              </w:rPr>
              <w:t> 、 </w:t>
            </w:r>
            <w:r>
              <w:rPr>
                <w:sz w:val="24"/>
              </w:rPr>
              <w:t>RR-TB</w:t>
            </w:r>
            <w:r>
              <w:rPr>
                <w:spacing w:val="-8"/>
                <w:sz w:val="24"/>
              </w:rPr>
              <w:t> 、preXDR-TB 、 XDR- TB</w:t>
            </w:r>
          </w:p>
          <w:p>
            <w:pPr>
              <w:pStyle w:val="TableParagraph"/>
              <w:numPr>
                <w:ilvl w:val="0"/>
                <w:numId w:val="95"/>
              </w:numPr>
              <w:tabs>
                <w:tab w:pos="428" w:val="left" w:leader="none"/>
              </w:tabs>
              <w:spacing w:line="175" w:lineRule="auto" w:before="3" w:after="0"/>
              <w:ind w:left="427" w:right="-58" w:hanging="285"/>
              <w:jc w:val="both"/>
              <w:rPr>
                <w:sz w:val="24"/>
              </w:rPr>
            </w:pPr>
            <w:r>
              <w:rPr>
                <w:spacing w:val="21"/>
                <w:sz w:val="24"/>
              </w:rPr>
              <w:t>其他( 如嚴重副作用</w:t>
            </w:r>
            <w:r>
              <w:rPr>
                <w:sz w:val="24"/>
              </w:rPr>
              <w:t>等)</w:t>
            </w:r>
          </w:p>
        </w:tc>
        <w:tc>
          <w:tcPr>
            <w:tcW w:w="2125" w:type="dxa"/>
            <w:tcBorders>
              <w:top w:val="single" w:sz="4" w:space="0" w:color="000000"/>
              <w:left w:val="single" w:sz="4" w:space="0" w:color="000000"/>
              <w:right w:val="single" w:sz="4" w:space="0" w:color="000000"/>
            </w:tcBorders>
          </w:tcPr>
          <w:p>
            <w:pPr>
              <w:pStyle w:val="TableParagraph"/>
              <w:spacing w:before="12"/>
              <w:rPr>
                <w:b/>
                <w:sz w:val="30"/>
              </w:rPr>
            </w:pPr>
          </w:p>
          <w:p>
            <w:pPr>
              <w:pStyle w:val="TableParagraph"/>
              <w:spacing w:line="381" w:lineRule="exact"/>
              <w:ind w:left="571" w:right="542"/>
              <w:jc w:val="center"/>
              <w:rPr>
                <w:sz w:val="24"/>
              </w:rPr>
            </w:pPr>
            <w:r>
              <w:rPr>
                <w:sz w:val="24"/>
              </w:rPr>
              <w:t>TMTC</w:t>
            </w:r>
          </w:p>
          <w:p>
            <w:pPr>
              <w:pStyle w:val="TableParagraph"/>
              <w:spacing w:line="381" w:lineRule="exact"/>
              <w:ind w:left="571" w:right="543"/>
              <w:jc w:val="center"/>
              <w:rPr>
                <w:sz w:val="24"/>
              </w:rPr>
            </w:pPr>
            <w:r>
              <w:rPr>
                <w:sz w:val="24"/>
              </w:rPr>
              <w:t>團隊醫院</w:t>
            </w:r>
          </w:p>
        </w:tc>
        <w:tc>
          <w:tcPr>
            <w:tcW w:w="1134" w:type="dxa"/>
            <w:tcBorders>
              <w:top w:val="single" w:sz="4" w:space="0" w:color="000000"/>
              <w:left w:val="single" w:sz="4" w:space="0" w:color="000000"/>
              <w:right w:val="single" w:sz="4" w:space="0" w:color="000000"/>
            </w:tcBorders>
          </w:tcPr>
          <w:p>
            <w:pPr>
              <w:pStyle w:val="TableParagraph"/>
              <w:spacing w:before="6"/>
              <w:rPr>
                <w:b/>
                <w:sz w:val="39"/>
              </w:rPr>
            </w:pPr>
          </w:p>
          <w:p>
            <w:pPr>
              <w:pStyle w:val="TableParagraph"/>
              <w:ind w:left="32"/>
              <w:jc w:val="center"/>
              <w:rPr>
                <w:sz w:val="24"/>
              </w:rPr>
            </w:pPr>
            <w:r>
              <w:rPr>
                <w:sz w:val="24"/>
              </w:rPr>
              <w:t>V</w:t>
            </w:r>
          </w:p>
        </w:tc>
        <w:tc>
          <w:tcPr>
            <w:tcW w:w="1134" w:type="dxa"/>
            <w:tcBorders>
              <w:top w:val="single" w:sz="4" w:space="0" w:color="000000"/>
              <w:left w:val="single" w:sz="4" w:space="0" w:color="000000"/>
              <w:right w:val="single" w:sz="4" w:space="0" w:color="000000"/>
            </w:tcBorders>
          </w:tcPr>
          <w:p>
            <w:pPr>
              <w:pStyle w:val="TableParagraph"/>
              <w:rPr>
                <w:rFonts w:ascii="Times New Roman"/>
                <w:sz w:val="24"/>
              </w:rPr>
            </w:pPr>
          </w:p>
        </w:tc>
        <w:tc>
          <w:tcPr>
            <w:tcW w:w="1985" w:type="dxa"/>
            <w:tcBorders>
              <w:top w:val="single" w:sz="4" w:space="0" w:color="000000"/>
              <w:left w:val="single" w:sz="4" w:space="0" w:color="000000"/>
              <w:right w:val="single" w:sz="4" w:space="0" w:color="000000"/>
            </w:tcBorders>
          </w:tcPr>
          <w:p>
            <w:pPr>
              <w:pStyle w:val="TableParagraph"/>
              <w:spacing w:before="6"/>
              <w:rPr>
                <w:b/>
                <w:sz w:val="35"/>
              </w:rPr>
            </w:pPr>
          </w:p>
          <w:p>
            <w:pPr>
              <w:pStyle w:val="TableParagraph"/>
              <w:spacing w:line="175" w:lineRule="auto"/>
              <w:ind w:left="300" w:right="232" w:firstLine="120"/>
              <w:rPr>
                <w:sz w:val="24"/>
              </w:rPr>
            </w:pPr>
            <w:r>
              <w:rPr>
                <w:sz w:val="24"/>
              </w:rPr>
              <w:t>疾病管制署慢性傳染病組</w:t>
            </w:r>
          </w:p>
        </w:tc>
        <w:tc>
          <w:tcPr>
            <w:tcW w:w="1985" w:type="dxa"/>
            <w:tcBorders>
              <w:top w:val="single" w:sz="4" w:space="0" w:color="000000"/>
              <w:left w:val="single" w:sz="4" w:space="0" w:color="000000"/>
              <w:right w:val="single" w:sz="4" w:space="0" w:color="000000"/>
            </w:tcBorders>
          </w:tcPr>
          <w:p>
            <w:pPr>
              <w:pStyle w:val="TableParagraph"/>
              <w:spacing w:before="14"/>
              <w:rPr>
                <w:b/>
                <w:sz w:val="29"/>
              </w:rPr>
            </w:pPr>
          </w:p>
          <w:p>
            <w:pPr>
              <w:pStyle w:val="TableParagraph"/>
              <w:spacing w:line="396" w:lineRule="exact" w:before="1"/>
              <w:ind w:left="79"/>
              <w:jc w:val="center"/>
              <w:rPr>
                <w:sz w:val="24"/>
              </w:rPr>
            </w:pPr>
            <w:r>
              <w:rPr>
                <w:sz w:val="24"/>
              </w:rPr>
              <w:t>V</w:t>
            </w:r>
          </w:p>
          <w:p>
            <w:pPr>
              <w:pStyle w:val="TableParagraph"/>
              <w:spacing w:line="396" w:lineRule="exact"/>
              <w:ind w:left="317" w:right="238"/>
              <w:jc w:val="center"/>
              <w:rPr>
                <w:sz w:val="24"/>
              </w:rPr>
            </w:pPr>
            <w:r>
              <w:rPr>
                <w:sz w:val="24"/>
              </w:rPr>
              <w:t>(DOTS-plus)</w:t>
            </w:r>
          </w:p>
        </w:tc>
        <w:tc>
          <w:tcPr>
            <w:tcW w:w="4111" w:type="dxa"/>
            <w:tcBorders>
              <w:top w:val="single" w:sz="4" w:space="0" w:color="000000"/>
              <w:left w:val="single" w:sz="4" w:space="0" w:color="000000"/>
            </w:tcBorders>
          </w:tcPr>
          <w:p>
            <w:pPr>
              <w:pStyle w:val="TableParagraph"/>
              <w:numPr>
                <w:ilvl w:val="0"/>
                <w:numId w:val="96"/>
              </w:numPr>
              <w:tabs>
                <w:tab w:pos="365" w:val="left" w:leader="none"/>
              </w:tabs>
              <w:spacing w:line="175" w:lineRule="auto" w:before="170" w:after="0"/>
              <w:ind w:left="364" w:right="65" w:hanging="351"/>
              <w:jc w:val="both"/>
              <w:rPr>
                <w:sz w:val="24"/>
              </w:rPr>
            </w:pPr>
            <w:r>
              <w:rPr>
                <w:spacing w:val="-9"/>
                <w:sz w:val="24"/>
              </w:rPr>
              <w:t>本項公費藥，限納入</w:t>
            </w:r>
            <w:r>
              <w:rPr>
                <w:spacing w:val="-7"/>
                <w:sz w:val="24"/>
              </w:rPr>
              <w:t>TMTC</w:t>
            </w:r>
            <w:r>
              <w:rPr>
                <w:spacing w:val="-9"/>
                <w:sz w:val="24"/>
              </w:rPr>
              <w:t>計畫之個</w:t>
            </w:r>
            <w:r>
              <w:rPr>
                <w:spacing w:val="-17"/>
                <w:sz w:val="24"/>
              </w:rPr>
              <w:t>案申請。</w:t>
            </w:r>
          </w:p>
          <w:p>
            <w:pPr>
              <w:pStyle w:val="TableParagraph"/>
              <w:numPr>
                <w:ilvl w:val="0"/>
                <w:numId w:val="96"/>
              </w:numPr>
              <w:tabs>
                <w:tab w:pos="365" w:val="left" w:leader="none"/>
              </w:tabs>
              <w:spacing w:line="175" w:lineRule="auto" w:before="0" w:after="0"/>
              <w:ind w:left="364" w:right="52" w:hanging="351"/>
              <w:jc w:val="both"/>
              <w:rPr>
                <w:sz w:val="24"/>
              </w:rPr>
            </w:pPr>
            <w:r>
              <w:rPr>
                <w:spacing w:val="-12"/>
                <w:sz w:val="24"/>
              </w:rPr>
              <w:t>申請方式：醫院事先填具疾病管制署</w:t>
            </w:r>
            <w:r>
              <w:rPr>
                <w:spacing w:val="-18"/>
                <w:sz w:val="24"/>
              </w:rPr>
              <w:t>抗結核公費藥申請單，以書面申請(免</w:t>
            </w:r>
            <w:r>
              <w:rPr>
                <w:spacing w:val="-15"/>
                <w:sz w:val="24"/>
              </w:rPr>
              <w:t>備文)。</w:t>
            </w:r>
          </w:p>
        </w:tc>
      </w:tr>
    </w:tbl>
    <w:p>
      <w:pPr>
        <w:spacing w:after="0" w:line="175" w:lineRule="auto"/>
        <w:jc w:val="both"/>
        <w:rPr>
          <w:sz w:val="24"/>
        </w:rPr>
        <w:sectPr>
          <w:pgSz w:w="17190" w:h="12250" w:orient="landscape"/>
          <w:pgMar w:header="0" w:footer="748" w:top="1140" w:bottom="940" w:left="900" w:right="860"/>
        </w:sectPr>
      </w:pPr>
    </w:p>
    <w:p>
      <w:pPr>
        <w:pStyle w:val="BodyText"/>
        <w:spacing w:before="6"/>
        <w:rPr>
          <w:b/>
          <w:sz w:val="23"/>
        </w:rPr>
      </w:pPr>
    </w:p>
    <w:tbl>
      <w:tblPr>
        <w:tblW w:w="0" w:type="auto"/>
        <w:jc w:val="left"/>
        <w:tblInd w:w="4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687"/>
        <w:gridCol w:w="1843"/>
        <w:gridCol w:w="1134"/>
        <w:gridCol w:w="1134"/>
        <w:gridCol w:w="2126"/>
        <w:gridCol w:w="1700"/>
        <w:gridCol w:w="3261"/>
      </w:tblGrid>
      <w:tr>
        <w:trPr>
          <w:trHeight w:val="330" w:hRule="atLeast"/>
        </w:trPr>
        <w:tc>
          <w:tcPr>
            <w:tcW w:w="14885" w:type="dxa"/>
            <w:gridSpan w:val="7"/>
            <w:shd w:val="clear" w:color="auto" w:fill="E1EED9"/>
          </w:tcPr>
          <w:p>
            <w:pPr>
              <w:pStyle w:val="TableParagraph"/>
              <w:spacing w:line="310" w:lineRule="exact"/>
              <w:ind w:left="121"/>
              <w:rPr>
                <w:b/>
                <w:sz w:val="24"/>
              </w:rPr>
            </w:pPr>
            <w:r>
              <w:rPr>
                <w:b/>
                <w:sz w:val="24"/>
              </w:rPr>
              <w:t>三、TMTC 團隊醫院自購藥品</w:t>
            </w:r>
          </w:p>
        </w:tc>
      </w:tr>
      <w:tr>
        <w:trPr>
          <w:trHeight w:val="401" w:hRule="atLeast"/>
        </w:trPr>
        <w:tc>
          <w:tcPr>
            <w:tcW w:w="14885" w:type="dxa"/>
            <w:gridSpan w:val="7"/>
            <w:tcBorders>
              <w:top w:val="single" w:sz="48" w:space="0" w:color="E1EED9"/>
            </w:tcBorders>
          </w:tcPr>
          <w:p>
            <w:pPr>
              <w:pStyle w:val="TableParagraph"/>
              <w:spacing w:line="382" w:lineRule="exact"/>
              <w:ind w:left="148"/>
              <w:rPr>
                <w:sz w:val="24"/>
              </w:rPr>
            </w:pPr>
            <w:r>
              <w:rPr>
                <w:color w:val="FF0000"/>
                <w:sz w:val="24"/>
              </w:rPr>
              <w:t>Linezolid 600mg</w:t>
            </w:r>
            <w:r>
              <w:rPr>
                <w:sz w:val="24"/>
              </w:rPr>
              <w:t>、meropenem 1000mg</w:t>
            </w:r>
          </w:p>
        </w:tc>
      </w:tr>
      <w:tr>
        <w:trPr>
          <w:trHeight w:val="640" w:hRule="atLeast"/>
        </w:trPr>
        <w:tc>
          <w:tcPr>
            <w:tcW w:w="3687" w:type="dxa"/>
            <w:vMerge w:val="restart"/>
            <w:tcBorders>
              <w:bottom w:val="single" w:sz="4" w:space="0" w:color="000000"/>
              <w:right w:val="single" w:sz="4" w:space="0" w:color="000000"/>
            </w:tcBorders>
          </w:tcPr>
          <w:p>
            <w:pPr>
              <w:pStyle w:val="TableParagraph"/>
              <w:spacing w:before="284"/>
              <w:ind w:left="1348" w:right="1318"/>
              <w:jc w:val="center"/>
              <w:rPr>
                <w:sz w:val="24"/>
              </w:rPr>
            </w:pPr>
            <w:r>
              <w:rPr>
                <w:sz w:val="24"/>
              </w:rPr>
              <w:t>申請原因</w:t>
            </w:r>
          </w:p>
        </w:tc>
        <w:tc>
          <w:tcPr>
            <w:tcW w:w="1843" w:type="dxa"/>
            <w:vMerge w:val="restart"/>
            <w:tcBorders>
              <w:left w:val="single" w:sz="4" w:space="0" w:color="000000"/>
              <w:bottom w:val="single" w:sz="4" w:space="0" w:color="000000"/>
              <w:right w:val="single" w:sz="4" w:space="0" w:color="000000"/>
            </w:tcBorders>
          </w:tcPr>
          <w:p>
            <w:pPr>
              <w:pStyle w:val="TableParagraph"/>
              <w:spacing w:before="284"/>
              <w:ind w:left="451"/>
              <w:rPr>
                <w:sz w:val="24"/>
              </w:rPr>
            </w:pPr>
            <w:r>
              <w:rPr>
                <w:sz w:val="24"/>
              </w:rPr>
              <w:t>診治醫院</w:t>
            </w:r>
          </w:p>
        </w:tc>
        <w:tc>
          <w:tcPr>
            <w:tcW w:w="2268" w:type="dxa"/>
            <w:gridSpan w:val="2"/>
            <w:tcBorders>
              <w:left w:val="single" w:sz="4" w:space="0" w:color="000000"/>
              <w:bottom w:val="single" w:sz="4" w:space="0" w:color="000000"/>
              <w:right w:val="single" w:sz="4" w:space="0" w:color="000000"/>
            </w:tcBorders>
          </w:tcPr>
          <w:p>
            <w:pPr>
              <w:pStyle w:val="TableParagraph"/>
              <w:spacing w:line="318" w:lineRule="exact"/>
              <w:ind w:left="425"/>
              <w:rPr>
                <w:sz w:val="24"/>
              </w:rPr>
            </w:pPr>
            <w:r>
              <w:rPr>
                <w:sz w:val="24"/>
              </w:rPr>
              <w:t>個案是否納入</w:t>
            </w:r>
          </w:p>
          <w:p>
            <w:pPr>
              <w:pStyle w:val="TableParagraph"/>
              <w:spacing w:line="302" w:lineRule="exact"/>
              <w:ind w:left="575"/>
              <w:rPr>
                <w:sz w:val="24"/>
              </w:rPr>
            </w:pPr>
            <w:r>
              <w:rPr>
                <w:sz w:val="24"/>
              </w:rPr>
              <w:t>TMTC計畫</w:t>
            </w:r>
          </w:p>
        </w:tc>
        <w:tc>
          <w:tcPr>
            <w:tcW w:w="2126" w:type="dxa"/>
            <w:vMerge w:val="restart"/>
            <w:tcBorders>
              <w:left w:val="single" w:sz="4" w:space="0" w:color="000000"/>
              <w:bottom w:val="single" w:sz="4" w:space="0" w:color="000000"/>
              <w:right w:val="single" w:sz="4" w:space="0" w:color="000000"/>
            </w:tcBorders>
          </w:tcPr>
          <w:p>
            <w:pPr>
              <w:pStyle w:val="TableParagraph"/>
              <w:spacing w:before="284"/>
              <w:ind w:left="352"/>
              <w:rPr>
                <w:sz w:val="24"/>
              </w:rPr>
            </w:pPr>
            <w:r>
              <w:rPr>
                <w:sz w:val="24"/>
              </w:rPr>
              <w:t>受理申請單位</w:t>
            </w:r>
          </w:p>
        </w:tc>
        <w:tc>
          <w:tcPr>
            <w:tcW w:w="1700" w:type="dxa"/>
            <w:vMerge w:val="restart"/>
            <w:tcBorders>
              <w:left w:val="single" w:sz="4" w:space="0" w:color="000000"/>
              <w:bottom w:val="single" w:sz="4" w:space="0" w:color="000000"/>
              <w:right w:val="single" w:sz="4" w:space="0" w:color="000000"/>
            </w:tcBorders>
          </w:tcPr>
          <w:p>
            <w:pPr>
              <w:pStyle w:val="TableParagraph"/>
              <w:spacing w:before="284"/>
              <w:ind w:left="380"/>
              <w:rPr>
                <w:sz w:val="24"/>
              </w:rPr>
            </w:pPr>
            <w:r>
              <w:rPr>
                <w:sz w:val="24"/>
              </w:rPr>
              <w:t>都治種類</w:t>
            </w:r>
          </w:p>
        </w:tc>
        <w:tc>
          <w:tcPr>
            <w:tcW w:w="3261" w:type="dxa"/>
            <w:vMerge w:val="restart"/>
            <w:tcBorders>
              <w:left w:val="single" w:sz="4" w:space="0" w:color="000000"/>
              <w:bottom w:val="single" w:sz="4" w:space="0" w:color="000000"/>
            </w:tcBorders>
          </w:tcPr>
          <w:p>
            <w:pPr>
              <w:pStyle w:val="TableParagraph"/>
              <w:spacing w:before="284"/>
              <w:ind w:left="1375" w:right="1345"/>
              <w:jc w:val="center"/>
              <w:rPr>
                <w:sz w:val="24"/>
              </w:rPr>
            </w:pPr>
            <w:r>
              <w:rPr>
                <w:sz w:val="24"/>
              </w:rPr>
              <w:t>備註</w:t>
            </w:r>
          </w:p>
        </w:tc>
      </w:tr>
      <w:tr>
        <w:trPr>
          <w:trHeight w:val="363" w:hRule="atLeast"/>
        </w:trPr>
        <w:tc>
          <w:tcPr>
            <w:tcW w:w="3687" w:type="dxa"/>
            <w:vMerge/>
            <w:tcBorders>
              <w:top w:val="nil"/>
              <w:bottom w:val="single" w:sz="4" w:space="0" w:color="000000"/>
              <w:right w:val="single" w:sz="4" w:space="0" w:color="000000"/>
            </w:tcBorders>
          </w:tcPr>
          <w:p>
            <w:pPr>
              <w:rPr>
                <w:sz w:val="2"/>
                <w:szCs w:val="2"/>
              </w:rPr>
            </w:pPr>
          </w:p>
        </w:tc>
        <w:tc>
          <w:tcPr>
            <w:tcW w:w="1843" w:type="dxa"/>
            <w:vMerge/>
            <w:tcBorders>
              <w:top w:val="nil"/>
              <w:left w:val="single" w:sz="4" w:space="0" w:color="000000"/>
              <w:bottom w:val="single" w:sz="4" w:space="0" w:color="000000"/>
              <w:right w:val="single" w:sz="4" w:space="0" w:color="000000"/>
            </w:tcBorders>
          </w:tcPr>
          <w:p>
            <w:pPr>
              <w:rPr>
                <w:sz w:val="2"/>
                <w:szCs w:val="2"/>
              </w:rPr>
            </w:pPr>
          </w:p>
        </w:tc>
        <w:tc>
          <w:tcPr>
            <w:tcW w:w="1134" w:type="dxa"/>
            <w:tcBorders>
              <w:top w:val="single" w:sz="4" w:space="0" w:color="000000"/>
              <w:left w:val="single" w:sz="4" w:space="0" w:color="000000"/>
              <w:bottom w:val="single" w:sz="4" w:space="0" w:color="000000"/>
              <w:right w:val="single" w:sz="4" w:space="0" w:color="000000"/>
            </w:tcBorders>
          </w:tcPr>
          <w:p>
            <w:pPr>
              <w:pStyle w:val="TableParagraph"/>
              <w:spacing w:line="343" w:lineRule="exact"/>
              <w:ind w:left="41"/>
              <w:jc w:val="center"/>
              <w:rPr>
                <w:sz w:val="24"/>
              </w:rPr>
            </w:pPr>
            <w:r>
              <w:rPr>
                <w:sz w:val="24"/>
              </w:rPr>
              <w:t>是</w:t>
            </w:r>
          </w:p>
        </w:tc>
        <w:tc>
          <w:tcPr>
            <w:tcW w:w="1134" w:type="dxa"/>
            <w:tcBorders>
              <w:top w:val="single" w:sz="4" w:space="0" w:color="000000"/>
              <w:left w:val="single" w:sz="4" w:space="0" w:color="000000"/>
              <w:bottom w:val="single" w:sz="4" w:space="0" w:color="000000"/>
              <w:right w:val="single" w:sz="4" w:space="0" w:color="000000"/>
            </w:tcBorders>
          </w:tcPr>
          <w:p>
            <w:pPr>
              <w:pStyle w:val="TableParagraph"/>
              <w:spacing w:line="343" w:lineRule="exact"/>
              <w:ind w:left="55"/>
              <w:jc w:val="center"/>
              <w:rPr>
                <w:sz w:val="24"/>
              </w:rPr>
            </w:pPr>
            <w:r>
              <w:rPr>
                <w:sz w:val="24"/>
              </w:rPr>
              <w:t>否</w:t>
            </w:r>
          </w:p>
        </w:tc>
        <w:tc>
          <w:tcPr>
            <w:tcW w:w="2126" w:type="dxa"/>
            <w:vMerge/>
            <w:tcBorders>
              <w:top w:val="nil"/>
              <w:left w:val="single" w:sz="4" w:space="0" w:color="000000"/>
              <w:bottom w:val="single" w:sz="4" w:space="0" w:color="000000"/>
              <w:right w:val="single" w:sz="4" w:space="0" w:color="000000"/>
            </w:tcBorders>
          </w:tcPr>
          <w:p>
            <w:pPr>
              <w:rPr>
                <w:sz w:val="2"/>
                <w:szCs w:val="2"/>
              </w:rPr>
            </w:pPr>
          </w:p>
        </w:tc>
        <w:tc>
          <w:tcPr>
            <w:tcW w:w="1700" w:type="dxa"/>
            <w:vMerge/>
            <w:tcBorders>
              <w:top w:val="nil"/>
              <w:left w:val="single" w:sz="4" w:space="0" w:color="000000"/>
              <w:bottom w:val="single" w:sz="4" w:space="0" w:color="000000"/>
              <w:right w:val="single" w:sz="4" w:space="0" w:color="000000"/>
            </w:tcBorders>
          </w:tcPr>
          <w:p>
            <w:pPr>
              <w:rPr>
                <w:sz w:val="2"/>
                <w:szCs w:val="2"/>
              </w:rPr>
            </w:pPr>
          </w:p>
        </w:tc>
        <w:tc>
          <w:tcPr>
            <w:tcW w:w="3261" w:type="dxa"/>
            <w:vMerge/>
            <w:tcBorders>
              <w:top w:val="nil"/>
              <w:left w:val="single" w:sz="4" w:space="0" w:color="000000"/>
              <w:bottom w:val="single" w:sz="4" w:space="0" w:color="000000"/>
            </w:tcBorders>
          </w:tcPr>
          <w:p>
            <w:pPr>
              <w:rPr>
                <w:sz w:val="2"/>
                <w:szCs w:val="2"/>
              </w:rPr>
            </w:pPr>
          </w:p>
        </w:tc>
      </w:tr>
      <w:tr>
        <w:trPr>
          <w:trHeight w:val="2099" w:hRule="atLeast"/>
        </w:trPr>
        <w:tc>
          <w:tcPr>
            <w:tcW w:w="3687" w:type="dxa"/>
            <w:tcBorders>
              <w:top w:val="single" w:sz="4" w:space="0" w:color="000000"/>
              <w:right w:val="single" w:sz="4" w:space="0" w:color="000000"/>
            </w:tcBorders>
          </w:tcPr>
          <w:p>
            <w:pPr>
              <w:pStyle w:val="TableParagraph"/>
              <w:spacing w:before="4"/>
              <w:rPr>
                <w:b/>
                <w:sz w:val="36"/>
              </w:rPr>
            </w:pPr>
          </w:p>
          <w:p>
            <w:pPr>
              <w:pStyle w:val="TableParagraph"/>
              <w:numPr>
                <w:ilvl w:val="0"/>
                <w:numId w:val="97"/>
              </w:numPr>
              <w:tabs>
                <w:tab w:pos="428" w:val="left" w:leader="none"/>
              </w:tabs>
              <w:spacing w:line="381" w:lineRule="exact" w:before="1" w:after="0"/>
              <w:ind w:left="427" w:right="0" w:hanging="361"/>
              <w:jc w:val="left"/>
              <w:rPr>
                <w:sz w:val="24"/>
              </w:rPr>
            </w:pPr>
            <w:r>
              <w:rPr>
                <w:sz w:val="24"/>
              </w:rPr>
              <w:t>抗藥性結核病個案</w:t>
            </w:r>
          </w:p>
          <w:p>
            <w:pPr>
              <w:pStyle w:val="TableParagraph"/>
              <w:numPr>
                <w:ilvl w:val="0"/>
                <w:numId w:val="97"/>
              </w:numPr>
              <w:tabs>
                <w:tab w:pos="428" w:val="left" w:leader="none"/>
              </w:tabs>
              <w:spacing w:line="381" w:lineRule="exact" w:before="0" w:after="0"/>
              <w:ind w:left="427" w:right="0" w:hanging="361"/>
              <w:jc w:val="left"/>
              <w:rPr>
                <w:sz w:val="24"/>
              </w:rPr>
            </w:pPr>
            <w:r>
              <w:rPr>
                <w:sz w:val="24"/>
              </w:rPr>
              <w:t>其他(如：嚴重副作用)</w:t>
            </w:r>
          </w:p>
        </w:tc>
        <w:tc>
          <w:tcPr>
            <w:tcW w:w="1843" w:type="dxa"/>
            <w:tcBorders>
              <w:top w:val="single" w:sz="4" w:space="0" w:color="000000"/>
              <w:left w:val="single" w:sz="4" w:space="0" w:color="000000"/>
              <w:right w:val="single" w:sz="4" w:space="0" w:color="000000"/>
            </w:tcBorders>
          </w:tcPr>
          <w:p>
            <w:pPr>
              <w:pStyle w:val="TableParagraph"/>
              <w:spacing w:before="4"/>
              <w:rPr>
                <w:b/>
                <w:sz w:val="36"/>
              </w:rPr>
            </w:pPr>
          </w:p>
          <w:p>
            <w:pPr>
              <w:pStyle w:val="TableParagraph"/>
              <w:spacing w:line="381" w:lineRule="exact" w:before="1"/>
              <w:ind w:left="654"/>
              <w:rPr>
                <w:sz w:val="24"/>
              </w:rPr>
            </w:pPr>
            <w:r>
              <w:rPr>
                <w:sz w:val="24"/>
              </w:rPr>
              <w:t>TMTC</w:t>
            </w:r>
          </w:p>
          <w:p>
            <w:pPr>
              <w:pStyle w:val="TableParagraph"/>
              <w:spacing w:line="381" w:lineRule="exact"/>
              <w:ind w:left="505"/>
              <w:rPr>
                <w:sz w:val="24"/>
              </w:rPr>
            </w:pPr>
            <w:r>
              <w:rPr>
                <w:sz w:val="24"/>
              </w:rPr>
              <w:t>團隊醫院</w:t>
            </w:r>
          </w:p>
        </w:tc>
        <w:tc>
          <w:tcPr>
            <w:tcW w:w="1134" w:type="dxa"/>
            <w:tcBorders>
              <w:top w:val="single" w:sz="4" w:space="0" w:color="000000"/>
              <w:left w:val="single" w:sz="4" w:space="0" w:color="000000"/>
              <w:right w:val="single" w:sz="4" w:space="0" w:color="000000"/>
            </w:tcBorders>
          </w:tcPr>
          <w:p>
            <w:pPr>
              <w:pStyle w:val="TableParagraph"/>
              <w:rPr>
                <w:b/>
                <w:sz w:val="45"/>
              </w:rPr>
            </w:pPr>
          </w:p>
          <w:p>
            <w:pPr>
              <w:pStyle w:val="TableParagraph"/>
              <w:ind w:left="167"/>
              <w:jc w:val="center"/>
              <w:rPr>
                <w:sz w:val="24"/>
              </w:rPr>
            </w:pPr>
            <w:r>
              <w:rPr>
                <w:sz w:val="24"/>
              </w:rPr>
              <w:t>V</w:t>
            </w:r>
          </w:p>
        </w:tc>
        <w:tc>
          <w:tcPr>
            <w:tcW w:w="1134" w:type="dxa"/>
            <w:tcBorders>
              <w:top w:val="single" w:sz="4" w:space="0" w:color="000000"/>
              <w:left w:val="single" w:sz="4" w:space="0" w:color="000000"/>
              <w:right w:val="single" w:sz="4" w:space="0" w:color="000000"/>
            </w:tcBorders>
          </w:tcPr>
          <w:p>
            <w:pPr>
              <w:pStyle w:val="TableParagraph"/>
              <w:rPr>
                <w:rFonts w:ascii="Times New Roman"/>
                <w:sz w:val="24"/>
              </w:rPr>
            </w:pPr>
          </w:p>
        </w:tc>
        <w:tc>
          <w:tcPr>
            <w:tcW w:w="2126" w:type="dxa"/>
            <w:tcBorders>
              <w:top w:val="single" w:sz="4" w:space="0" w:color="000000"/>
              <w:left w:val="single" w:sz="4" w:space="0" w:color="000000"/>
              <w:right w:val="single" w:sz="4" w:space="0" w:color="000000"/>
            </w:tcBorders>
          </w:tcPr>
          <w:p>
            <w:pPr>
              <w:pStyle w:val="TableParagraph"/>
              <w:rPr>
                <w:b/>
                <w:sz w:val="45"/>
              </w:rPr>
            </w:pPr>
          </w:p>
          <w:p>
            <w:pPr>
              <w:pStyle w:val="TableParagraph"/>
              <w:ind w:left="558"/>
              <w:rPr>
                <w:sz w:val="24"/>
              </w:rPr>
            </w:pPr>
            <w:r>
              <w:rPr>
                <w:color w:val="FF0000"/>
                <w:sz w:val="24"/>
              </w:rPr>
              <w:t>TMTC團隊</w:t>
            </w:r>
          </w:p>
        </w:tc>
        <w:tc>
          <w:tcPr>
            <w:tcW w:w="1700" w:type="dxa"/>
            <w:tcBorders>
              <w:top w:val="single" w:sz="4" w:space="0" w:color="000000"/>
              <w:left w:val="single" w:sz="4" w:space="0" w:color="000000"/>
              <w:right w:val="single" w:sz="4" w:space="0" w:color="000000"/>
            </w:tcBorders>
          </w:tcPr>
          <w:p>
            <w:pPr>
              <w:pStyle w:val="TableParagraph"/>
              <w:spacing w:before="4"/>
              <w:rPr>
                <w:b/>
                <w:sz w:val="36"/>
              </w:rPr>
            </w:pPr>
          </w:p>
          <w:p>
            <w:pPr>
              <w:pStyle w:val="TableParagraph"/>
              <w:spacing w:line="381" w:lineRule="exact" w:before="1"/>
              <w:ind w:left="154"/>
              <w:jc w:val="center"/>
              <w:rPr>
                <w:sz w:val="24"/>
              </w:rPr>
            </w:pPr>
            <w:r>
              <w:rPr>
                <w:sz w:val="24"/>
              </w:rPr>
              <w:t>V</w:t>
            </w:r>
          </w:p>
          <w:p>
            <w:pPr>
              <w:pStyle w:val="TableParagraph"/>
              <w:spacing w:line="381" w:lineRule="exact"/>
              <w:ind w:left="214" w:right="59"/>
              <w:jc w:val="center"/>
              <w:rPr>
                <w:sz w:val="24"/>
              </w:rPr>
            </w:pPr>
            <w:r>
              <w:rPr>
                <w:sz w:val="24"/>
              </w:rPr>
              <w:t>(DOTS-plus)</w:t>
            </w:r>
          </w:p>
        </w:tc>
        <w:tc>
          <w:tcPr>
            <w:tcW w:w="3261" w:type="dxa"/>
            <w:tcBorders>
              <w:top w:val="single" w:sz="4" w:space="0" w:color="000000"/>
              <w:left w:val="single" w:sz="4" w:space="0" w:color="000000"/>
            </w:tcBorders>
          </w:tcPr>
          <w:p>
            <w:pPr>
              <w:pStyle w:val="TableParagraph"/>
              <w:numPr>
                <w:ilvl w:val="0"/>
                <w:numId w:val="98"/>
              </w:numPr>
              <w:tabs>
                <w:tab w:pos="513" w:val="left" w:leader="none"/>
              </w:tabs>
              <w:spacing w:line="381" w:lineRule="exact" w:before="27" w:after="0"/>
              <w:ind w:left="512" w:right="-44" w:hanging="361"/>
              <w:jc w:val="left"/>
              <w:rPr>
                <w:sz w:val="24"/>
              </w:rPr>
            </w:pPr>
            <w:r>
              <w:rPr>
                <w:spacing w:val="3"/>
                <w:sz w:val="24"/>
              </w:rPr>
              <w:t>本 項 公 費 藥 ， 限 納 入</w:t>
            </w:r>
          </w:p>
          <w:p>
            <w:pPr>
              <w:pStyle w:val="TableParagraph"/>
              <w:spacing w:line="332" w:lineRule="exact"/>
              <w:ind w:left="512"/>
              <w:rPr>
                <w:sz w:val="24"/>
              </w:rPr>
            </w:pPr>
            <w:r>
              <w:rPr>
                <w:sz w:val="24"/>
              </w:rPr>
              <w:t>TMTC 計畫之個案申請。</w:t>
            </w:r>
          </w:p>
          <w:p>
            <w:pPr>
              <w:pStyle w:val="TableParagraph"/>
              <w:numPr>
                <w:ilvl w:val="0"/>
                <w:numId w:val="98"/>
              </w:numPr>
              <w:tabs>
                <w:tab w:pos="513" w:val="left" w:leader="none"/>
              </w:tabs>
              <w:spacing w:line="175" w:lineRule="auto" w:before="38" w:after="0"/>
              <w:ind w:left="512" w:right="-44" w:hanging="360"/>
              <w:jc w:val="both"/>
              <w:rPr>
                <w:sz w:val="24"/>
              </w:rPr>
            </w:pPr>
            <w:r>
              <w:rPr>
                <w:spacing w:val="-25"/>
                <w:sz w:val="24"/>
              </w:rPr>
              <w:t>申請方式：</w:t>
            </w:r>
            <w:r>
              <w:rPr>
                <w:color w:val="FF0000"/>
                <w:sz w:val="24"/>
              </w:rPr>
              <w:t>依團隊處方審查</w:t>
            </w:r>
            <w:r>
              <w:rPr>
                <w:color w:val="FF0000"/>
                <w:spacing w:val="-12"/>
                <w:sz w:val="24"/>
              </w:rPr>
              <w:t>機制通過後使用，於每年年</w:t>
            </w:r>
            <w:r>
              <w:rPr>
                <w:color w:val="FF0000"/>
                <w:spacing w:val="3"/>
                <w:sz w:val="24"/>
              </w:rPr>
              <w:t>底正式函文請款(如附件</w:t>
            </w:r>
            <w:r>
              <w:rPr>
                <w:color w:val="FF0000"/>
                <w:sz w:val="24"/>
              </w:rPr>
              <w:t>6- 3經費申請表)。</w:t>
            </w:r>
          </w:p>
        </w:tc>
      </w:tr>
    </w:tbl>
    <w:p>
      <w:pPr>
        <w:pStyle w:val="BodyText"/>
        <w:spacing w:before="14"/>
        <w:rPr>
          <w:b/>
          <w:sz w:val="11"/>
        </w:rPr>
      </w:pPr>
    </w:p>
    <w:p>
      <w:pPr>
        <w:pStyle w:val="BodyText"/>
        <w:spacing w:before="39"/>
        <w:ind w:left="687"/>
      </w:pPr>
      <w:r>
        <w:rPr>
          <w:color w:val="FF0000"/>
        </w:rPr>
        <w:t>補充說明：</w:t>
      </w:r>
    </w:p>
    <w:p>
      <w:pPr>
        <w:pStyle w:val="ListParagraph"/>
        <w:numPr>
          <w:ilvl w:val="1"/>
          <w:numId w:val="88"/>
        </w:numPr>
        <w:tabs>
          <w:tab w:pos="1113" w:val="left" w:leader="none"/>
          <w:tab w:pos="1114" w:val="left" w:leader="none"/>
        </w:tabs>
        <w:spacing w:line="225" w:lineRule="auto" w:before="22" w:after="0"/>
        <w:ind w:left="1113" w:right="696" w:hanging="426"/>
        <w:jc w:val="left"/>
        <w:rPr>
          <w:sz w:val="24"/>
        </w:rPr>
      </w:pPr>
      <w:r>
        <w:rPr>
          <w:color w:val="FF0000"/>
          <w:sz w:val="24"/>
        </w:rPr>
        <w:t>Fluoroquinolone、clofazimine、bedaquiline</w:t>
      </w:r>
      <w:r>
        <w:rPr>
          <w:color w:val="FF0000"/>
          <w:spacing w:val="5"/>
          <w:sz w:val="24"/>
        </w:rPr>
        <w:t> 及使用 </w:t>
      </w:r>
      <w:r>
        <w:rPr>
          <w:color w:val="FF0000"/>
          <w:sz w:val="24"/>
        </w:rPr>
        <w:t>BPaL 處方組合，用藥期間可能發生 QTc 間期延長、心律不整等嚴重不良</w:t>
      </w:r>
      <w:r>
        <w:rPr>
          <w:color w:val="FF0000"/>
          <w:spacing w:val="-1"/>
          <w:sz w:val="24"/>
        </w:rPr>
        <w:t>反應，針對持續使用前揭藥品之個案，請 </w:t>
      </w:r>
      <w:r>
        <w:rPr>
          <w:color w:val="FF0000"/>
          <w:sz w:val="24"/>
        </w:rPr>
        <w:t>TMTC 團隊</w:t>
      </w:r>
      <w:r>
        <w:rPr>
          <w:color w:val="FF0000"/>
          <w:sz w:val="24"/>
          <w:u w:val="single" w:color="FF0000"/>
        </w:rPr>
        <w:t>至少每個月追蹤一次心電圖直到停藥為止</w:t>
      </w:r>
      <w:r>
        <w:rPr>
          <w:color w:val="FF0000"/>
          <w:sz w:val="24"/>
        </w:rPr>
        <w:t>。</w:t>
      </w:r>
    </w:p>
    <w:p>
      <w:pPr>
        <w:pStyle w:val="ListParagraph"/>
        <w:numPr>
          <w:ilvl w:val="1"/>
          <w:numId w:val="88"/>
        </w:numPr>
        <w:tabs>
          <w:tab w:pos="1113" w:val="left" w:leader="none"/>
          <w:tab w:pos="1114" w:val="left" w:leader="none"/>
        </w:tabs>
        <w:spacing w:line="225" w:lineRule="auto" w:before="29" w:after="0"/>
        <w:ind w:left="1113" w:right="669" w:hanging="426"/>
        <w:jc w:val="left"/>
        <w:rPr>
          <w:sz w:val="24"/>
        </w:rPr>
      </w:pPr>
      <w:r>
        <w:rPr>
          <w:color w:val="FF0000"/>
          <w:sz w:val="24"/>
        </w:rPr>
        <w:t>Aminoglycoside</w:t>
      </w:r>
      <w:r>
        <w:rPr>
          <w:color w:val="FF0000"/>
          <w:spacing w:val="-3"/>
          <w:sz w:val="24"/>
        </w:rPr>
        <w:t> 類藥物可能造成耳毒性，用藥期間若未進行聽力評估，容易低估聽力損傷情形，甚至可能造成永久性聽力損傷。</w:t>
      </w:r>
      <w:r>
        <w:rPr>
          <w:color w:val="FF0000"/>
          <w:sz w:val="24"/>
        </w:rPr>
        <w:t>若個案持續使用該藥物，請</w:t>
      </w:r>
      <w:r>
        <w:rPr>
          <w:color w:val="FF0000"/>
          <w:sz w:val="24"/>
          <w:u w:val="single" w:color="FF0000"/>
        </w:rPr>
        <w:t>至少每個月追蹤一次聽力檢查直到停藥為止</w:t>
      </w:r>
      <w:r>
        <w:rPr>
          <w:color w:val="FF0000"/>
          <w:sz w:val="24"/>
        </w:rPr>
        <w:t>。</w:t>
      </w:r>
    </w:p>
    <w:p>
      <w:pPr>
        <w:pStyle w:val="ListParagraph"/>
        <w:numPr>
          <w:ilvl w:val="1"/>
          <w:numId w:val="88"/>
        </w:numPr>
        <w:tabs>
          <w:tab w:pos="1113" w:val="left" w:leader="none"/>
          <w:tab w:pos="1114" w:val="left" w:leader="none"/>
        </w:tabs>
        <w:spacing w:line="428" w:lineRule="exact" w:before="11" w:after="0"/>
        <w:ind w:left="1113" w:right="0" w:hanging="427"/>
        <w:jc w:val="left"/>
        <w:rPr>
          <w:sz w:val="24"/>
        </w:rPr>
      </w:pPr>
      <w:r>
        <w:rPr>
          <w:color w:val="FF0000"/>
          <w:spacing w:val="14"/>
          <w:sz w:val="24"/>
        </w:rPr>
        <w:t>為保障抗藥性結核病個案用藥之有效性及安全性，</w:t>
      </w:r>
      <w:r>
        <w:rPr>
          <w:color w:val="FF0000"/>
          <w:spacing w:val="2"/>
          <w:sz w:val="24"/>
        </w:rPr>
        <w:t>TMTC</w:t>
      </w:r>
      <w:r>
        <w:rPr>
          <w:color w:val="FF0000"/>
          <w:spacing w:val="14"/>
          <w:sz w:val="24"/>
        </w:rPr>
        <w:t> 團隊應掌握</w:t>
      </w:r>
      <w:r>
        <w:rPr>
          <w:color w:val="FF0000"/>
          <w:spacing w:val="15"/>
          <w:sz w:val="24"/>
          <w:u w:val="single" w:color="FF0000"/>
        </w:rPr>
        <w:t>結核病個案之抗結核藥物血中濃度</w:t>
      </w:r>
      <w:r>
        <w:rPr>
          <w:color w:val="FF0000"/>
          <w:spacing w:val="15"/>
          <w:sz w:val="24"/>
        </w:rPr>
        <w:t>，目前檢測藥品有</w:t>
      </w:r>
    </w:p>
    <w:p>
      <w:pPr>
        <w:pStyle w:val="BodyText"/>
        <w:spacing w:line="428" w:lineRule="exact"/>
        <w:ind w:left="1113"/>
      </w:pPr>
      <w:r>
        <w:rPr>
          <w:color w:val="FF0000"/>
        </w:rPr>
        <w:t>kanamycin、levofloxacin、moxifloxacin、cycloserine、linezolid 等品項。</w:t>
      </w:r>
    </w:p>
    <w:p>
      <w:pPr>
        <w:pStyle w:val="ListParagraph"/>
        <w:numPr>
          <w:ilvl w:val="1"/>
          <w:numId w:val="88"/>
        </w:numPr>
        <w:tabs>
          <w:tab w:pos="1114" w:val="left" w:leader="none"/>
        </w:tabs>
        <w:spacing w:line="225" w:lineRule="auto" w:before="22" w:after="0"/>
        <w:ind w:left="1113" w:right="636" w:hanging="426"/>
        <w:jc w:val="both"/>
        <w:rPr>
          <w:sz w:val="24"/>
        </w:rPr>
      </w:pPr>
      <w:r>
        <w:rPr>
          <w:color w:val="FF0000"/>
          <w:spacing w:val="-2"/>
          <w:sz w:val="24"/>
        </w:rPr>
        <w:t>為落實藥物安全主動監測，請務必依用藥種類</w:t>
      </w:r>
      <w:r>
        <w:rPr>
          <w:color w:val="FF0000"/>
          <w:spacing w:val="-1"/>
          <w:sz w:val="24"/>
          <w:u w:val="single" w:color="FF0000"/>
        </w:rPr>
        <w:t>量測用藥前基礎值及定期執行用藥期間之血液生化檢驗</w:t>
      </w:r>
      <w:r>
        <w:rPr>
          <w:color w:val="FF0000"/>
          <w:spacing w:val="-4"/>
          <w:sz w:val="24"/>
        </w:rPr>
        <w:t>、每月心電圖或聽力檢查等， </w:t>
      </w:r>
      <w:r>
        <w:rPr>
          <w:color w:val="FF0000"/>
          <w:spacing w:val="-3"/>
          <w:sz w:val="24"/>
        </w:rPr>
        <w:t>以及抗結核藥物血中濃度檢測，並將資料</w:t>
      </w:r>
      <w:r>
        <w:rPr>
          <w:color w:val="FF0000"/>
          <w:spacing w:val="-2"/>
          <w:sz w:val="24"/>
          <w:u w:val="single" w:color="FF0000"/>
        </w:rPr>
        <w:t>登打至結核病追蹤管理系統</w:t>
      </w:r>
      <w:r>
        <w:rPr>
          <w:color w:val="FF0000"/>
          <w:spacing w:val="-7"/>
          <w:sz w:val="24"/>
        </w:rPr>
        <w:t>，如未執行者，依契約書規定每案補助經費核減 </w:t>
      </w:r>
      <w:r>
        <w:rPr>
          <w:color w:val="FF0000"/>
          <w:sz w:val="24"/>
        </w:rPr>
        <w:t>1 萬元或不予專案補助經費。</w:t>
      </w:r>
    </w:p>
    <w:p>
      <w:pPr>
        <w:spacing w:after="0" w:line="225" w:lineRule="auto"/>
        <w:jc w:val="both"/>
        <w:rPr>
          <w:sz w:val="24"/>
        </w:rPr>
        <w:sectPr>
          <w:pgSz w:w="17190" w:h="12250" w:orient="landscape"/>
          <w:pgMar w:header="0" w:footer="748" w:top="1140" w:bottom="940" w:left="900" w:right="860"/>
        </w:sectPr>
      </w:pPr>
    </w:p>
    <w:p>
      <w:pPr>
        <w:pStyle w:val="BodyText"/>
        <w:spacing w:before="15"/>
        <w:rPr>
          <w:sz w:val="23"/>
        </w:rPr>
      </w:pPr>
    </w:p>
    <w:p>
      <w:pPr>
        <w:tabs>
          <w:tab w:pos="5709" w:val="left" w:leader="none"/>
        </w:tabs>
        <w:spacing w:before="34"/>
        <w:ind w:left="800" w:right="0" w:firstLine="0"/>
        <w:jc w:val="left"/>
        <w:rPr>
          <w:b/>
          <w:sz w:val="26"/>
        </w:rPr>
      </w:pPr>
      <w:bookmarkStart w:name="附件6-1                                 衛生" w:id="81"/>
      <w:bookmarkEnd w:id="81"/>
      <w:r>
        <w:rPr/>
      </w:r>
      <w:r>
        <w:rPr>
          <w:b/>
          <w:sz w:val="24"/>
        </w:rPr>
        <w:t>附件</w:t>
      </w:r>
      <w:r>
        <w:rPr>
          <w:b/>
          <w:spacing w:val="-1"/>
          <w:sz w:val="24"/>
        </w:rPr>
        <w:t> </w:t>
      </w:r>
      <w:r>
        <w:rPr>
          <w:b/>
          <w:sz w:val="24"/>
        </w:rPr>
        <w:t>6-1</w:t>
        <w:tab/>
      </w:r>
      <w:r>
        <w:rPr>
          <w:b/>
          <w:sz w:val="26"/>
        </w:rPr>
        <w:t>衛生福利部疾病管制署申請公費抗結核藥物流程</w:t>
      </w:r>
    </w:p>
    <w:p>
      <w:pPr>
        <w:pStyle w:val="BodyText"/>
        <w:spacing w:before="3"/>
        <w:rPr>
          <w:b/>
          <w:sz w:val="13"/>
        </w:rPr>
      </w:pPr>
    </w:p>
    <w:p>
      <w:pPr>
        <w:spacing w:line="163" w:lineRule="auto" w:before="127"/>
        <w:ind w:left="854" w:right="12819" w:firstLine="0"/>
        <w:jc w:val="both"/>
        <w:rPr>
          <w:sz w:val="16"/>
        </w:rPr>
      </w:pPr>
      <w:r>
        <w:rPr/>
        <w:pict>
          <v:shape style="position:absolute;margin-left:87.949997pt;margin-top:47.823612pt;width:89.8pt;height:35.25pt;mso-position-horizontal-relative:page;mso-position-vertical-relative:paragraph;z-index:-251537408;mso-wrap-distance-left:0;mso-wrap-distance-right:0" type="#_x0000_t202" filled="true" fillcolor="#ffffff" stroked="false">
            <v:textbox inset="0,0,0,0">
              <w:txbxContent>
                <w:p>
                  <w:pPr>
                    <w:spacing w:line="108" w:lineRule="auto" w:before="0"/>
                    <w:ind w:left="-5" w:right="0" w:firstLine="0"/>
                    <w:jc w:val="left"/>
                    <w:rPr>
                      <w:sz w:val="16"/>
                    </w:rPr>
                  </w:pPr>
                  <w:r>
                    <w:rPr>
                      <w:color w:val="FF0000"/>
                      <w:spacing w:val="-150"/>
                      <w:w w:val="95"/>
                      <w:sz w:val="16"/>
                    </w:rPr>
                    <w:t>上</w:t>
                  </w:r>
                  <w:r>
                    <w:rPr>
                      <w:spacing w:val="-9"/>
                      <w:w w:val="95"/>
                      <w:position w:val="-5"/>
                      <w:sz w:val="16"/>
                    </w:rPr>
                    <w:t>統</w:t>
                  </w:r>
                  <w:r>
                    <w:rPr>
                      <w:color w:val="FF0000"/>
                      <w:spacing w:val="-152"/>
                      <w:w w:val="95"/>
                      <w:sz w:val="16"/>
                    </w:rPr>
                    <w:t>傳</w:t>
                  </w:r>
                  <w:r>
                    <w:rPr>
                      <w:spacing w:val="-8"/>
                      <w:w w:val="95"/>
                      <w:position w:val="-5"/>
                      <w:sz w:val="16"/>
                    </w:rPr>
                    <w:t>（</w:t>
                  </w:r>
                  <w:r>
                    <w:rPr>
                      <w:color w:val="FF0000"/>
                      <w:spacing w:val="-154"/>
                      <w:w w:val="95"/>
                      <w:sz w:val="16"/>
                    </w:rPr>
                    <w:t>系</w:t>
                  </w:r>
                  <w:r>
                    <w:rPr>
                      <w:spacing w:val="-5"/>
                      <w:w w:val="95"/>
                      <w:position w:val="-5"/>
                      <w:sz w:val="16"/>
                    </w:rPr>
                    <w:t>如</w:t>
                  </w:r>
                  <w:r>
                    <w:rPr>
                      <w:color w:val="FF0000"/>
                      <w:spacing w:val="-150"/>
                      <w:w w:val="95"/>
                      <w:sz w:val="16"/>
                    </w:rPr>
                    <w:t>統</w:t>
                  </w:r>
                  <w:r>
                    <w:rPr>
                      <w:spacing w:val="-36"/>
                      <w:w w:val="95"/>
                      <w:position w:val="-5"/>
                      <w:sz w:val="16"/>
                    </w:rPr>
                    <w:t>符</w:t>
                  </w:r>
                  <w:r>
                    <w:rPr>
                      <w:color w:val="FF0000"/>
                      <w:spacing w:val="-121"/>
                      <w:w w:val="95"/>
                      <w:sz w:val="16"/>
                    </w:rPr>
                    <w:t>（</w:t>
                  </w:r>
                  <w:r>
                    <w:rPr>
                      <w:spacing w:val="-38"/>
                      <w:w w:val="95"/>
                      <w:position w:val="-5"/>
                      <w:sz w:val="16"/>
                    </w:rPr>
                    <w:t>合</w:t>
                  </w:r>
                  <w:r>
                    <w:rPr>
                      <w:color w:val="FF0000"/>
                      <w:spacing w:val="-123"/>
                      <w:w w:val="95"/>
                      <w:sz w:val="16"/>
                    </w:rPr>
                    <w:t>如</w:t>
                  </w:r>
                  <w:r>
                    <w:rPr>
                      <w:spacing w:val="-36"/>
                      <w:w w:val="95"/>
                      <w:position w:val="-5"/>
                      <w:sz w:val="16"/>
                    </w:rPr>
                    <w:t>快</w:t>
                  </w:r>
                  <w:r>
                    <w:rPr>
                      <w:color w:val="FF0000"/>
                      <w:spacing w:val="-124"/>
                      <w:w w:val="95"/>
                      <w:sz w:val="16"/>
                    </w:rPr>
                    <w:t>符</w:t>
                  </w:r>
                  <w:r>
                    <w:rPr>
                      <w:spacing w:val="-34"/>
                      <w:w w:val="95"/>
                      <w:position w:val="-5"/>
                      <w:sz w:val="16"/>
                    </w:rPr>
                    <w:t>速</w:t>
                  </w:r>
                  <w:r>
                    <w:rPr>
                      <w:color w:val="FF0000"/>
                      <w:spacing w:val="-126"/>
                      <w:w w:val="95"/>
                      <w:sz w:val="16"/>
                    </w:rPr>
                    <w:t>合</w:t>
                  </w:r>
                  <w:r>
                    <w:rPr>
                      <w:spacing w:val="-33"/>
                      <w:w w:val="95"/>
                      <w:position w:val="-5"/>
                      <w:sz w:val="16"/>
                    </w:rPr>
                    <w:t>分</w:t>
                  </w:r>
                  <w:r>
                    <w:rPr>
                      <w:color w:val="FF0000"/>
                      <w:spacing w:val="-128"/>
                      <w:w w:val="95"/>
                      <w:sz w:val="16"/>
                    </w:rPr>
                    <w:t>快</w:t>
                  </w:r>
                  <w:r>
                    <w:rPr>
                      <w:spacing w:val="-32"/>
                      <w:w w:val="95"/>
                      <w:position w:val="-5"/>
                      <w:sz w:val="16"/>
                    </w:rPr>
                    <w:t>子</w:t>
                  </w:r>
                  <w:r>
                    <w:rPr>
                      <w:color w:val="FF0000"/>
                      <w:spacing w:val="-129"/>
                      <w:w w:val="95"/>
                      <w:sz w:val="16"/>
                    </w:rPr>
                    <w:t>速</w:t>
                  </w:r>
                  <w:r>
                    <w:rPr>
                      <w:spacing w:val="-30"/>
                      <w:w w:val="95"/>
                      <w:position w:val="-5"/>
                      <w:sz w:val="16"/>
                    </w:rPr>
                    <w:t>檢</w:t>
                  </w:r>
                  <w:r>
                    <w:rPr>
                      <w:color w:val="FF0000"/>
                      <w:spacing w:val="-130"/>
                      <w:w w:val="95"/>
                      <w:sz w:val="16"/>
                    </w:rPr>
                    <w:t>分</w:t>
                  </w:r>
                  <w:r>
                    <w:rPr>
                      <w:w w:val="95"/>
                      <w:position w:val="-5"/>
                      <w:sz w:val="16"/>
                    </w:rPr>
                    <w:t>測</w:t>
                  </w:r>
                </w:p>
                <w:p>
                  <w:pPr>
                    <w:spacing w:line="110" w:lineRule="auto" w:before="0"/>
                    <w:ind w:left="-5" w:right="0" w:firstLine="0"/>
                    <w:jc w:val="left"/>
                    <w:rPr>
                      <w:sz w:val="16"/>
                    </w:rPr>
                  </w:pPr>
                  <w:r>
                    <w:rPr>
                      <w:color w:val="FF0000"/>
                      <w:spacing w:val="-150"/>
                      <w:w w:val="95"/>
                      <w:sz w:val="16"/>
                    </w:rPr>
                    <w:t>子</w:t>
                  </w:r>
                  <w:r>
                    <w:rPr>
                      <w:spacing w:val="-9"/>
                      <w:w w:val="95"/>
                      <w:position w:val="-6"/>
                      <w:sz w:val="16"/>
                    </w:rPr>
                    <w:t>對</w:t>
                  </w:r>
                  <w:r>
                    <w:rPr>
                      <w:color w:val="FF0000"/>
                      <w:spacing w:val="-152"/>
                      <w:w w:val="95"/>
                      <w:sz w:val="16"/>
                    </w:rPr>
                    <w:t>檢</w:t>
                  </w:r>
                  <w:r>
                    <w:rPr>
                      <w:spacing w:val="-8"/>
                      <w:w w:val="95"/>
                      <w:position w:val="-6"/>
                      <w:sz w:val="16"/>
                    </w:rPr>
                    <w:t>象</w:t>
                  </w:r>
                  <w:r>
                    <w:rPr>
                      <w:color w:val="FF0000"/>
                      <w:spacing w:val="-153"/>
                      <w:w w:val="95"/>
                      <w:sz w:val="16"/>
                    </w:rPr>
                    <w:t>測</w:t>
                  </w:r>
                  <w:r>
                    <w:rPr>
                      <w:spacing w:val="-6"/>
                      <w:w w:val="95"/>
                      <w:position w:val="-6"/>
                      <w:sz w:val="16"/>
                    </w:rPr>
                    <w:t>者</w:t>
                  </w:r>
                  <w:r>
                    <w:rPr>
                      <w:color w:val="FF0000"/>
                      <w:spacing w:val="-154"/>
                      <w:w w:val="95"/>
                      <w:sz w:val="16"/>
                    </w:rPr>
                    <w:t>對</w:t>
                  </w:r>
                  <w:r>
                    <w:rPr>
                      <w:spacing w:val="-4"/>
                      <w:w w:val="95"/>
                      <w:position w:val="-6"/>
                      <w:sz w:val="16"/>
                    </w:rPr>
                    <w:t>，</w:t>
                  </w:r>
                  <w:r>
                    <w:rPr>
                      <w:color w:val="FF0000"/>
                      <w:spacing w:val="-156"/>
                      <w:w w:val="95"/>
                      <w:sz w:val="16"/>
                    </w:rPr>
                    <w:t>象</w:t>
                  </w:r>
                  <w:r>
                    <w:rPr>
                      <w:spacing w:val="-3"/>
                      <w:w w:val="95"/>
                      <w:position w:val="-6"/>
                      <w:sz w:val="16"/>
                    </w:rPr>
                    <w:t>請</w:t>
                  </w:r>
                  <w:r>
                    <w:rPr>
                      <w:color w:val="FF0000"/>
                      <w:spacing w:val="-158"/>
                      <w:w w:val="95"/>
                      <w:sz w:val="16"/>
                    </w:rPr>
                    <w:t>者</w:t>
                  </w:r>
                  <w:r>
                    <w:rPr>
                      <w:spacing w:val="-15"/>
                      <w:w w:val="95"/>
                      <w:position w:val="-6"/>
                      <w:sz w:val="16"/>
                    </w:rPr>
                    <w:t>同</w:t>
                  </w:r>
                  <w:r>
                    <w:rPr>
                      <w:color w:val="FF0000"/>
                      <w:spacing w:val="-146"/>
                      <w:w w:val="95"/>
                      <w:sz w:val="16"/>
                    </w:rPr>
                    <w:t>，</w:t>
                  </w:r>
                  <w:r>
                    <w:rPr>
                      <w:spacing w:val="-27"/>
                      <w:w w:val="95"/>
                      <w:position w:val="-6"/>
                      <w:sz w:val="16"/>
                    </w:rPr>
                    <w:t>時</w:t>
                  </w:r>
                  <w:r>
                    <w:rPr>
                      <w:color w:val="FF0000"/>
                      <w:spacing w:val="-134"/>
                      <w:w w:val="95"/>
                      <w:sz w:val="16"/>
                    </w:rPr>
                    <w:t>請</w:t>
                  </w:r>
                  <w:r>
                    <w:rPr>
                      <w:spacing w:val="-26"/>
                      <w:w w:val="95"/>
                      <w:position w:val="-6"/>
                      <w:sz w:val="16"/>
                    </w:rPr>
                    <w:t>檢</w:t>
                  </w:r>
                  <w:r>
                    <w:rPr>
                      <w:color w:val="FF0000"/>
                      <w:spacing w:val="-135"/>
                      <w:w w:val="95"/>
                      <w:sz w:val="16"/>
                    </w:rPr>
                    <w:t>同</w:t>
                  </w:r>
                  <w:r>
                    <w:rPr>
                      <w:spacing w:val="-25"/>
                      <w:w w:val="95"/>
                      <w:position w:val="-6"/>
                      <w:sz w:val="16"/>
                    </w:rPr>
                    <w:t>附</w:t>
                  </w:r>
                  <w:r>
                    <w:rPr>
                      <w:color w:val="FF0000"/>
                      <w:spacing w:val="-136"/>
                      <w:w w:val="95"/>
                      <w:sz w:val="16"/>
                    </w:rPr>
                    <w:t>時</w:t>
                  </w:r>
                  <w:r>
                    <w:rPr>
                      <w:spacing w:val="-23"/>
                      <w:w w:val="95"/>
                      <w:position w:val="-6"/>
                      <w:sz w:val="16"/>
                    </w:rPr>
                    <w:t>快</w:t>
                  </w:r>
                  <w:r>
                    <w:rPr>
                      <w:color w:val="FF0000"/>
                      <w:spacing w:val="-137"/>
                      <w:w w:val="95"/>
                      <w:sz w:val="16"/>
                    </w:rPr>
                    <w:t>檢</w:t>
                  </w:r>
                  <w:r>
                    <w:rPr>
                      <w:w w:val="95"/>
                      <w:position w:val="-6"/>
                      <w:sz w:val="16"/>
                    </w:rPr>
                    <w:t>速</w:t>
                  </w:r>
                </w:p>
                <w:p>
                  <w:pPr>
                    <w:spacing w:line="148" w:lineRule="auto" w:before="0"/>
                    <w:ind w:left="-5" w:right="0" w:firstLine="0"/>
                    <w:jc w:val="left"/>
                    <w:rPr>
                      <w:sz w:val="16"/>
                    </w:rPr>
                  </w:pPr>
                  <w:r>
                    <w:rPr>
                      <w:color w:val="FF0000"/>
                      <w:spacing w:val="-150"/>
                      <w:sz w:val="16"/>
                    </w:rPr>
                    <w:t>附</w:t>
                  </w:r>
                  <w:r>
                    <w:rPr>
                      <w:spacing w:val="-9"/>
                      <w:position w:val="-7"/>
                      <w:sz w:val="16"/>
                    </w:rPr>
                    <w:t>分</w:t>
                  </w:r>
                  <w:r>
                    <w:rPr>
                      <w:color w:val="FF0000"/>
                      <w:spacing w:val="-152"/>
                      <w:sz w:val="16"/>
                    </w:rPr>
                    <w:t>快</w:t>
                  </w:r>
                  <w:r>
                    <w:rPr>
                      <w:spacing w:val="-8"/>
                      <w:position w:val="-7"/>
                      <w:sz w:val="16"/>
                    </w:rPr>
                    <w:t>子</w:t>
                  </w:r>
                  <w:r>
                    <w:rPr>
                      <w:color w:val="FF0000"/>
                      <w:spacing w:val="-153"/>
                      <w:sz w:val="16"/>
                    </w:rPr>
                    <w:t>速</w:t>
                  </w:r>
                  <w:r>
                    <w:rPr>
                      <w:spacing w:val="-6"/>
                      <w:position w:val="-7"/>
                      <w:sz w:val="16"/>
                    </w:rPr>
                    <w:t>檢</w:t>
                  </w:r>
                  <w:r>
                    <w:rPr>
                      <w:color w:val="FF0000"/>
                      <w:spacing w:val="-154"/>
                      <w:sz w:val="16"/>
                    </w:rPr>
                    <w:t>分</w:t>
                  </w:r>
                  <w:r>
                    <w:rPr>
                      <w:spacing w:val="-4"/>
                      <w:position w:val="-7"/>
                      <w:sz w:val="16"/>
                    </w:rPr>
                    <w:t>測</w:t>
                  </w:r>
                  <w:r>
                    <w:rPr>
                      <w:color w:val="FF0000"/>
                      <w:spacing w:val="-156"/>
                      <w:sz w:val="16"/>
                    </w:rPr>
                    <w:t>子</w:t>
                  </w:r>
                  <w:r>
                    <w:rPr>
                      <w:spacing w:val="-3"/>
                      <w:position w:val="-7"/>
                      <w:sz w:val="16"/>
                    </w:rPr>
                    <w:t>結</w:t>
                  </w:r>
                  <w:r>
                    <w:rPr>
                      <w:color w:val="FF0000"/>
                      <w:spacing w:val="-158"/>
                      <w:sz w:val="16"/>
                    </w:rPr>
                    <w:t>檢</w:t>
                  </w:r>
                  <w:r>
                    <w:rPr>
                      <w:position w:val="-7"/>
                      <w:sz w:val="16"/>
                    </w:rPr>
                    <w:t>果</w:t>
                  </w:r>
                  <w:r>
                    <w:rPr>
                      <w:color w:val="FF0000"/>
                      <w:spacing w:val="-159"/>
                      <w:sz w:val="16"/>
                    </w:rPr>
                    <w:t>測</w:t>
                  </w:r>
                  <w:r>
                    <w:rPr>
                      <w:position w:val="-7"/>
                      <w:sz w:val="16"/>
                    </w:rPr>
                    <w:t>）</w:t>
                  </w:r>
                  <w:r>
                    <w:rPr>
                      <w:color w:val="FF0000"/>
                      <w:sz w:val="16"/>
                    </w:rPr>
                    <w:t>結果）</w:t>
                  </w:r>
                </w:p>
              </w:txbxContent>
            </v:textbox>
            <v:fill type="solid"/>
            <w10:wrap type="topAndBottom"/>
          </v:shape>
        </w:pict>
      </w:r>
      <w:r>
        <w:rPr/>
        <w:pict>
          <v:group style="position:absolute;margin-left:71.5pt;margin-top:-6.099861pt;width:718.9pt;height:450.8pt;mso-position-horizontal-relative:page;mso-position-vertical-relative:paragraph;z-index:-268727296" coordorigin="1430,-122" coordsize="14378,9016" alt="C:\Users\PC\Desktop\第6章附件6-1.jpg">
            <v:shape style="position:absolute;left:1430;top:-122;width:14378;height:9016" type="#_x0000_t75" alt="C:\Users\PC\Desktop\第6章附件6-1.jpg" stroked="false">
              <v:imagedata r:id="rId40" o:title=""/>
            </v:shape>
            <v:shape style="position:absolute;left:1600;top:-58;width:2040;height:1848" coordorigin="1600,-58" coordsize="2040,1848" path="m3332,-58l1908,-58,1837,-50,1773,-27,1715,10,1668,57,1631,115,1608,179,1600,250,1600,1482,1608,1553,1631,1617,1668,1675,1715,1722,1773,1759,1837,1782,1908,1790,3332,1790,3403,1782,3467,1759,3525,1722,3572,1675,3609,1617,3632,1553,3640,1482,3640,250,3632,179,3609,115,3572,57,3525,10,3467,-27,3403,-50,3332,-58xe" filled="true" fillcolor="#ffffff" stroked="false">
              <v:path arrowok="t"/>
              <v:fill type="solid"/>
            </v:shape>
            <v:shape style="position:absolute;left:1600;top:-58;width:2040;height:1848" coordorigin="1600,-58" coordsize="2040,1848" path="m1600,250l1608,179,1631,115,1668,57,1715,10,1773,-27,1837,-50,1908,-58,3332,-58,3403,-50,3467,-27,3525,10,3572,57,3609,115,3632,179,3640,250,3640,1482,3632,1553,3609,1617,3572,1675,3525,1722,3467,1759,3403,1782,3332,1790,1908,1790,1837,1782,1773,1759,1715,1722,1668,1675,1631,1617,1608,1553,1600,1482,1600,250xe" filled="false" stroked="true" strokeweight=".75pt" strokecolor="#000000">
              <v:path arrowok="t"/>
              <v:stroke dashstyle="solid"/>
            </v:shape>
            <w10:wrap type="none"/>
          </v:group>
        </w:pict>
      </w:r>
      <w:r>
        <w:rPr>
          <w:color w:val="FF0000"/>
          <w:spacing w:val="12"/>
          <w:sz w:val="16"/>
        </w:rPr>
        <w:t>醫院於結核病追蹤管理系統「結核用藥申請管</w:t>
      </w:r>
      <w:r>
        <w:rPr>
          <w:color w:val="FF0000"/>
          <w:spacing w:val="-4"/>
          <w:sz w:val="16"/>
        </w:rPr>
        <w:t>理」項下填寫申請單，並</w:t>
      </w:r>
      <w:r>
        <w:rPr>
          <w:color w:val="FF0000"/>
          <w:spacing w:val="12"/>
          <w:sz w:val="16"/>
        </w:rPr>
        <w:t>檢附相關資料之掃描檔</w:t>
      </w:r>
    </w:p>
    <w:p>
      <w:pPr>
        <w:pStyle w:val="BodyText"/>
        <w:rPr>
          <w:sz w:val="20"/>
        </w:rPr>
      </w:pPr>
    </w:p>
    <w:p>
      <w:pPr>
        <w:pStyle w:val="BodyText"/>
        <w:spacing w:before="10"/>
        <w:rPr>
          <w:sz w:val="27"/>
        </w:rPr>
      </w:pPr>
    </w:p>
    <w:p>
      <w:pPr>
        <w:spacing w:before="58"/>
        <w:ind w:left="5638" w:right="4854" w:firstLine="0"/>
        <w:jc w:val="center"/>
        <w:rPr>
          <w:sz w:val="17"/>
        </w:rPr>
      </w:pPr>
      <w:r>
        <w:rPr>
          <w:sz w:val="17"/>
          <w:shd w:fill="FFFFFF" w:color="auto" w:val="clear"/>
        </w:rPr>
        <w:t>建議送快速分子檢測</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pPr>
    </w:p>
    <w:p>
      <w:pPr>
        <w:spacing w:before="58"/>
        <w:ind w:left="0" w:right="761" w:firstLine="0"/>
        <w:jc w:val="right"/>
        <w:rPr>
          <w:sz w:val="17"/>
        </w:rPr>
      </w:pPr>
      <w:r>
        <w:rPr>
          <w:color w:val="FF0000"/>
          <w:w w:val="90"/>
          <w:sz w:val="17"/>
          <w:shd w:fill="FFFFFF" w:color="auto" w:val="clear"/>
        </w:rPr>
        <w:t>e-mail：</w:t>
      </w:r>
      <w:hyperlink r:id="rId41">
        <w:r>
          <w:rPr>
            <w:color w:val="FF0000"/>
            <w:w w:val="90"/>
            <w:sz w:val="17"/>
            <w:shd w:fill="FFFFFF" w:color="auto" w:val="clear"/>
          </w:rPr>
          <w:t>pharmacy@mail.tainantb.gov.tw</w:t>
        </w:r>
        <w:r>
          <w:rPr>
            <w:color w:val="FF0000"/>
            <w:sz w:val="17"/>
            <w:shd w:fill="FFFFFF" w:color="auto" w:val="clear"/>
          </w:rPr>
          <w:t> </w:t>
        </w:r>
      </w:hyperlink>
    </w:p>
    <w:p>
      <w:pPr>
        <w:spacing w:after="0"/>
        <w:jc w:val="right"/>
        <w:rPr>
          <w:sz w:val="17"/>
        </w:rPr>
        <w:sectPr>
          <w:pgSz w:w="17190" w:h="12250" w:orient="landscape"/>
          <w:pgMar w:header="0" w:footer="748" w:top="1140" w:bottom="1020" w:left="900" w:right="860"/>
        </w:sectPr>
      </w:pPr>
    </w:p>
    <w:p>
      <w:pPr>
        <w:pStyle w:val="BodyText"/>
        <w:spacing w:before="5"/>
        <w:rPr>
          <w:sz w:val="21"/>
        </w:rPr>
      </w:pPr>
    </w:p>
    <w:p>
      <w:pPr>
        <w:pStyle w:val="BodyText"/>
        <w:spacing w:line="429" w:lineRule="exact" w:before="39"/>
        <w:ind w:left="798"/>
      </w:pPr>
      <w:r>
        <w:rPr/>
        <w:t>備註：</w:t>
      </w:r>
    </w:p>
    <w:p>
      <w:pPr>
        <w:pStyle w:val="BodyText"/>
        <w:spacing w:line="228" w:lineRule="auto" w:before="4"/>
        <w:ind w:left="1285" w:right="980" w:hanging="488"/>
      </w:pPr>
      <w:r>
        <w:rPr/>
        <w:t>一、申請時，請依下列順序擺放：公費藥申請單→個案病歷摘要→個案治療紀錄卡，所有附件轉成一份 PDF 檔，以電子郵件或傳真至醫院所屬各區管制中心。</w:t>
      </w:r>
    </w:p>
    <w:p>
      <w:pPr>
        <w:pStyle w:val="BodyText"/>
        <w:spacing w:line="228" w:lineRule="auto" w:before="1"/>
        <w:ind w:left="797" w:right="1931"/>
      </w:pPr>
      <w:r>
        <w:rPr/>
        <w:t>二、醫院所屬各區管制中心受理申請案件後，如非該管個案，受理區管中心須將申請審核結果副知個案所屬區管中心。三、歷次 CXR 請貼在個案病歷摘要後，依檢查時間舊到新擺放，並請加註檢查日期。</w:t>
      </w:r>
    </w:p>
    <w:p>
      <w:pPr>
        <w:pStyle w:val="BodyText"/>
        <w:spacing w:line="228" w:lineRule="auto" w:before="2"/>
        <w:ind w:left="797" w:right="3233"/>
      </w:pPr>
      <w:r>
        <w:rPr/>
        <w:t>四、HIV(+)個案，檢附 CD4 及 CBC/DC(complete blood count/differential count)於個案治療紀錄卡。五、提出申請至收到藥物之作業時間約一週，若再次申請，請預留作業時間，以免個案停藥。</w:t>
      </w:r>
    </w:p>
    <w:p>
      <w:pPr>
        <w:pStyle w:val="BodyText"/>
        <w:spacing w:line="228" w:lineRule="auto" w:before="1"/>
        <w:ind w:left="798" w:right="5045"/>
      </w:pPr>
      <w:r>
        <w:rPr/>
        <w:t>六、疾病管制署抗結核公費藥僅供應 TMTC 團隊醫院及加入都治計畫之結核病病人使用。七、各區管制中心聯繫窗口名單如下：</w:t>
      </w:r>
    </w:p>
    <w:p>
      <w:pPr>
        <w:pStyle w:val="BodyText"/>
        <w:spacing w:before="16"/>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1276"/>
        <w:gridCol w:w="2650"/>
        <w:gridCol w:w="2420"/>
        <w:gridCol w:w="3403"/>
      </w:tblGrid>
      <w:tr>
        <w:trPr>
          <w:trHeight w:val="472" w:hRule="atLeast"/>
        </w:trPr>
        <w:tc>
          <w:tcPr>
            <w:tcW w:w="1986" w:type="dxa"/>
          </w:tcPr>
          <w:p>
            <w:pPr>
              <w:pStyle w:val="TableParagraph"/>
              <w:spacing w:line="414" w:lineRule="exact" w:before="38"/>
              <w:ind w:left="260"/>
              <w:rPr>
                <w:sz w:val="24"/>
              </w:rPr>
            </w:pPr>
            <w:r>
              <w:rPr>
                <w:color w:val="FF0000"/>
                <w:sz w:val="24"/>
              </w:rPr>
              <w:t>各區管制中心</w:t>
            </w:r>
          </w:p>
        </w:tc>
        <w:tc>
          <w:tcPr>
            <w:tcW w:w="1276" w:type="dxa"/>
          </w:tcPr>
          <w:p>
            <w:pPr>
              <w:pStyle w:val="TableParagraph"/>
              <w:spacing w:line="414" w:lineRule="exact" w:before="38"/>
              <w:ind w:left="23" w:right="15"/>
              <w:jc w:val="center"/>
              <w:rPr>
                <w:sz w:val="24"/>
              </w:rPr>
            </w:pPr>
            <w:r>
              <w:rPr>
                <w:color w:val="FF0000"/>
                <w:sz w:val="24"/>
              </w:rPr>
              <w:t>姓名</w:t>
            </w:r>
          </w:p>
        </w:tc>
        <w:tc>
          <w:tcPr>
            <w:tcW w:w="2650" w:type="dxa"/>
          </w:tcPr>
          <w:p>
            <w:pPr>
              <w:pStyle w:val="TableParagraph"/>
              <w:spacing w:line="414" w:lineRule="exact" w:before="38"/>
              <w:ind w:left="1063" w:right="1057"/>
              <w:jc w:val="center"/>
              <w:rPr>
                <w:sz w:val="24"/>
              </w:rPr>
            </w:pPr>
            <w:r>
              <w:rPr>
                <w:color w:val="FF0000"/>
                <w:sz w:val="24"/>
              </w:rPr>
              <w:t>電話</w:t>
            </w:r>
          </w:p>
        </w:tc>
        <w:tc>
          <w:tcPr>
            <w:tcW w:w="2420" w:type="dxa"/>
          </w:tcPr>
          <w:p>
            <w:pPr>
              <w:pStyle w:val="TableParagraph"/>
              <w:spacing w:line="414" w:lineRule="exact" w:before="38"/>
              <w:ind w:left="948" w:right="941"/>
              <w:jc w:val="center"/>
              <w:rPr>
                <w:sz w:val="24"/>
              </w:rPr>
            </w:pPr>
            <w:r>
              <w:rPr>
                <w:color w:val="FF0000"/>
                <w:sz w:val="24"/>
              </w:rPr>
              <w:t>傳真</w:t>
            </w:r>
          </w:p>
        </w:tc>
        <w:tc>
          <w:tcPr>
            <w:tcW w:w="3403" w:type="dxa"/>
          </w:tcPr>
          <w:p>
            <w:pPr>
              <w:pStyle w:val="TableParagraph"/>
              <w:spacing w:line="414" w:lineRule="exact" w:before="38"/>
              <w:ind w:left="1199" w:right="1194"/>
              <w:jc w:val="center"/>
              <w:rPr>
                <w:sz w:val="24"/>
              </w:rPr>
            </w:pPr>
            <w:r>
              <w:rPr>
                <w:color w:val="FF0000"/>
                <w:sz w:val="24"/>
              </w:rPr>
              <w:t>電子郵件</w:t>
            </w:r>
          </w:p>
        </w:tc>
      </w:tr>
      <w:tr>
        <w:trPr>
          <w:trHeight w:val="472" w:hRule="atLeast"/>
        </w:trPr>
        <w:tc>
          <w:tcPr>
            <w:tcW w:w="1986" w:type="dxa"/>
          </w:tcPr>
          <w:p>
            <w:pPr>
              <w:pStyle w:val="TableParagraph"/>
              <w:spacing w:before="1"/>
              <w:ind w:left="107"/>
              <w:rPr>
                <w:sz w:val="24"/>
              </w:rPr>
            </w:pPr>
            <w:r>
              <w:rPr>
                <w:color w:val="FF0000"/>
                <w:sz w:val="24"/>
              </w:rPr>
              <w:t>臺北區管制中心</w:t>
            </w:r>
          </w:p>
        </w:tc>
        <w:tc>
          <w:tcPr>
            <w:tcW w:w="1276" w:type="dxa"/>
          </w:tcPr>
          <w:p>
            <w:pPr>
              <w:pStyle w:val="TableParagraph"/>
              <w:spacing w:before="1"/>
              <w:ind w:left="23" w:right="15"/>
              <w:jc w:val="center"/>
              <w:rPr>
                <w:sz w:val="24"/>
              </w:rPr>
            </w:pPr>
            <w:r>
              <w:rPr>
                <w:color w:val="FF0000"/>
                <w:sz w:val="24"/>
              </w:rPr>
              <w:t>郭雯芳</w:t>
            </w:r>
          </w:p>
        </w:tc>
        <w:tc>
          <w:tcPr>
            <w:tcW w:w="2650" w:type="dxa"/>
          </w:tcPr>
          <w:p>
            <w:pPr>
              <w:pStyle w:val="TableParagraph"/>
              <w:spacing w:before="1"/>
              <w:ind w:left="106"/>
              <w:rPr>
                <w:sz w:val="24"/>
              </w:rPr>
            </w:pPr>
            <w:r>
              <w:rPr>
                <w:color w:val="FF0000"/>
                <w:sz w:val="24"/>
              </w:rPr>
              <w:t>(02)85905000#2028</w:t>
            </w:r>
          </w:p>
        </w:tc>
        <w:tc>
          <w:tcPr>
            <w:tcW w:w="2420" w:type="dxa"/>
          </w:tcPr>
          <w:p>
            <w:pPr>
              <w:pStyle w:val="TableParagraph"/>
              <w:spacing w:before="1"/>
              <w:ind w:left="151"/>
              <w:rPr>
                <w:sz w:val="24"/>
              </w:rPr>
            </w:pPr>
            <w:r>
              <w:rPr>
                <w:color w:val="FF0000"/>
                <w:sz w:val="24"/>
              </w:rPr>
              <w:t>(02)2550-6137</w:t>
            </w:r>
          </w:p>
        </w:tc>
        <w:tc>
          <w:tcPr>
            <w:tcW w:w="3403" w:type="dxa"/>
          </w:tcPr>
          <w:p>
            <w:pPr>
              <w:pStyle w:val="TableParagraph"/>
              <w:spacing w:before="1"/>
              <w:ind w:left="106"/>
              <w:rPr>
                <w:sz w:val="24"/>
              </w:rPr>
            </w:pPr>
            <w:hyperlink r:id="rId42">
              <w:r>
                <w:rPr>
                  <w:color w:val="FF0000"/>
                  <w:sz w:val="24"/>
                </w:rPr>
                <w:t>wenfang@cdc.gov.tw</w:t>
              </w:r>
            </w:hyperlink>
          </w:p>
        </w:tc>
      </w:tr>
      <w:tr>
        <w:trPr>
          <w:trHeight w:val="471" w:hRule="atLeast"/>
        </w:trPr>
        <w:tc>
          <w:tcPr>
            <w:tcW w:w="1986" w:type="dxa"/>
          </w:tcPr>
          <w:p>
            <w:pPr>
              <w:pStyle w:val="TableParagraph"/>
              <w:spacing w:before="1"/>
              <w:ind w:left="107"/>
              <w:rPr>
                <w:sz w:val="24"/>
              </w:rPr>
            </w:pPr>
            <w:r>
              <w:rPr>
                <w:color w:val="FF0000"/>
                <w:sz w:val="24"/>
              </w:rPr>
              <w:t>北區管制中心</w:t>
            </w:r>
          </w:p>
        </w:tc>
        <w:tc>
          <w:tcPr>
            <w:tcW w:w="1276" w:type="dxa"/>
          </w:tcPr>
          <w:p>
            <w:pPr>
              <w:pStyle w:val="TableParagraph"/>
              <w:spacing w:before="1"/>
              <w:ind w:left="23" w:right="15"/>
              <w:jc w:val="center"/>
              <w:rPr>
                <w:sz w:val="24"/>
              </w:rPr>
            </w:pPr>
            <w:r>
              <w:rPr>
                <w:color w:val="FF0000"/>
                <w:sz w:val="24"/>
              </w:rPr>
              <w:t>侯玉婷</w:t>
            </w:r>
          </w:p>
        </w:tc>
        <w:tc>
          <w:tcPr>
            <w:tcW w:w="2650" w:type="dxa"/>
          </w:tcPr>
          <w:p>
            <w:pPr>
              <w:pStyle w:val="TableParagraph"/>
              <w:spacing w:before="1"/>
              <w:ind w:left="106"/>
              <w:rPr>
                <w:sz w:val="24"/>
              </w:rPr>
            </w:pPr>
            <w:r>
              <w:rPr>
                <w:color w:val="FF0000"/>
                <w:sz w:val="24"/>
              </w:rPr>
              <w:t>(03)3982789#206</w:t>
            </w:r>
          </w:p>
        </w:tc>
        <w:tc>
          <w:tcPr>
            <w:tcW w:w="2420" w:type="dxa"/>
          </w:tcPr>
          <w:p>
            <w:pPr>
              <w:pStyle w:val="TableParagraph"/>
              <w:spacing w:before="1"/>
              <w:ind w:left="151"/>
              <w:rPr>
                <w:sz w:val="24"/>
              </w:rPr>
            </w:pPr>
            <w:r>
              <w:rPr>
                <w:color w:val="FF0000"/>
                <w:sz w:val="24"/>
              </w:rPr>
              <w:t>(03)3982913</w:t>
            </w:r>
          </w:p>
        </w:tc>
        <w:tc>
          <w:tcPr>
            <w:tcW w:w="3403" w:type="dxa"/>
          </w:tcPr>
          <w:p>
            <w:pPr>
              <w:pStyle w:val="TableParagraph"/>
              <w:spacing w:before="1"/>
              <w:ind w:left="106"/>
              <w:rPr>
                <w:sz w:val="24"/>
              </w:rPr>
            </w:pPr>
            <w:hyperlink r:id="rId43">
              <w:r>
                <w:rPr>
                  <w:color w:val="FF0000"/>
                  <w:sz w:val="24"/>
                </w:rPr>
                <w:t>tin@cdc.gov.tw</w:t>
              </w:r>
            </w:hyperlink>
          </w:p>
        </w:tc>
      </w:tr>
      <w:tr>
        <w:trPr>
          <w:trHeight w:val="472" w:hRule="atLeast"/>
        </w:trPr>
        <w:tc>
          <w:tcPr>
            <w:tcW w:w="1986" w:type="dxa"/>
          </w:tcPr>
          <w:p>
            <w:pPr>
              <w:pStyle w:val="TableParagraph"/>
              <w:spacing w:before="2"/>
              <w:ind w:left="107"/>
              <w:rPr>
                <w:sz w:val="24"/>
              </w:rPr>
            </w:pPr>
            <w:r>
              <w:rPr>
                <w:color w:val="FF0000"/>
                <w:sz w:val="24"/>
              </w:rPr>
              <w:t>中區管制中心</w:t>
            </w:r>
          </w:p>
        </w:tc>
        <w:tc>
          <w:tcPr>
            <w:tcW w:w="1276" w:type="dxa"/>
          </w:tcPr>
          <w:p>
            <w:pPr>
              <w:pStyle w:val="TableParagraph"/>
              <w:spacing w:before="2"/>
              <w:ind w:left="23" w:right="15"/>
              <w:jc w:val="center"/>
              <w:rPr>
                <w:sz w:val="24"/>
              </w:rPr>
            </w:pPr>
            <w:r>
              <w:rPr>
                <w:color w:val="FF0000"/>
                <w:sz w:val="24"/>
              </w:rPr>
              <w:t>陳雅貞</w:t>
            </w:r>
          </w:p>
        </w:tc>
        <w:tc>
          <w:tcPr>
            <w:tcW w:w="2650" w:type="dxa"/>
          </w:tcPr>
          <w:p>
            <w:pPr>
              <w:pStyle w:val="TableParagraph"/>
              <w:spacing w:before="2"/>
              <w:ind w:left="106"/>
              <w:rPr>
                <w:sz w:val="24"/>
              </w:rPr>
            </w:pPr>
            <w:r>
              <w:rPr>
                <w:color w:val="FF0000"/>
                <w:sz w:val="24"/>
              </w:rPr>
              <w:t>(04)24739940#224</w:t>
            </w:r>
          </w:p>
        </w:tc>
        <w:tc>
          <w:tcPr>
            <w:tcW w:w="2420" w:type="dxa"/>
          </w:tcPr>
          <w:p>
            <w:pPr>
              <w:pStyle w:val="TableParagraph"/>
              <w:spacing w:before="2"/>
              <w:ind w:left="151"/>
              <w:rPr>
                <w:sz w:val="24"/>
              </w:rPr>
            </w:pPr>
            <w:r>
              <w:rPr>
                <w:color w:val="FF0000"/>
                <w:sz w:val="24"/>
              </w:rPr>
              <w:t>(04)24753683</w:t>
            </w:r>
          </w:p>
        </w:tc>
        <w:tc>
          <w:tcPr>
            <w:tcW w:w="3403" w:type="dxa"/>
          </w:tcPr>
          <w:p>
            <w:pPr>
              <w:pStyle w:val="TableParagraph"/>
              <w:spacing w:before="2"/>
              <w:ind w:left="106"/>
              <w:rPr>
                <w:sz w:val="24"/>
              </w:rPr>
            </w:pPr>
            <w:hyperlink r:id="rId44">
              <w:r>
                <w:rPr>
                  <w:color w:val="FF0000"/>
                  <w:sz w:val="24"/>
                </w:rPr>
                <w:t>chen@cdc.gov.tw</w:t>
              </w:r>
            </w:hyperlink>
          </w:p>
        </w:tc>
      </w:tr>
      <w:tr>
        <w:trPr>
          <w:trHeight w:val="472" w:hRule="atLeast"/>
        </w:trPr>
        <w:tc>
          <w:tcPr>
            <w:tcW w:w="1986" w:type="dxa"/>
          </w:tcPr>
          <w:p>
            <w:pPr>
              <w:pStyle w:val="TableParagraph"/>
              <w:spacing w:before="1"/>
              <w:ind w:left="107"/>
              <w:rPr>
                <w:sz w:val="24"/>
              </w:rPr>
            </w:pPr>
            <w:r>
              <w:rPr>
                <w:color w:val="FF0000"/>
                <w:sz w:val="24"/>
              </w:rPr>
              <w:t>南區管制中心</w:t>
            </w:r>
          </w:p>
        </w:tc>
        <w:tc>
          <w:tcPr>
            <w:tcW w:w="1276" w:type="dxa"/>
          </w:tcPr>
          <w:p>
            <w:pPr>
              <w:pStyle w:val="TableParagraph"/>
              <w:spacing w:before="1"/>
              <w:ind w:left="23" w:right="15"/>
              <w:jc w:val="center"/>
              <w:rPr>
                <w:sz w:val="24"/>
              </w:rPr>
            </w:pPr>
            <w:r>
              <w:rPr>
                <w:color w:val="FF0000"/>
                <w:sz w:val="24"/>
              </w:rPr>
              <w:t>鄭宜珮</w:t>
            </w:r>
          </w:p>
        </w:tc>
        <w:tc>
          <w:tcPr>
            <w:tcW w:w="2650" w:type="dxa"/>
          </w:tcPr>
          <w:p>
            <w:pPr>
              <w:pStyle w:val="TableParagraph"/>
              <w:spacing w:before="1"/>
              <w:ind w:left="106"/>
              <w:rPr>
                <w:sz w:val="24"/>
              </w:rPr>
            </w:pPr>
            <w:r>
              <w:rPr>
                <w:color w:val="FF0000"/>
                <w:sz w:val="24"/>
              </w:rPr>
              <w:t>(06)2696211#308</w:t>
            </w:r>
          </w:p>
        </w:tc>
        <w:tc>
          <w:tcPr>
            <w:tcW w:w="2420" w:type="dxa"/>
          </w:tcPr>
          <w:p>
            <w:pPr>
              <w:pStyle w:val="TableParagraph"/>
              <w:spacing w:before="1"/>
              <w:ind w:left="151"/>
              <w:rPr>
                <w:sz w:val="24"/>
              </w:rPr>
            </w:pPr>
            <w:r>
              <w:rPr>
                <w:color w:val="FF0000"/>
                <w:sz w:val="24"/>
              </w:rPr>
              <w:t>(06)2906714</w:t>
            </w:r>
          </w:p>
        </w:tc>
        <w:tc>
          <w:tcPr>
            <w:tcW w:w="3403" w:type="dxa"/>
          </w:tcPr>
          <w:p>
            <w:pPr>
              <w:pStyle w:val="TableParagraph"/>
              <w:spacing w:before="1"/>
              <w:ind w:left="106"/>
              <w:rPr>
                <w:sz w:val="24"/>
              </w:rPr>
            </w:pPr>
            <w:hyperlink r:id="rId45">
              <w:r>
                <w:rPr>
                  <w:color w:val="FF0000"/>
                  <w:sz w:val="24"/>
                </w:rPr>
                <w:t>sammi4869@cdc.gov.tw</w:t>
              </w:r>
            </w:hyperlink>
          </w:p>
        </w:tc>
      </w:tr>
      <w:tr>
        <w:trPr>
          <w:trHeight w:val="471" w:hRule="atLeast"/>
        </w:trPr>
        <w:tc>
          <w:tcPr>
            <w:tcW w:w="1986" w:type="dxa"/>
          </w:tcPr>
          <w:p>
            <w:pPr>
              <w:pStyle w:val="TableParagraph"/>
              <w:spacing w:before="1"/>
              <w:ind w:left="107"/>
              <w:rPr>
                <w:sz w:val="24"/>
              </w:rPr>
            </w:pPr>
            <w:r>
              <w:rPr>
                <w:color w:val="FF0000"/>
                <w:sz w:val="24"/>
              </w:rPr>
              <w:t>高屏區管制中心</w:t>
            </w:r>
          </w:p>
        </w:tc>
        <w:tc>
          <w:tcPr>
            <w:tcW w:w="1276" w:type="dxa"/>
          </w:tcPr>
          <w:p>
            <w:pPr>
              <w:pStyle w:val="TableParagraph"/>
              <w:spacing w:before="1"/>
              <w:ind w:left="23" w:right="15"/>
              <w:jc w:val="center"/>
              <w:rPr>
                <w:sz w:val="24"/>
              </w:rPr>
            </w:pPr>
            <w:r>
              <w:rPr>
                <w:color w:val="FF0000"/>
                <w:sz w:val="24"/>
              </w:rPr>
              <w:t>羅愈婷</w:t>
            </w:r>
          </w:p>
        </w:tc>
        <w:tc>
          <w:tcPr>
            <w:tcW w:w="2650" w:type="dxa"/>
          </w:tcPr>
          <w:p>
            <w:pPr>
              <w:pStyle w:val="TableParagraph"/>
              <w:spacing w:before="1"/>
              <w:ind w:left="106"/>
              <w:rPr>
                <w:sz w:val="24"/>
              </w:rPr>
            </w:pPr>
            <w:r>
              <w:rPr>
                <w:color w:val="FF0000"/>
                <w:sz w:val="24"/>
              </w:rPr>
              <w:t>(07)5570025#517</w:t>
            </w:r>
          </w:p>
        </w:tc>
        <w:tc>
          <w:tcPr>
            <w:tcW w:w="2420" w:type="dxa"/>
          </w:tcPr>
          <w:p>
            <w:pPr>
              <w:pStyle w:val="TableParagraph"/>
              <w:spacing w:before="1"/>
              <w:ind w:left="151"/>
              <w:rPr>
                <w:sz w:val="24"/>
              </w:rPr>
            </w:pPr>
            <w:r>
              <w:rPr>
                <w:color w:val="FF0000"/>
                <w:sz w:val="24"/>
              </w:rPr>
              <w:t>(07)5571472</w:t>
            </w:r>
          </w:p>
        </w:tc>
        <w:tc>
          <w:tcPr>
            <w:tcW w:w="3403" w:type="dxa"/>
          </w:tcPr>
          <w:p>
            <w:pPr>
              <w:pStyle w:val="TableParagraph"/>
              <w:spacing w:before="1"/>
              <w:ind w:left="106"/>
              <w:rPr>
                <w:sz w:val="24"/>
              </w:rPr>
            </w:pPr>
            <w:hyperlink r:id="rId46">
              <w:r>
                <w:rPr>
                  <w:color w:val="FF0000"/>
                  <w:sz w:val="24"/>
                </w:rPr>
                <w:t>yuting@cdc.gov.tw</w:t>
              </w:r>
            </w:hyperlink>
          </w:p>
        </w:tc>
      </w:tr>
      <w:tr>
        <w:trPr>
          <w:trHeight w:val="472" w:hRule="atLeast"/>
        </w:trPr>
        <w:tc>
          <w:tcPr>
            <w:tcW w:w="1986" w:type="dxa"/>
          </w:tcPr>
          <w:p>
            <w:pPr>
              <w:pStyle w:val="TableParagraph"/>
              <w:spacing w:before="2"/>
              <w:ind w:left="107"/>
              <w:rPr>
                <w:sz w:val="24"/>
              </w:rPr>
            </w:pPr>
            <w:r>
              <w:rPr>
                <w:color w:val="FF0000"/>
                <w:sz w:val="24"/>
              </w:rPr>
              <w:t>東區管制中心</w:t>
            </w:r>
          </w:p>
        </w:tc>
        <w:tc>
          <w:tcPr>
            <w:tcW w:w="1276" w:type="dxa"/>
          </w:tcPr>
          <w:p>
            <w:pPr>
              <w:pStyle w:val="TableParagraph"/>
              <w:spacing w:before="2"/>
              <w:ind w:left="23" w:right="15"/>
              <w:jc w:val="center"/>
              <w:rPr>
                <w:sz w:val="24"/>
              </w:rPr>
            </w:pPr>
            <w:r>
              <w:rPr>
                <w:color w:val="FF0000"/>
                <w:sz w:val="24"/>
              </w:rPr>
              <w:t>陳子琦</w:t>
            </w:r>
          </w:p>
        </w:tc>
        <w:tc>
          <w:tcPr>
            <w:tcW w:w="2650" w:type="dxa"/>
          </w:tcPr>
          <w:p>
            <w:pPr>
              <w:pStyle w:val="TableParagraph"/>
              <w:spacing w:before="2"/>
              <w:ind w:left="106"/>
              <w:rPr>
                <w:sz w:val="24"/>
              </w:rPr>
            </w:pPr>
            <w:r>
              <w:rPr>
                <w:color w:val="FF0000"/>
                <w:sz w:val="24"/>
              </w:rPr>
              <w:t>(03)8223106#213</w:t>
            </w:r>
          </w:p>
        </w:tc>
        <w:tc>
          <w:tcPr>
            <w:tcW w:w="2420" w:type="dxa"/>
          </w:tcPr>
          <w:p>
            <w:pPr>
              <w:pStyle w:val="TableParagraph"/>
              <w:spacing w:before="2"/>
              <w:ind w:left="151"/>
              <w:rPr>
                <w:sz w:val="24"/>
              </w:rPr>
            </w:pPr>
            <w:r>
              <w:rPr>
                <w:color w:val="FF0000"/>
                <w:sz w:val="24"/>
              </w:rPr>
              <w:t>(03)8224732</w:t>
            </w:r>
          </w:p>
        </w:tc>
        <w:tc>
          <w:tcPr>
            <w:tcW w:w="3403" w:type="dxa"/>
          </w:tcPr>
          <w:p>
            <w:pPr>
              <w:pStyle w:val="TableParagraph"/>
              <w:spacing w:before="2"/>
              <w:ind w:left="106"/>
              <w:rPr>
                <w:sz w:val="24"/>
              </w:rPr>
            </w:pPr>
            <w:hyperlink r:id="rId47">
              <w:r>
                <w:rPr>
                  <w:color w:val="FF0000"/>
                  <w:sz w:val="24"/>
                </w:rPr>
                <w:t>wendy80215@cdc.gov.tw</w:t>
              </w:r>
            </w:hyperlink>
          </w:p>
        </w:tc>
      </w:tr>
    </w:tbl>
    <w:p>
      <w:pPr>
        <w:spacing w:after="0"/>
        <w:rPr>
          <w:sz w:val="24"/>
        </w:rPr>
        <w:sectPr>
          <w:pgSz w:w="17190" w:h="12250" w:orient="landscape"/>
          <w:pgMar w:header="0" w:footer="748" w:top="1140" w:bottom="1020" w:left="900" w:right="860"/>
        </w:sectPr>
      </w:pPr>
    </w:p>
    <w:p>
      <w:pPr>
        <w:tabs>
          <w:tab w:pos="3531" w:val="left" w:leader="none"/>
        </w:tabs>
        <w:spacing w:before="19"/>
        <w:ind w:left="280" w:right="0" w:firstLine="0"/>
        <w:jc w:val="left"/>
        <w:rPr>
          <w:b/>
          <w:sz w:val="26"/>
        </w:rPr>
      </w:pPr>
      <w:r>
        <w:rPr>
          <w:b/>
          <w:sz w:val="24"/>
        </w:rPr>
        <w:t>附件</w:t>
      </w:r>
      <w:r>
        <w:rPr>
          <w:b/>
          <w:spacing w:val="-1"/>
          <w:sz w:val="24"/>
        </w:rPr>
        <w:t> </w:t>
      </w:r>
      <w:r>
        <w:rPr>
          <w:b/>
          <w:sz w:val="24"/>
        </w:rPr>
        <w:t>6-2</w:t>
        <w:tab/>
      </w:r>
      <w:r>
        <w:rPr>
          <w:b/>
          <w:sz w:val="26"/>
        </w:rPr>
        <w:t>大宗醫院申請抗結核公費藥流程</w:t>
      </w:r>
    </w:p>
    <w:p>
      <w:pPr>
        <w:pStyle w:val="BodyText"/>
        <w:spacing w:before="9"/>
        <w:rPr>
          <w:b/>
          <w:sz w:val="9"/>
        </w:rPr>
      </w:pPr>
      <w:r>
        <w:rPr/>
        <w:pict>
          <v:shape style="position:absolute;margin-left:109.777pt;margin-top:11.107726pt;width:397.25pt;height:29.25pt;mso-position-horizontal-relative:page;mso-position-vertical-relative:paragraph;z-index:-251535360;mso-wrap-distance-left:0;mso-wrap-distance-right:0" type="#_x0000_t202" filled="false" stroked="true" strokeweight=".75pt" strokecolor="#000000">
            <v:textbox inset="0,0,0,0">
              <w:txbxContent>
                <w:p>
                  <w:pPr>
                    <w:spacing w:before="94"/>
                    <w:ind w:left="883" w:right="0" w:firstLine="0"/>
                    <w:jc w:val="left"/>
                    <w:rPr>
                      <w:sz w:val="22"/>
                    </w:rPr>
                  </w:pPr>
                  <w:r>
                    <w:rPr>
                      <w:sz w:val="22"/>
                    </w:rPr>
                    <w:t>大宗醫院填寫抗結核公費藥申請單，向所屬區管中心提出申請。</w:t>
                  </w:r>
                </w:p>
              </w:txbxContent>
            </v:textbox>
            <v:stroke dashstyle="solid"/>
            <w10:wrap type="topAndBottom"/>
          </v:shape>
        </w:pict>
      </w:r>
    </w:p>
    <w:p>
      <w:pPr>
        <w:pStyle w:val="BodyText"/>
        <w:ind w:left="5050"/>
        <w:rPr>
          <w:sz w:val="20"/>
        </w:rPr>
      </w:pPr>
      <w:r>
        <w:rPr>
          <w:sz w:val="20"/>
        </w:rPr>
        <w:pict>
          <v:group style="width:6pt;height:21pt;mso-position-horizontal-relative:char;mso-position-vertical-relative:line" coordorigin="0,0" coordsize="120,420">
            <v:line style="position:absolute" from="60,0" to="60,320" stroked="true" strokeweight=".75pt" strokecolor="#000000">
              <v:stroke dashstyle="solid"/>
            </v:line>
            <v:shape style="position:absolute;left:0;top:300;width:120;height:120" coordorigin="0,300" coordsize="120,120" path="m120,300l0,300,60,420,120,300xe" filled="true" fillcolor="#000000" stroked="false">
              <v:path arrowok="t"/>
              <v:fill type="solid"/>
            </v:shape>
          </v:group>
        </w:pict>
      </w:r>
      <w:r>
        <w:rPr>
          <w:sz w:val="20"/>
        </w:rPr>
      </w:r>
    </w:p>
    <w:p>
      <w:pPr>
        <w:pStyle w:val="BodyText"/>
        <w:ind w:left="1076"/>
        <w:rPr>
          <w:sz w:val="20"/>
        </w:rPr>
      </w:pPr>
      <w:r>
        <w:rPr>
          <w:position w:val="0"/>
          <w:sz w:val="20"/>
        </w:rPr>
        <w:pict>
          <v:shape style="width:398.8pt;height:46.5pt;mso-position-horizontal-relative:char;mso-position-vertical-relative:line" type="#_x0000_t202" filled="false" stroked="true" strokeweight=".75pt" strokecolor="#000000">
            <w10:anchorlock/>
            <v:textbox inset="0,0,0,0">
              <w:txbxContent>
                <w:p>
                  <w:pPr>
                    <w:spacing w:line="189" w:lineRule="auto" w:before="154"/>
                    <w:ind w:left="898" w:right="458" w:hanging="441"/>
                    <w:jc w:val="left"/>
                    <w:rPr>
                      <w:sz w:val="22"/>
                    </w:rPr>
                  </w:pPr>
                  <w:r>
                    <w:rPr>
                      <w:sz w:val="22"/>
                    </w:rPr>
                    <w:t>區管中心將申請單與相關資料送交委員審查，並將結果傳回各大宗醫院</w:t>
                  </w:r>
                  <w:r>
                    <w:rPr>
                      <w:color w:val="FF0000"/>
                      <w:sz w:val="22"/>
                    </w:rPr>
                    <w:t>及胸腔病院</w:t>
                  </w:r>
                  <w:r>
                    <w:rPr>
                      <w:sz w:val="22"/>
                    </w:rPr>
                    <w:t>；大宗醫院以此次申請結果自藥庫中核發藥品予患者。</w:t>
                  </w:r>
                </w:p>
              </w:txbxContent>
            </v:textbox>
            <v:stroke dashstyle="solid"/>
          </v:shape>
        </w:pict>
      </w:r>
      <w:r>
        <w:rPr>
          <w:position w:val="0"/>
          <w:sz w:val="20"/>
        </w:rPr>
      </w:r>
    </w:p>
    <w:p>
      <w:pPr>
        <w:pStyle w:val="BodyText"/>
        <w:ind w:left="5050"/>
        <w:rPr>
          <w:sz w:val="20"/>
        </w:rPr>
      </w:pPr>
      <w:r>
        <w:rPr>
          <w:sz w:val="20"/>
        </w:rPr>
        <w:pict>
          <v:group style="width:6pt;height:21pt;mso-position-horizontal-relative:char;mso-position-vertical-relative:line" coordorigin="0,0" coordsize="120,420">
            <v:line style="position:absolute" from="60,0" to="60,320" stroked="true" strokeweight=".75pt" strokecolor="#000000">
              <v:stroke dashstyle="solid"/>
            </v:line>
            <v:shape style="position:absolute;left:0;top:300;width:120;height:120" coordorigin="0,300" coordsize="120,120" path="m120,300l0,300,60,420,120,300xe" filled="true" fillcolor="#000000" stroked="false">
              <v:path arrowok="t"/>
              <v:fill type="solid"/>
            </v:shape>
          </v:group>
        </w:pict>
      </w:r>
      <w:r>
        <w:rPr>
          <w:sz w:val="20"/>
        </w:rPr>
      </w:r>
    </w:p>
    <w:p>
      <w:pPr>
        <w:pStyle w:val="BodyText"/>
        <w:ind w:left="1076"/>
        <w:rPr>
          <w:sz w:val="20"/>
        </w:rPr>
      </w:pPr>
      <w:r>
        <w:rPr>
          <w:position w:val="0"/>
          <w:sz w:val="20"/>
        </w:rPr>
        <w:pict>
          <v:shape style="width:394.95pt;height:85.5pt;mso-position-horizontal-relative:char;mso-position-vertical-relative:line" type="#_x0000_t202" filled="false" stroked="true" strokeweight=".75pt" strokecolor="#000000">
            <w10:anchorlock/>
            <v:textbox inset="0,0,0,0">
              <w:txbxContent>
                <w:p>
                  <w:pPr>
                    <w:spacing w:line="391" w:lineRule="exact" w:before="92"/>
                    <w:ind w:left="916" w:right="0" w:firstLine="0"/>
                    <w:jc w:val="left"/>
                    <w:rPr>
                      <w:sz w:val="22"/>
                    </w:rPr>
                  </w:pPr>
                  <w:r>
                    <w:rPr>
                      <w:sz w:val="22"/>
                    </w:rPr>
                    <w:t>各大宗醫院隔月檢送上一個月份之下列表單 e-mail 予胸腔病院</w:t>
                  </w:r>
                </w:p>
                <w:p>
                  <w:pPr>
                    <w:numPr>
                      <w:ilvl w:val="0"/>
                      <w:numId w:val="99"/>
                    </w:numPr>
                    <w:tabs>
                      <w:tab w:pos="2184" w:val="left" w:leader="none"/>
                    </w:tabs>
                    <w:spacing w:line="377" w:lineRule="exact" w:before="0"/>
                    <w:ind w:left="2183" w:right="0" w:hanging="361"/>
                    <w:jc w:val="left"/>
                    <w:rPr>
                      <w:sz w:val="22"/>
                    </w:rPr>
                  </w:pPr>
                  <w:r>
                    <w:rPr>
                      <w:sz w:val="22"/>
                    </w:rPr>
                    <w:t>「抗結核公費藥申請單」</w:t>
                  </w:r>
                </w:p>
                <w:p>
                  <w:pPr>
                    <w:numPr>
                      <w:ilvl w:val="0"/>
                      <w:numId w:val="99"/>
                    </w:numPr>
                    <w:tabs>
                      <w:tab w:pos="2184" w:val="left" w:leader="none"/>
                    </w:tabs>
                    <w:spacing w:line="377" w:lineRule="exact" w:before="0"/>
                    <w:ind w:left="2183" w:right="0" w:hanging="361"/>
                    <w:jc w:val="left"/>
                    <w:rPr>
                      <w:sz w:val="22"/>
                    </w:rPr>
                  </w:pPr>
                  <w:r>
                    <w:rPr>
                      <w:sz w:val="22"/>
                    </w:rPr>
                    <w:t>「抗結核公費藥使用紀錄表」</w:t>
                  </w:r>
                </w:p>
                <w:p>
                  <w:pPr>
                    <w:numPr>
                      <w:ilvl w:val="0"/>
                      <w:numId w:val="99"/>
                    </w:numPr>
                    <w:tabs>
                      <w:tab w:pos="2184" w:val="left" w:leader="none"/>
                    </w:tabs>
                    <w:spacing w:line="391" w:lineRule="exact" w:before="0"/>
                    <w:ind w:left="2183" w:right="0" w:hanging="361"/>
                    <w:jc w:val="left"/>
                    <w:rPr>
                      <w:sz w:val="22"/>
                    </w:rPr>
                  </w:pPr>
                  <w:r>
                    <w:rPr>
                      <w:sz w:val="22"/>
                    </w:rPr>
                    <w:t>「抗結核公費藥月報表」</w:t>
                  </w:r>
                </w:p>
              </w:txbxContent>
            </v:textbox>
            <v:stroke dashstyle="solid"/>
          </v:shape>
        </w:pict>
      </w:r>
      <w:r>
        <w:rPr>
          <w:position w:val="0"/>
          <w:sz w:val="20"/>
        </w:rPr>
      </w:r>
    </w:p>
    <w:p>
      <w:pPr>
        <w:pStyle w:val="BodyText"/>
        <w:ind w:left="5004"/>
        <w:rPr>
          <w:sz w:val="20"/>
        </w:rPr>
      </w:pPr>
      <w:r>
        <w:rPr>
          <w:sz w:val="20"/>
        </w:rPr>
        <w:pict>
          <v:group style="width:6pt;height:21pt;mso-position-horizontal-relative:char;mso-position-vertical-relative:line" coordorigin="0,0" coordsize="120,420">
            <v:line style="position:absolute" from="60,0" to="60,320" stroked="true" strokeweight=".75pt" strokecolor="#000000">
              <v:stroke dashstyle="solid"/>
            </v:line>
            <v:shape style="position:absolute;left:0;top:300;width:120;height:120" coordorigin="0,300" coordsize="120,120" path="m120,300l0,300,60,420,120,300xe" filled="true" fillcolor="#000000" stroked="false">
              <v:path arrowok="t"/>
              <v:fill type="solid"/>
            </v:shape>
          </v:group>
        </w:pict>
      </w:r>
      <w:r>
        <w:rPr>
          <w:sz w:val="20"/>
        </w:rPr>
      </w:r>
    </w:p>
    <w:p>
      <w:pPr>
        <w:pStyle w:val="BodyText"/>
        <w:rPr>
          <w:b/>
          <w:sz w:val="2"/>
        </w:rPr>
      </w:pPr>
    </w:p>
    <w:p>
      <w:pPr>
        <w:pStyle w:val="BodyText"/>
        <w:ind w:left="1046"/>
        <w:rPr>
          <w:sz w:val="20"/>
        </w:rPr>
      </w:pPr>
      <w:r>
        <w:rPr>
          <w:position w:val="0"/>
          <w:sz w:val="20"/>
        </w:rPr>
        <w:pict>
          <v:shape style="width:395.7pt;height:48.45pt;mso-position-horizontal-relative:char;mso-position-vertical-relative:line" type="#_x0000_t202" filled="false" stroked="true" strokeweight=".75pt" strokecolor="#000000">
            <w10:anchorlock/>
            <v:textbox inset="0,0,0,0">
              <w:txbxContent>
                <w:p>
                  <w:pPr>
                    <w:spacing w:line="223" w:lineRule="auto" w:before="113"/>
                    <w:ind w:left="1679" w:right="647" w:hanging="1031"/>
                    <w:jc w:val="left"/>
                    <w:rPr>
                      <w:sz w:val="22"/>
                    </w:rPr>
                  </w:pPr>
                  <w:r>
                    <w:rPr>
                      <w:sz w:val="22"/>
                    </w:rPr>
                    <w:t>胸腔病院依據各大宗醫院「抗結核公費藥月報表」之次月需求量寄發抗結核公費藥予各大宗醫院(隨藥附上簽收單)。</w:t>
                  </w:r>
                </w:p>
              </w:txbxContent>
            </v:textbox>
            <v:stroke dashstyle="solid"/>
          </v:shape>
        </w:pict>
      </w:r>
      <w:r>
        <w:rPr>
          <w:position w:val="0"/>
          <w:sz w:val="20"/>
        </w:rPr>
      </w:r>
    </w:p>
    <w:p>
      <w:pPr>
        <w:pStyle w:val="BodyText"/>
        <w:ind w:left="4974"/>
        <w:rPr>
          <w:sz w:val="20"/>
        </w:rPr>
      </w:pPr>
      <w:r>
        <w:rPr>
          <w:sz w:val="20"/>
        </w:rPr>
        <w:pict>
          <v:group style="width:6pt;height:21pt;mso-position-horizontal-relative:char;mso-position-vertical-relative:line" coordorigin="0,0" coordsize="120,420">
            <v:line style="position:absolute" from="60,0" to="60,320" stroked="true" strokeweight=".75pt" strokecolor="#000000">
              <v:stroke dashstyle="solid"/>
            </v:line>
            <v:shape style="position:absolute;left:0;top:300;width:120;height:120" coordorigin="0,300" coordsize="120,120" path="m120,300l0,300,60,420,120,300xe" filled="true" fillcolor="#000000" stroked="false">
              <v:path arrowok="t"/>
              <v:fill type="solid"/>
            </v:shape>
          </v:group>
        </w:pict>
      </w:r>
      <w:r>
        <w:rPr>
          <w:sz w:val="20"/>
        </w:rPr>
      </w:r>
    </w:p>
    <w:p>
      <w:pPr>
        <w:pStyle w:val="BodyText"/>
        <w:ind w:left="1031"/>
        <w:rPr>
          <w:sz w:val="20"/>
        </w:rPr>
      </w:pPr>
      <w:r>
        <w:rPr>
          <w:position w:val="0"/>
          <w:sz w:val="20"/>
        </w:rPr>
        <w:pict>
          <v:shape style="width:395.7pt;height:45.3pt;mso-position-horizontal-relative:char;mso-position-vertical-relative:line" type="#_x0000_t202" filled="false" stroked="true" strokeweight=".75pt" strokecolor="#000000">
            <w10:anchorlock/>
            <v:textbox inset="0,0,0,0">
              <w:txbxContent>
                <w:p>
                  <w:pPr>
                    <w:spacing w:line="362" w:lineRule="exact" w:before="92"/>
                    <w:ind w:left="272" w:right="273" w:firstLine="0"/>
                    <w:jc w:val="center"/>
                    <w:rPr>
                      <w:sz w:val="22"/>
                    </w:rPr>
                  </w:pPr>
                  <w:r>
                    <w:rPr>
                      <w:sz w:val="22"/>
                    </w:rPr>
                    <w:t>醫院收到藥品後核對數量點收，並於「抗結核公費藥簽收單」簽收後 e-mail</w:t>
                  </w:r>
                </w:p>
                <w:p>
                  <w:pPr>
                    <w:spacing w:line="362" w:lineRule="exact" w:before="0"/>
                    <w:ind w:left="272" w:right="273" w:firstLine="0"/>
                    <w:jc w:val="center"/>
                    <w:rPr>
                      <w:sz w:val="22"/>
                    </w:rPr>
                  </w:pPr>
                  <w:r>
                    <w:rPr>
                      <w:sz w:val="22"/>
                    </w:rPr>
                    <w:t>至 </w:t>
                  </w:r>
                  <w:hyperlink r:id="rId41">
                    <w:r>
                      <w:rPr>
                        <w:sz w:val="22"/>
                      </w:rPr>
                      <w:t>pharmacy@mail.tainantb.gov.tw</w:t>
                    </w:r>
                  </w:hyperlink>
                  <w:r>
                    <w:rPr>
                      <w:sz w:val="22"/>
                    </w:rPr>
                    <w:t>，藥品部分則存放至院方藥庫中保</w:t>
                  </w:r>
                </w:p>
              </w:txbxContent>
            </v:textbox>
            <v:stroke dashstyle="solid"/>
          </v:shape>
        </w:pict>
      </w:r>
      <w:r>
        <w:rPr>
          <w:position w:val="0"/>
          <w:sz w:val="20"/>
        </w:rPr>
      </w:r>
    </w:p>
    <w:p>
      <w:pPr>
        <w:pStyle w:val="BodyText"/>
        <w:spacing w:before="4"/>
        <w:rPr>
          <w:b/>
          <w:sz w:val="22"/>
        </w:rPr>
      </w:pPr>
    </w:p>
    <w:p>
      <w:pPr>
        <w:spacing w:line="391" w:lineRule="exact" w:before="0"/>
        <w:ind w:left="1051" w:right="0" w:firstLine="0"/>
        <w:jc w:val="left"/>
        <w:rPr>
          <w:sz w:val="23"/>
        </w:rPr>
      </w:pPr>
      <w:r>
        <w:rPr>
          <w:sz w:val="23"/>
        </w:rPr>
        <w:t>注意事項：</w:t>
      </w:r>
    </w:p>
    <w:p>
      <w:pPr>
        <w:spacing w:line="204" w:lineRule="auto" w:before="15"/>
        <w:ind w:left="1510" w:right="5725" w:hanging="460"/>
        <w:jc w:val="left"/>
        <w:rPr>
          <w:sz w:val="23"/>
        </w:rPr>
      </w:pPr>
      <w:r>
        <w:rPr>
          <w:sz w:val="23"/>
        </w:rPr>
        <w:t>一、附加檔案有 5 種報表須提供予胸腔病院由各區管制中心填列或檢附：</w:t>
      </w:r>
    </w:p>
    <w:p>
      <w:pPr>
        <w:pStyle w:val="ListParagraph"/>
        <w:numPr>
          <w:ilvl w:val="2"/>
          <w:numId w:val="88"/>
        </w:numPr>
        <w:tabs>
          <w:tab w:pos="1743" w:val="left" w:leader="none"/>
        </w:tabs>
        <w:spacing w:line="346" w:lineRule="exact" w:before="0" w:after="0"/>
        <w:ind w:left="1742" w:right="0" w:hanging="230"/>
        <w:jc w:val="left"/>
        <w:rPr>
          <w:sz w:val="23"/>
        </w:rPr>
      </w:pPr>
      <w:r>
        <w:rPr>
          <w:spacing w:val="-1"/>
          <w:sz w:val="23"/>
        </w:rPr>
        <w:t>「附件 </w:t>
      </w:r>
      <w:r>
        <w:rPr>
          <w:sz w:val="23"/>
        </w:rPr>
        <w:t>6-1-1</w:t>
      </w:r>
      <w:r>
        <w:rPr>
          <w:spacing w:val="-1"/>
          <w:sz w:val="23"/>
        </w:rPr>
        <w:t> 申請公費藥複審符合申請案件總表」</w:t>
      </w:r>
    </w:p>
    <w:p>
      <w:pPr>
        <w:pStyle w:val="ListParagraph"/>
        <w:numPr>
          <w:ilvl w:val="2"/>
          <w:numId w:val="88"/>
        </w:numPr>
        <w:tabs>
          <w:tab w:pos="1743" w:val="left" w:leader="none"/>
        </w:tabs>
        <w:spacing w:line="204" w:lineRule="auto" w:before="14" w:after="0"/>
        <w:ind w:left="1510" w:right="5718" w:firstLine="2"/>
        <w:jc w:val="left"/>
        <w:rPr>
          <w:sz w:val="23"/>
        </w:rPr>
      </w:pPr>
      <w:r>
        <w:rPr>
          <w:spacing w:val="-1"/>
          <w:sz w:val="23"/>
        </w:rPr>
        <w:t>「附件 </w:t>
      </w:r>
      <w:r>
        <w:rPr>
          <w:sz w:val="23"/>
        </w:rPr>
        <w:t>6-1-2</w:t>
      </w:r>
      <w:r>
        <w:rPr>
          <w:spacing w:val="-2"/>
          <w:sz w:val="23"/>
        </w:rPr>
        <w:t> 抗結核公費藥申請單」由大宗醫院填列：</w:t>
      </w:r>
    </w:p>
    <w:p>
      <w:pPr>
        <w:pStyle w:val="ListParagraph"/>
        <w:numPr>
          <w:ilvl w:val="0"/>
          <w:numId w:val="100"/>
        </w:numPr>
        <w:tabs>
          <w:tab w:pos="1743" w:val="left" w:leader="none"/>
        </w:tabs>
        <w:spacing w:line="346" w:lineRule="exact" w:before="0" w:after="0"/>
        <w:ind w:left="1742" w:right="0" w:hanging="231"/>
        <w:jc w:val="left"/>
        <w:rPr>
          <w:sz w:val="23"/>
        </w:rPr>
      </w:pPr>
      <w:r>
        <w:rPr>
          <w:spacing w:val="-1"/>
          <w:sz w:val="23"/>
        </w:rPr>
        <w:t>「附件 </w:t>
      </w:r>
      <w:r>
        <w:rPr>
          <w:sz w:val="23"/>
        </w:rPr>
        <w:t>6-1-2</w:t>
      </w:r>
      <w:r>
        <w:rPr>
          <w:spacing w:val="-1"/>
          <w:sz w:val="23"/>
        </w:rPr>
        <w:t> 抗結核公費藥申請單」</w:t>
      </w:r>
    </w:p>
    <w:p>
      <w:pPr>
        <w:pStyle w:val="ListParagraph"/>
        <w:numPr>
          <w:ilvl w:val="0"/>
          <w:numId w:val="100"/>
        </w:numPr>
        <w:tabs>
          <w:tab w:pos="1742" w:val="left" w:leader="none"/>
        </w:tabs>
        <w:spacing w:line="360" w:lineRule="exact" w:before="0" w:after="0"/>
        <w:ind w:left="1741" w:right="0" w:hanging="230"/>
        <w:jc w:val="left"/>
        <w:rPr>
          <w:sz w:val="23"/>
        </w:rPr>
      </w:pPr>
      <w:r>
        <w:rPr>
          <w:spacing w:val="-1"/>
          <w:sz w:val="23"/>
        </w:rPr>
        <w:t>「附件 </w:t>
      </w:r>
      <w:r>
        <w:rPr>
          <w:sz w:val="23"/>
        </w:rPr>
        <w:t>6-2-1</w:t>
      </w:r>
      <w:r>
        <w:rPr>
          <w:spacing w:val="-1"/>
          <w:sz w:val="23"/>
        </w:rPr>
        <w:t> 抗結核公費藥使用紀錄表」</w:t>
      </w:r>
    </w:p>
    <w:p>
      <w:pPr>
        <w:pStyle w:val="ListParagraph"/>
        <w:numPr>
          <w:ilvl w:val="0"/>
          <w:numId w:val="100"/>
        </w:numPr>
        <w:tabs>
          <w:tab w:pos="1742" w:val="left" w:leader="none"/>
        </w:tabs>
        <w:spacing w:line="360" w:lineRule="exact" w:before="0" w:after="0"/>
        <w:ind w:left="1741" w:right="0" w:hanging="230"/>
        <w:jc w:val="left"/>
        <w:rPr>
          <w:sz w:val="23"/>
        </w:rPr>
      </w:pPr>
      <w:r>
        <w:rPr>
          <w:spacing w:val="-1"/>
          <w:sz w:val="23"/>
        </w:rPr>
        <w:t>「附件 </w:t>
      </w:r>
      <w:r>
        <w:rPr>
          <w:sz w:val="23"/>
        </w:rPr>
        <w:t>6-2-2</w:t>
      </w:r>
      <w:r>
        <w:rPr>
          <w:spacing w:val="-1"/>
          <w:sz w:val="23"/>
        </w:rPr>
        <w:t> 抗結核公費藥月報表」</w:t>
      </w:r>
    </w:p>
    <w:p>
      <w:pPr>
        <w:pStyle w:val="ListParagraph"/>
        <w:numPr>
          <w:ilvl w:val="0"/>
          <w:numId w:val="100"/>
        </w:numPr>
        <w:tabs>
          <w:tab w:pos="1742" w:val="left" w:leader="none"/>
        </w:tabs>
        <w:spacing w:line="360" w:lineRule="exact" w:before="0" w:after="0"/>
        <w:ind w:left="1741" w:right="0" w:hanging="230"/>
        <w:jc w:val="left"/>
        <w:rPr>
          <w:sz w:val="23"/>
        </w:rPr>
      </w:pPr>
      <w:r>
        <w:rPr>
          <w:spacing w:val="-1"/>
          <w:sz w:val="23"/>
        </w:rPr>
        <w:t>「附件 </w:t>
      </w:r>
      <w:r>
        <w:rPr>
          <w:sz w:val="23"/>
        </w:rPr>
        <w:t>6-2-3</w:t>
      </w:r>
      <w:r>
        <w:rPr>
          <w:spacing w:val="-1"/>
          <w:sz w:val="23"/>
        </w:rPr>
        <w:t> 抗結核公費藥簽收單」(隨藥寄送)</w:t>
      </w:r>
    </w:p>
    <w:p>
      <w:pPr>
        <w:spacing w:line="204" w:lineRule="auto" w:before="14"/>
        <w:ind w:left="1509" w:right="2296" w:hanging="460"/>
        <w:jc w:val="left"/>
        <w:rPr>
          <w:sz w:val="23"/>
        </w:rPr>
      </w:pPr>
      <w:r>
        <w:rPr>
          <w:sz w:val="23"/>
        </w:rPr>
        <w:t>二、若審查醫師有建議修改劑量且處方醫師同意後，請於原總量之後備註修改之總量。</w:t>
      </w:r>
    </w:p>
    <w:p>
      <w:pPr>
        <w:spacing w:line="204" w:lineRule="auto" w:before="3"/>
        <w:ind w:left="1510" w:right="2297" w:hanging="460"/>
        <w:jc w:val="left"/>
        <w:rPr>
          <w:sz w:val="22"/>
        </w:rPr>
      </w:pPr>
      <w:r>
        <w:rPr>
          <w:sz w:val="22"/>
        </w:rPr>
        <w:t>三、</w:t>
      </w:r>
      <w:r>
        <w:rPr>
          <w:sz w:val="23"/>
        </w:rPr>
        <w:t>個案資料、申請公費藥理由，請務必填寫清楚。次劑量、用法、天數、總量請依據參考劑量作初步審核，以減少錯誤及後續作</w:t>
      </w:r>
      <w:r>
        <w:rPr>
          <w:sz w:val="22"/>
        </w:rPr>
        <w:t>業的延遲。</w:t>
      </w:r>
    </w:p>
    <w:p>
      <w:pPr>
        <w:spacing w:line="373" w:lineRule="exact" w:before="0"/>
        <w:ind w:left="1051" w:right="0" w:firstLine="0"/>
        <w:jc w:val="left"/>
        <w:rPr>
          <w:sz w:val="22"/>
        </w:rPr>
      </w:pPr>
      <w:r>
        <w:rPr>
          <w:sz w:val="22"/>
        </w:rPr>
        <w:t>四、請遵照流程及規定時間內 e-mail，以利作業順暢。</w:t>
      </w:r>
    </w:p>
    <w:p>
      <w:pPr>
        <w:spacing w:after="0" w:line="373" w:lineRule="exact"/>
        <w:jc w:val="left"/>
        <w:rPr>
          <w:sz w:val="22"/>
        </w:rPr>
        <w:sectPr>
          <w:footerReference w:type="default" r:id="rId48"/>
          <w:pgSz w:w="12250" w:h="17190"/>
          <w:pgMar w:footer="828" w:header="0" w:top="1440" w:bottom="1020" w:left="1080" w:right="0"/>
          <w:pgNumType w:start="78"/>
        </w:sectPr>
      </w:pPr>
    </w:p>
    <w:p>
      <w:pPr>
        <w:tabs>
          <w:tab w:pos="1817" w:val="left" w:leader="none"/>
          <w:tab w:pos="2657" w:val="left" w:leader="none"/>
        </w:tabs>
        <w:spacing w:before="19"/>
        <w:ind w:left="280" w:right="0" w:firstLine="0"/>
        <w:jc w:val="left"/>
        <w:rPr>
          <w:b/>
          <w:sz w:val="26"/>
        </w:rPr>
      </w:pPr>
      <w:r>
        <w:rPr/>
        <w:pict>
          <v:group style="position:absolute;margin-left:571.5pt;margin-top:1.590686pt;width:40.9pt;height:317.45pt;mso-position-horizontal-relative:page;mso-position-vertical-relative:paragraph;z-index:251791360" coordorigin="11430,32" coordsize="818,6349">
            <v:shape style="position:absolute;left:11430;top:31;width:818;height:6349" coordorigin="11430,32" coordsize="818,6349" path="m12247,32l11595,32,11531,45,11478,80,11443,133,11430,197,11430,6215,11443,6280,11478,6332,11531,6368,11595,6381,12247,6381,12247,32xe" filled="true" fillcolor="#a6a6a6" stroked="false">
              <v:path arrowok="t"/>
              <v:fill type="solid"/>
            </v:shape>
            <v:shape style="position:absolute;left:11430;top:31;width:818;height:6349" type="#_x0000_t202" filled="false" stroked="false">
              <v:textbox inset="0,0,0,0">
                <w:txbxContent>
                  <w:p>
                    <w:pPr>
                      <w:spacing w:line="146" w:lineRule="auto" w:before="127"/>
                      <w:ind w:left="136" w:right="458" w:firstLine="0"/>
                      <w:jc w:val="both"/>
                      <w:rPr>
                        <w:sz w:val="22"/>
                      </w:rPr>
                    </w:pPr>
                    <w:r>
                      <w:rPr>
                        <w:sz w:val="22"/>
                      </w:rPr>
                      <w:t>第六章</w:t>
                    </w:r>
                  </w:p>
                  <w:p>
                    <w:pPr>
                      <w:spacing w:line="141" w:lineRule="auto" w:before="175"/>
                      <w:ind w:left="136" w:right="458" w:firstLine="0"/>
                      <w:jc w:val="both"/>
                      <w:rPr>
                        <w:sz w:val="22"/>
                      </w:rPr>
                    </w:pPr>
                    <w:r>
                      <w:rPr>
                        <w:sz w:val="22"/>
                      </w:rPr>
                      <w:t>結核病的藥物及藥物交互作用</w:t>
                    </w:r>
                  </w:p>
                  <w:p>
                    <w:pPr>
                      <w:spacing w:line="240" w:lineRule="auto" w:before="18"/>
                      <w:rPr>
                        <w:sz w:val="13"/>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pict>
          <v:shape style="position:absolute;margin-left:574.289001pt;margin-top:307.058594pt;width:16.650pt;height:5.55pt;mso-position-horizontal-relative:page;mso-position-vertical-relative:paragraph;z-index:251792384"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pict>
          <v:shape style="position:absolute;margin-left:574.289001pt;margin-top:211.058594pt;width:16.650pt;height:5.55pt;mso-position-horizontal-relative:page;mso-position-vertical-relative:paragraph;z-index:251793408"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b/>
          <w:sz w:val="24"/>
        </w:rPr>
        <w:t>附件</w:t>
      </w:r>
      <w:r>
        <w:rPr>
          <w:b/>
          <w:spacing w:val="-1"/>
          <w:sz w:val="24"/>
        </w:rPr>
        <w:t> </w:t>
      </w:r>
      <w:r>
        <w:rPr>
          <w:b/>
          <w:sz w:val="24"/>
        </w:rPr>
        <w:t>6-1-1</w:t>
        <w:tab/>
      </w:r>
      <w:r>
        <w:rPr>
          <w:b/>
          <w:sz w:val="24"/>
          <w:u w:val="single" w:color="FF0000"/>
        </w:rPr>
        <w:t> </w:t>
        <w:tab/>
      </w:r>
      <w:r>
        <w:rPr>
          <w:b/>
          <w:color w:val="FF0000"/>
          <w:sz w:val="26"/>
        </w:rPr>
        <w:t>區管制中心申請公費藥品複審符合申請案件總表</w:t>
      </w:r>
    </w:p>
    <w:p>
      <w:pPr>
        <w:pStyle w:val="BodyText"/>
        <w:spacing w:before="14"/>
        <w:rPr>
          <w:b/>
          <w:sz w:val="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970"/>
        <w:gridCol w:w="1276"/>
        <w:gridCol w:w="2258"/>
        <w:gridCol w:w="998"/>
        <w:gridCol w:w="1988"/>
        <w:gridCol w:w="732"/>
      </w:tblGrid>
      <w:tr>
        <w:trPr>
          <w:trHeight w:val="602" w:hRule="atLeast"/>
        </w:trPr>
        <w:tc>
          <w:tcPr>
            <w:tcW w:w="578" w:type="dxa"/>
          </w:tcPr>
          <w:p>
            <w:pPr>
              <w:pStyle w:val="TableParagraph"/>
              <w:spacing w:before="97"/>
              <w:ind w:left="29" w:right="19"/>
              <w:jc w:val="center"/>
              <w:rPr>
                <w:sz w:val="24"/>
              </w:rPr>
            </w:pPr>
            <w:r>
              <w:rPr>
                <w:sz w:val="24"/>
              </w:rPr>
              <w:t>編號</w:t>
            </w:r>
          </w:p>
        </w:tc>
        <w:tc>
          <w:tcPr>
            <w:tcW w:w="1970" w:type="dxa"/>
          </w:tcPr>
          <w:p>
            <w:pPr>
              <w:pStyle w:val="TableParagraph"/>
              <w:spacing w:before="97"/>
              <w:ind w:left="505"/>
              <w:rPr>
                <w:sz w:val="24"/>
              </w:rPr>
            </w:pPr>
            <w:r>
              <w:rPr>
                <w:sz w:val="24"/>
              </w:rPr>
              <w:t>個案姓名</w:t>
            </w:r>
          </w:p>
        </w:tc>
        <w:tc>
          <w:tcPr>
            <w:tcW w:w="1276" w:type="dxa"/>
          </w:tcPr>
          <w:p>
            <w:pPr>
              <w:pStyle w:val="TableParagraph"/>
              <w:spacing w:before="97"/>
              <w:ind w:left="158"/>
              <w:rPr>
                <w:sz w:val="24"/>
              </w:rPr>
            </w:pPr>
            <w:r>
              <w:rPr>
                <w:sz w:val="24"/>
              </w:rPr>
              <w:t>申請醫院</w:t>
            </w:r>
          </w:p>
        </w:tc>
        <w:tc>
          <w:tcPr>
            <w:tcW w:w="2258" w:type="dxa"/>
          </w:tcPr>
          <w:p>
            <w:pPr>
              <w:pStyle w:val="TableParagraph"/>
              <w:spacing w:before="97"/>
              <w:ind w:left="650"/>
              <w:rPr>
                <w:sz w:val="24"/>
              </w:rPr>
            </w:pPr>
            <w:r>
              <w:rPr>
                <w:sz w:val="24"/>
              </w:rPr>
              <w:t>收件住址</w:t>
            </w:r>
          </w:p>
        </w:tc>
        <w:tc>
          <w:tcPr>
            <w:tcW w:w="998" w:type="dxa"/>
          </w:tcPr>
          <w:p>
            <w:pPr>
              <w:pStyle w:val="TableParagraph"/>
              <w:spacing w:before="97"/>
              <w:ind w:left="140"/>
              <w:rPr>
                <w:sz w:val="24"/>
              </w:rPr>
            </w:pPr>
            <w:r>
              <w:rPr>
                <w:sz w:val="24"/>
              </w:rPr>
              <w:t>收件人</w:t>
            </w:r>
          </w:p>
        </w:tc>
        <w:tc>
          <w:tcPr>
            <w:tcW w:w="1988" w:type="dxa"/>
          </w:tcPr>
          <w:p>
            <w:pPr>
              <w:pStyle w:val="TableParagraph"/>
              <w:spacing w:before="97"/>
              <w:ind w:left="155"/>
              <w:rPr>
                <w:sz w:val="24"/>
              </w:rPr>
            </w:pPr>
            <w:r>
              <w:rPr>
                <w:sz w:val="24"/>
              </w:rPr>
              <w:t>收件人聯絡電話</w:t>
            </w:r>
          </w:p>
        </w:tc>
        <w:tc>
          <w:tcPr>
            <w:tcW w:w="732" w:type="dxa"/>
          </w:tcPr>
          <w:p>
            <w:pPr>
              <w:pStyle w:val="TableParagraph"/>
              <w:spacing w:before="97"/>
              <w:ind w:left="128"/>
              <w:rPr>
                <w:sz w:val="24"/>
              </w:rPr>
            </w:pPr>
            <w:r>
              <w:rPr>
                <w:sz w:val="24"/>
              </w:rPr>
              <w:t>備註</w:t>
            </w:r>
          </w:p>
        </w:tc>
      </w:tr>
      <w:tr>
        <w:trPr>
          <w:trHeight w:val="680" w:hRule="atLeast"/>
        </w:trPr>
        <w:tc>
          <w:tcPr>
            <w:tcW w:w="578" w:type="dxa"/>
          </w:tcPr>
          <w:p>
            <w:pPr>
              <w:pStyle w:val="TableParagraph"/>
              <w:spacing w:before="135"/>
              <w:ind w:left="9"/>
              <w:jc w:val="center"/>
              <w:rPr>
                <w:sz w:val="24"/>
              </w:rPr>
            </w:pPr>
            <w:r>
              <w:rPr>
                <w:sz w:val="24"/>
              </w:rPr>
              <w:t>1</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79" w:hRule="atLeast"/>
        </w:trPr>
        <w:tc>
          <w:tcPr>
            <w:tcW w:w="578" w:type="dxa"/>
          </w:tcPr>
          <w:p>
            <w:pPr>
              <w:pStyle w:val="TableParagraph"/>
              <w:spacing w:before="135"/>
              <w:ind w:left="9"/>
              <w:jc w:val="center"/>
              <w:rPr>
                <w:sz w:val="24"/>
              </w:rPr>
            </w:pPr>
            <w:r>
              <w:rPr>
                <w:sz w:val="24"/>
              </w:rPr>
              <w:t>2</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80" w:hRule="atLeast"/>
        </w:trPr>
        <w:tc>
          <w:tcPr>
            <w:tcW w:w="578" w:type="dxa"/>
          </w:tcPr>
          <w:p>
            <w:pPr>
              <w:pStyle w:val="TableParagraph"/>
              <w:spacing w:before="135"/>
              <w:ind w:left="9"/>
              <w:jc w:val="center"/>
              <w:rPr>
                <w:sz w:val="24"/>
              </w:rPr>
            </w:pPr>
            <w:r>
              <w:rPr>
                <w:sz w:val="24"/>
              </w:rPr>
              <w:t>3</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80" w:hRule="atLeast"/>
        </w:trPr>
        <w:tc>
          <w:tcPr>
            <w:tcW w:w="578" w:type="dxa"/>
          </w:tcPr>
          <w:p>
            <w:pPr>
              <w:pStyle w:val="TableParagraph"/>
              <w:spacing w:before="135"/>
              <w:ind w:left="9"/>
              <w:jc w:val="center"/>
              <w:rPr>
                <w:sz w:val="24"/>
              </w:rPr>
            </w:pPr>
            <w:r>
              <w:rPr>
                <w:sz w:val="24"/>
              </w:rPr>
              <w:t>4</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79" w:hRule="atLeast"/>
        </w:trPr>
        <w:tc>
          <w:tcPr>
            <w:tcW w:w="578" w:type="dxa"/>
          </w:tcPr>
          <w:p>
            <w:pPr>
              <w:pStyle w:val="TableParagraph"/>
              <w:spacing w:before="135"/>
              <w:ind w:left="9"/>
              <w:jc w:val="center"/>
              <w:rPr>
                <w:sz w:val="24"/>
              </w:rPr>
            </w:pPr>
            <w:r>
              <w:rPr>
                <w:sz w:val="24"/>
              </w:rPr>
              <w:t>5</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80" w:hRule="atLeast"/>
        </w:trPr>
        <w:tc>
          <w:tcPr>
            <w:tcW w:w="578" w:type="dxa"/>
          </w:tcPr>
          <w:p>
            <w:pPr>
              <w:pStyle w:val="TableParagraph"/>
              <w:spacing w:before="135"/>
              <w:ind w:left="9"/>
              <w:jc w:val="center"/>
              <w:rPr>
                <w:sz w:val="24"/>
              </w:rPr>
            </w:pPr>
            <w:r>
              <w:rPr>
                <w:sz w:val="24"/>
              </w:rPr>
              <w:t>6</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80" w:hRule="atLeast"/>
        </w:trPr>
        <w:tc>
          <w:tcPr>
            <w:tcW w:w="578" w:type="dxa"/>
          </w:tcPr>
          <w:p>
            <w:pPr>
              <w:pStyle w:val="TableParagraph"/>
              <w:spacing w:before="135"/>
              <w:ind w:left="9"/>
              <w:jc w:val="center"/>
              <w:rPr>
                <w:sz w:val="24"/>
              </w:rPr>
            </w:pPr>
            <w:r>
              <w:rPr>
                <w:sz w:val="24"/>
              </w:rPr>
              <w:t>7</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79" w:hRule="atLeast"/>
        </w:trPr>
        <w:tc>
          <w:tcPr>
            <w:tcW w:w="578" w:type="dxa"/>
          </w:tcPr>
          <w:p>
            <w:pPr>
              <w:pStyle w:val="TableParagraph"/>
              <w:spacing w:before="135"/>
              <w:ind w:left="9"/>
              <w:jc w:val="center"/>
              <w:rPr>
                <w:sz w:val="24"/>
              </w:rPr>
            </w:pPr>
            <w:r>
              <w:rPr>
                <w:sz w:val="24"/>
              </w:rPr>
              <w:t>8</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80" w:hRule="atLeast"/>
        </w:trPr>
        <w:tc>
          <w:tcPr>
            <w:tcW w:w="578" w:type="dxa"/>
          </w:tcPr>
          <w:p>
            <w:pPr>
              <w:pStyle w:val="TableParagraph"/>
              <w:spacing w:before="135"/>
              <w:ind w:left="9"/>
              <w:jc w:val="center"/>
              <w:rPr>
                <w:sz w:val="24"/>
              </w:rPr>
            </w:pPr>
            <w:r>
              <w:rPr>
                <w:sz w:val="24"/>
              </w:rPr>
              <w:t>9</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80" w:hRule="atLeast"/>
        </w:trPr>
        <w:tc>
          <w:tcPr>
            <w:tcW w:w="578" w:type="dxa"/>
          </w:tcPr>
          <w:p>
            <w:pPr>
              <w:pStyle w:val="TableParagraph"/>
              <w:spacing w:before="135"/>
              <w:ind w:left="29" w:right="19"/>
              <w:jc w:val="center"/>
              <w:rPr>
                <w:sz w:val="24"/>
              </w:rPr>
            </w:pPr>
            <w:r>
              <w:rPr>
                <w:sz w:val="24"/>
              </w:rPr>
              <w:t>10</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79" w:hRule="atLeast"/>
        </w:trPr>
        <w:tc>
          <w:tcPr>
            <w:tcW w:w="578" w:type="dxa"/>
          </w:tcPr>
          <w:p>
            <w:pPr>
              <w:pStyle w:val="TableParagraph"/>
              <w:spacing w:before="135"/>
              <w:ind w:left="29" w:right="19"/>
              <w:jc w:val="center"/>
              <w:rPr>
                <w:sz w:val="24"/>
              </w:rPr>
            </w:pPr>
            <w:r>
              <w:rPr>
                <w:sz w:val="24"/>
              </w:rPr>
              <w:t>11</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80" w:hRule="atLeast"/>
        </w:trPr>
        <w:tc>
          <w:tcPr>
            <w:tcW w:w="578" w:type="dxa"/>
          </w:tcPr>
          <w:p>
            <w:pPr>
              <w:pStyle w:val="TableParagraph"/>
              <w:spacing w:before="135"/>
              <w:ind w:left="29" w:right="19"/>
              <w:jc w:val="center"/>
              <w:rPr>
                <w:sz w:val="24"/>
              </w:rPr>
            </w:pPr>
            <w:r>
              <w:rPr>
                <w:sz w:val="24"/>
              </w:rPr>
              <w:t>12</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80" w:hRule="atLeast"/>
        </w:trPr>
        <w:tc>
          <w:tcPr>
            <w:tcW w:w="578" w:type="dxa"/>
          </w:tcPr>
          <w:p>
            <w:pPr>
              <w:pStyle w:val="TableParagraph"/>
              <w:spacing w:before="135"/>
              <w:ind w:left="29" w:right="19"/>
              <w:jc w:val="center"/>
              <w:rPr>
                <w:sz w:val="24"/>
              </w:rPr>
            </w:pPr>
            <w:r>
              <w:rPr>
                <w:sz w:val="24"/>
              </w:rPr>
              <w:t>13</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79" w:hRule="atLeast"/>
        </w:trPr>
        <w:tc>
          <w:tcPr>
            <w:tcW w:w="578" w:type="dxa"/>
          </w:tcPr>
          <w:p>
            <w:pPr>
              <w:pStyle w:val="TableParagraph"/>
              <w:spacing w:before="135"/>
              <w:ind w:left="29" w:right="19"/>
              <w:jc w:val="center"/>
              <w:rPr>
                <w:sz w:val="24"/>
              </w:rPr>
            </w:pPr>
            <w:r>
              <w:rPr>
                <w:sz w:val="24"/>
              </w:rPr>
              <w:t>14</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r>
        <w:trPr>
          <w:trHeight w:val="680" w:hRule="atLeast"/>
        </w:trPr>
        <w:tc>
          <w:tcPr>
            <w:tcW w:w="578" w:type="dxa"/>
          </w:tcPr>
          <w:p>
            <w:pPr>
              <w:pStyle w:val="TableParagraph"/>
              <w:spacing w:before="135"/>
              <w:ind w:left="29" w:right="19"/>
              <w:jc w:val="center"/>
              <w:rPr>
                <w:sz w:val="24"/>
              </w:rPr>
            </w:pPr>
            <w:r>
              <w:rPr>
                <w:sz w:val="24"/>
              </w:rPr>
              <w:t>15</w:t>
            </w:r>
          </w:p>
        </w:tc>
        <w:tc>
          <w:tcPr>
            <w:tcW w:w="1970" w:type="dxa"/>
          </w:tcPr>
          <w:p>
            <w:pPr>
              <w:pStyle w:val="TableParagraph"/>
              <w:rPr>
                <w:rFonts w:ascii="Times New Roman"/>
                <w:sz w:val="22"/>
              </w:rPr>
            </w:pPr>
          </w:p>
        </w:tc>
        <w:tc>
          <w:tcPr>
            <w:tcW w:w="1276" w:type="dxa"/>
          </w:tcPr>
          <w:p>
            <w:pPr>
              <w:pStyle w:val="TableParagraph"/>
              <w:rPr>
                <w:rFonts w:ascii="Times New Roman"/>
                <w:sz w:val="22"/>
              </w:rPr>
            </w:pPr>
          </w:p>
        </w:tc>
        <w:tc>
          <w:tcPr>
            <w:tcW w:w="2258" w:type="dxa"/>
          </w:tcPr>
          <w:p>
            <w:pPr>
              <w:pStyle w:val="TableParagraph"/>
              <w:rPr>
                <w:rFonts w:ascii="Times New Roman"/>
                <w:sz w:val="22"/>
              </w:rPr>
            </w:pPr>
          </w:p>
        </w:tc>
        <w:tc>
          <w:tcPr>
            <w:tcW w:w="998" w:type="dxa"/>
          </w:tcPr>
          <w:p>
            <w:pPr>
              <w:pStyle w:val="TableParagraph"/>
              <w:rPr>
                <w:rFonts w:ascii="Times New Roman"/>
                <w:sz w:val="22"/>
              </w:rPr>
            </w:pPr>
          </w:p>
        </w:tc>
        <w:tc>
          <w:tcPr>
            <w:tcW w:w="1988" w:type="dxa"/>
          </w:tcPr>
          <w:p>
            <w:pPr>
              <w:pStyle w:val="TableParagraph"/>
              <w:rPr>
                <w:rFonts w:ascii="Times New Roman"/>
                <w:sz w:val="22"/>
              </w:rPr>
            </w:pPr>
          </w:p>
        </w:tc>
        <w:tc>
          <w:tcPr>
            <w:tcW w:w="732" w:type="dxa"/>
          </w:tcPr>
          <w:p>
            <w:pPr>
              <w:pStyle w:val="TableParagraph"/>
              <w:rPr>
                <w:rFonts w:ascii="Times New Roman"/>
                <w:sz w:val="22"/>
              </w:rPr>
            </w:pPr>
          </w:p>
        </w:tc>
      </w:tr>
    </w:tbl>
    <w:p>
      <w:pPr>
        <w:pStyle w:val="BodyText"/>
        <w:spacing w:before="15"/>
        <w:rPr>
          <w:b/>
          <w:sz w:val="18"/>
        </w:rPr>
      </w:pPr>
    </w:p>
    <w:p>
      <w:pPr>
        <w:pStyle w:val="BodyText"/>
        <w:spacing w:line="290" w:lineRule="auto"/>
        <w:ind w:left="170" w:right="5628"/>
      </w:pPr>
      <w:r>
        <w:rPr/>
        <w:t>一</w:t>
      </w:r>
      <w:r>
        <w:rPr>
          <w:rFonts w:ascii="標楷體" w:eastAsia="標楷體" w:hint="eastAsia"/>
        </w:rPr>
        <w:t>、</w:t>
      </w:r>
      <w:r>
        <w:rPr/>
        <w:t>備註：符合申請案件如附件之公費藥品申請單二</w:t>
      </w:r>
      <w:r>
        <w:rPr>
          <w:rFonts w:ascii="標楷體" w:eastAsia="標楷體" w:hint="eastAsia"/>
        </w:rPr>
        <w:t>、</w:t>
      </w:r>
      <w:r>
        <w:rPr/>
        <w:t>區管中心承辦人：</w:t>
      </w:r>
    </w:p>
    <w:p>
      <w:pPr>
        <w:pStyle w:val="BodyText"/>
        <w:spacing w:line="259" w:lineRule="auto" w:before="3"/>
        <w:ind w:left="643" w:right="9289" w:hanging="473"/>
      </w:pPr>
      <w:r>
        <w:rPr/>
        <w:t>三</w:t>
      </w:r>
      <w:r>
        <w:rPr>
          <w:rFonts w:ascii="標楷體" w:eastAsia="標楷體" w:hint="eastAsia"/>
        </w:rPr>
        <w:t>、</w:t>
      </w:r>
      <w:r>
        <w:rPr/>
        <w:t>聯絡電話： 傳真日期：</w:t>
      </w:r>
    </w:p>
    <w:p>
      <w:pPr>
        <w:pStyle w:val="BodyText"/>
        <w:tabs>
          <w:tab w:pos="5708" w:val="left" w:leader="none"/>
        </w:tabs>
        <w:spacing w:line="438" w:lineRule="exact"/>
        <w:ind w:left="643"/>
      </w:pPr>
      <w:r>
        <w:rPr>
          <w:spacing w:val="4"/>
        </w:rPr>
        <w:t>寄</w:t>
      </w:r>
      <w:r>
        <w:rPr>
          <w:spacing w:val="3"/>
        </w:rPr>
        <w:t>送日</w:t>
      </w:r>
      <w:r>
        <w:rPr>
          <w:spacing w:val="4"/>
        </w:rPr>
        <w:t>期</w:t>
      </w:r>
      <w:r>
        <w:rPr/>
        <w:t>：</w:t>
        <w:tab/>
      </w:r>
      <w:r>
        <w:rPr>
          <w:spacing w:val="3"/>
        </w:rPr>
        <w:t>（胸腔</w:t>
      </w:r>
      <w:r>
        <w:rPr>
          <w:spacing w:val="4"/>
        </w:rPr>
        <w:t>病</w:t>
      </w:r>
      <w:r>
        <w:rPr>
          <w:spacing w:val="3"/>
        </w:rPr>
        <w:t>院寫）</w:t>
      </w:r>
    </w:p>
    <w:p>
      <w:pPr>
        <w:spacing w:after="0" w:line="438" w:lineRule="exact"/>
        <w:sectPr>
          <w:pgSz w:w="12250" w:h="17190"/>
          <w:pgMar w:header="0" w:footer="828" w:top="1440" w:bottom="1020" w:left="1080" w:right="0"/>
        </w:sectPr>
      </w:pPr>
    </w:p>
    <w:p>
      <w:pPr>
        <w:tabs>
          <w:tab w:pos="2128" w:val="left" w:leader="none"/>
        </w:tabs>
        <w:spacing w:before="7"/>
        <w:ind w:left="280" w:right="0" w:firstLine="0"/>
        <w:jc w:val="left"/>
        <w:rPr>
          <w:b/>
          <w:sz w:val="22"/>
        </w:rPr>
      </w:pPr>
      <w:r>
        <w:rPr>
          <w:b/>
          <w:sz w:val="24"/>
        </w:rPr>
        <w:t>附件6-1-2</w:t>
        <w:tab/>
      </w:r>
      <w:r>
        <w:rPr>
          <w:b/>
          <w:sz w:val="26"/>
        </w:rPr>
        <w:t>衛生福利部疾病管制署抗結核公費用藥申請單</w:t>
      </w:r>
      <w:r>
        <w:rPr>
          <w:b/>
          <w:spacing w:val="63"/>
          <w:sz w:val="26"/>
        </w:rPr>
        <w:t> </w:t>
      </w:r>
      <w:r>
        <w:rPr>
          <w:b/>
          <w:position w:val="2"/>
          <w:sz w:val="22"/>
          <w:shd w:fill="CCCCCC" w:color="auto" w:val="clear"/>
        </w:rPr>
        <w:t>請印雙面(正面) </w:t>
      </w:r>
    </w:p>
    <w:p>
      <w:pPr>
        <w:pStyle w:val="BodyText"/>
        <w:spacing w:before="1"/>
        <w:rPr>
          <w:b/>
          <w:sz w:val="5"/>
        </w:rPr>
      </w:pPr>
    </w:p>
    <w:tbl>
      <w:tblPr>
        <w:tblW w:w="0" w:type="auto"/>
        <w:jc w:val="left"/>
        <w:tblInd w:w="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9"/>
        <w:gridCol w:w="3410"/>
        <w:gridCol w:w="3432"/>
      </w:tblGrid>
      <w:tr>
        <w:trPr>
          <w:trHeight w:val="323" w:hRule="atLeast"/>
        </w:trPr>
        <w:tc>
          <w:tcPr>
            <w:tcW w:w="2159" w:type="dxa"/>
          </w:tcPr>
          <w:p>
            <w:pPr>
              <w:pStyle w:val="TableParagraph"/>
              <w:spacing w:line="303" w:lineRule="exact"/>
              <w:ind w:left="50"/>
              <w:rPr>
                <w:sz w:val="23"/>
              </w:rPr>
            </w:pPr>
            <w:r>
              <w:rPr>
                <w:sz w:val="23"/>
              </w:rPr>
              <w:t>申請醫院：</w:t>
            </w:r>
          </w:p>
        </w:tc>
        <w:tc>
          <w:tcPr>
            <w:tcW w:w="3410" w:type="dxa"/>
          </w:tcPr>
          <w:p>
            <w:pPr>
              <w:pStyle w:val="TableParagraph"/>
              <w:spacing w:line="303" w:lineRule="exact"/>
              <w:ind w:left="651"/>
              <w:rPr>
                <w:sz w:val="23"/>
              </w:rPr>
            </w:pPr>
            <w:r>
              <w:rPr>
                <w:sz w:val="23"/>
              </w:rPr>
              <w:t>申請醫師簽章：</w:t>
            </w:r>
          </w:p>
        </w:tc>
        <w:tc>
          <w:tcPr>
            <w:tcW w:w="3432" w:type="dxa"/>
          </w:tcPr>
          <w:p>
            <w:pPr>
              <w:pStyle w:val="TableParagraph"/>
              <w:spacing w:line="303" w:lineRule="exact"/>
              <w:ind w:left="459"/>
              <w:rPr>
                <w:sz w:val="23"/>
              </w:rPr>
            </w:pPr>
            <w:r>
              <w:rPr>
                <w:sz w:val="23"/>
              </w:rPr>
              <w:t>醫院聯絡人：</w:t>
            </w:r>
          </w:p>
        </w:tc>
      </w:tr>
      <w:tr>
        <w:trPr>
          <w:trHeight w:val="339" w:hRule="atLeast"/>
        </w:trPr>
        <w:tc>
          <w:tcPr>
            <w:tcW w:w="2159" w:type="dxa"/>
          </w:tcPr>
          <w:p>
            <w:pPr>
              <w:pStyle w:val="TableParagraph"/>
              <w:spacing w:line="320" w:lineRule="exact"/>
              <w:ind w:left="50"/>
              <w:rPr>
                <w:sz w:val="23"/>
              </w:rPr>
            </w:pPr>
            <w:r>
              <w:rPr>
                <w:sz w:val="23"/>
              </w:rPr>
              <w:t>聯絡電話：</w:t>
            </w:r>
          </w:p>
        </w:tc>
        <w:tc>
          <w:tcPr>
            <w:tcW w:w="3410" w:type="dxa"/>
          </w:tcPr>
          <w:p>
            <w:pPr>
              <w:pStyle w:val="TableParagraph"/>
              <w:spacing w:line="320" w:lineRule="exact"/>
              <w:ind w:left="651"/>
              <w:rPr>
                <w:sz w:val="23"/>
              </w:rPr>
            </w:pPr>
            <w:r>
              <w:rPr>
                <w:sz w:val="23"/>
              </w:rPr>
              <w:t>傳真：</w:t>
            </w:r>
          </w:p>
        </w:tc>
        <w:tc>
          <w:tcPr>
            <w:tcW w:w="3432" w:type="dxa"/>
          </w:tcPr>
          <w:p>
            <w:pPr>
              <w:pStyle w:val="TableParagraph"/>
              <w:spacing w:line="320" w:lineRule="exact"/>
              <w:ind w:left="459"/>
              <w:rPr>
                <w:sz w:val="23"/>
              </w:rPr>
            </w:pPr>
            <w:r>
              <w:rPr>
                <w:sz w:val="23"/>
              </w:rPr>
              <w:t>醫院地址：</w:t>
            </w:r>
          </w:p>
        </w:tc>
      </w:tr>
      <w:tr>
        <w:trPr>
          <w:trHeight w:val="340" w:hRule="atLeast"/>
        </w:trPr>
        <w:tc>
          <w:tcPr>
            <w:tcW w:w="2159" w:type="dxa"/>
          </w:tcPr>
          <w:p>
            <w:pPr>
              <w:pStyle w:val="TableParagraph"/>
              <w:spacing w:line="320" w:lineRule="exact"/>
              <w:ind w:left="50"/>
              <w:rPr>
                <w:sz w:val="23"/>
              </w:rPr>
            </w:pPr>
            <w:r>
              <w:rPr>
                <w:sz w:val="23"/>
              </w:rPr>
              <w:t>申請日期：</w:t>
            </w:r>
          </w:p>
        </w:tc>
        <w:tc>
          <w:tcPr>
            <w:tcW w:w="3410" w:type="dxa"/>
          </w:tcPr>
          <w:p>
            <w:pPr>
              <w:pStyle w:val="TableParagraph"/>
              <w:spacing w:line="320" w:lineRule="exact"/>
              <w:ind w:left="651"/>
              <w:rPr>
                <w:sz w:val="23"/>
              </w:rPr>
            </w:pPr>
            <w:r>
              <w:rPr>
                <w:sz w:val="23"/>
              </w:rPr>
              <w:t>開始使用公費藥日期：</w:t>
            </w:r>
          </w:p>
        </w:tc>
        <w:tc>
          <w:tcPr>
            <w:tcW w:w="3432" w:type="dxa"/>
          </w:tcPr>
          <w:p>
            <w:pPr>
              <w:pStyle w:val="TableParagraph"/>
              <w:spacing w:line="320" w:lineRule="exact"/>
              <w:ind w:left="805"/>
              <w:rPr>
                <w:sz w:val="23"/>
              </w:rPr>
            </w:pPr>
            <w:r>
              <w:rPr>
                <w:sz w:val="23"/>
              </w:rPr>
              <w:t>（加入DOTS</w:t>
            </w:r>
            <w:r>
              <w:rPr>
                <w:spacing w:val="54"/>
                <w:sz w:val="23"/>
              </w:rPr>
              <w:t> </w:t>
            </w:r>
            <w:r>
              <w:rPr>
                <w:rFonts w:ascii="新細明體" w:hAnsi="新細明體" w:eastAsia="新細明體" w:hint="eastAsia"/>
                <w:sz w:val="23"/>
              </w:rPr>
              <w:t>□</w:t>
            </w:r>
            <w:r>
              <w:rPr>
                <w:sz w:val="23"/>
              </w:rPr>
              <w:t>有</w:t>
            </w:r>
            <w:r>
              <w:rPr>
                <w:rFonts w:ascii="新細明體" w:hAnsi="新細明體" w:eastAsia="新細明體" w:hint="eastAsia"/>
                <w:sz w:val="23"/>
              </w:rPr>
              <w:t>□</w:t>
            </w:r>
            <w:r>
              <w:rPr>
                <w:sz w:val="23"/>
              </w:rPr>
              <w:t>無）</w:t>
            </w:r>
          </w:p>
        </w:tc>
      </w:tr>
      <w:tr>
        <w:trPr>
          <w:trHeight w:val="340" w:hRule="atLeast"/>
        </w:trPr>
        <w:tc>
          <w:tcPr>
            <w:tcW w:w="2159" w:type="dxa"/>
          </w:tcPr>
          <w:p>
            <w:pPr>
              <w:pStyle w:val="TableParagraph"/>
              <w:spacing w:line="320" w:lineRule="exact"/>
              <w:ind w:left="50"/>
              <w:rPr>
                <w:sz w:val="23"/>
              </w:rPr>
            </w:pPr>
            <w:r>
              <w:rPr>
                <w:sz w:val="23"/>
              </w:rPr>
              <w:t>個案姓名：</w:t>
            </w:r>
          </w:p>
        </w:tc>
        <w:tc>
          <w:tcPr>
            <w:tcW w:w="3410" w:type="dxa"/>
          </w:tcPr>
          <w:p>
            <w:pPr>
              <w:pStyle w:val="TableParagraph"/>
              <w:spacing w:line="320" w:lineRule="exact"/>
              <w:ind w:left="651"/>
              <w:rPr>
                <w:sz w:val="23"/>
              </w:rPr>
            </w:pPr>
            <w:r>
              <w:rPr>
                <w:sz w:val="23"/>
              </w:rPr>
              <w:t>出生年月日：</w:t>
            </w:r>
          </w:p>
        </w:tc>
        <w:tc>
          <w:tcPr>
            <w:tcW w:w="3432" w:type="dxa"/>
          </w:tcPr>
          <w:p>
            <w:pPr>
              <w:pStyle w:val="TableParagraph"/>
              <w:spacing w:line="320" w:lineRule="exact"/>
              <w:ind w:left="460"/>
              <w:rPr>
                <w:sz w:val="23"/>
              </w:rPr>
            </w:pPr>
            <w:r>
              <w:rPr>
                <w:sz w:val="23"/>
              </w:rPr>
              <w:t>身分證字號：</w:t>
            </w:r>
          </w:p>
        </w:tc>
      </w:tr>
      <w:tr>
        <w:trPr>
          <w:trHeight w:val="323" w:hRule="atLeast"/>
        </w:trPr>
        <w:tc>
          <w:tcPr>
            <w:tcW w:w="2159" w:type="dxa"/>
          </w:tcPr>
          <w:p>
            <w:pPr>
              <w:pStyle w:val="TableParagraph"/>
              <w:tabs>
                <w:tab w:pos="1775" w:val="left" w:leader="none"/>
              </w:tabs>
              <w:spacing w:line="303" w:lineRule="exact"/>
              <w:ind w:left="50"/>
              <w:rPr>
                <w:sz w:val="23"/>
              </w:rPr>
            </w:pPr>
            <w:r>
              <w:rPr>
                <w:sz w:val="23"/>
              </w:rPr>
              <w:t>體重：</w:t>
            </w:r>
            <w:r>
              <w:rPr>
                <w:sz w:val="23"/>
                <w:u w:val="thick"/>
              </w:rPr>
              <w:t> </w:t>
              <w:tab/>
            </w:r>
            <w:r>
              <w:rPr>
                <w:sz w:val="23"/>
              </w:rPr>
              <w:t>kg</w:t>
            </w:r>
          </w:p>
        </w:tc>
        <w:tc>
          <w:tcPr>
            <w:tcW w:w="3410" w:type="dxa"/>
          </w:tcPr>
          <w:p>
            <w:pPr>
              <w:pStyle w:val="TableParagraph"/>
              <w:spacing w:line="303" w:lineRule="exact"/>
              <w:ind w:left="114"/>
              <w:rPr>
                <w:sz w:val="23"/>
              </w:rPr>
            </w:pPr>
            <w:r>
              <w:rPr>
                <w:sz w:val="23"/>
              </w:rPr>
              <w:t>（健保 </w:t>
            </w:r>
            <w:r>
              <w:rPr>
                <w:rFonts w:ascii="新細明體" w:hAnsi="新細明體" w:eastAsia="新細明體" w:hint="eastAsia"/>
                <w:sz w:val="23"/>
              </w:rPr>
              <w:t>□</w:t>
            </w:r>
            <w:r>
              <w:rPr>
                <w:sz w:val="23"/>
              </w:rPr>
              <w:t>有</w:t>
            </w:r>
            <w:r>
              <w:rPr>
                <w:rFonts w:ascii="新細明體" w:hAnsi="新細明體" w:eastAsia="新細明體" w:hint="eastAsia"/>
                <w:sz w:val="23"/>
              </w:rPr>
              <w:t>□</w:t>
            </w:r>
            <w:r>
              <w:rPr>
                <w:sz w:val="23"/>
              </w:rPr>
              <w:t>無）</w:t>
            </w:r>
          </w:p>
        </w:tc>
        <w:tc>
          <w:tcPr>
            <w:tcW w:w="3432" w:type="dxa"/>
          </w:tcPr>
          <w:p>
            <w:pPr>
              <w:pStyle w:val="TableParagraph"/>
              <w:spacing w:line="303" w:lineRule="exact"/>
              <w:ind w:left="469"/>
              <w:rPr>
                <w:sz w:val="23"/>
              </w:rPr>
            </w:pPr>
            <w:r>
              <w:rPr>
                <w:sz w:val="23"/>
              </w:rPr>
              <w:t>個案管理單位：</w:t>
            </w:r>
          </w:p>
        </w:tc>
      </w:tr>
    </w:tbl>
    <w:p>
      <w:pPr>
        <w:pStyle w:val="BodyText"/>
        <w:spacing w:before="15" w:after="1"/>
        <w:rPr>
          <w:b/>
          <w:sz w:val="6"/>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8"/>
        <w:gridCol w:w="548"/>
        <w:gridCol w:w="1647"/>
        <w:gridCol w:w="1347"/>
        <w:gridCol w:w="1214"/>
        <w:gridCol w:w="1080"/>
      </w:tblGrid>
      <w:tr>
        <w:trPr>
          <w:trHeight w:val="678" w:hRule="atLeast"/>
        </w:trPr>
        <w:tc>
          <w:tcPr>
            <w:tcW w:w="4028" w:type="dxa"/>
          </w:tcPr>
          <w:p>
            <w:pPr>
              <w:pStyle w:val="TableParagraph"/>
              <w:spacing w:before="139"/>
              <w:ind w:left="1533" w:right="1525"/>
              <w:jc w:val="center"/>
              <w:rPr>
                <w:sz w:val="23"/>
              </w:rPr>
            </w:pPr>
            <w:r>
              <w:rPr>
                <w:sz w:val="23"/>
              </w:rPr>
              <w:t>藥品名稱</w:t>
            </w:r>
          </w:p>
        </w:tc>
        <w:tc>
          <w:tcPr>
            <w:tcW w:w="548" w:type="dxa"/>
          </w:tcPr>
          <w:p>
            <w:pPr>
              <w:pStyle w:val="TableParagraph"/>
              <w:spacing w:before="139"/>
              <w:ind w:left="23" w:right="14"/>
              <w:jc w:val="center"/>
              <w:rPr>
                <w:sz w:val="23"/>
              </w:rPr>
            </w:pPr>
            <w:r>
              <w:rPr>
                <w:sz w:val="23"/>
              </w:rPr>
              <w:t>單位</w:t>
            </w:r>
          </w:p>
        </w:tc>
        <w:tc>
          <w:tcPr>
            <w:tcW w:w="1647" w:type="dxa"/>
          </w:tcPr>
          <w:p>
            <w:pPr>
              <w:pStyle w:val="TableParagraph"/>
              <w:spacing w:line="327" w:lineRule="exact"/>
              <w:ind w:left="113" w:right="103"/>
              <w:jc w:val="center"/>
              <w:rPr>
                <w:sz w:val="23"/>
              </w:rPr>
            </w:pPr>
            <w:r>
              <w:rPr>
                <w:sz w:val="23"/>
              </w:rPr>
              <w:t>單次服用劑量</w:t>
            </w:r>
          </w:p>
          <w:p>
            <w:pPr>
              <w:pStyle w:val="TableParagraph"/>
              <w:spacing w:line="332" w:lineRule="exact"/>
              <w:ind w:left="113" w:right="102"/>
              <w:jc w:val="center"/>
              <w:rPr>
                <w:sz w:val="23"/>
              </w:rPr>
            </w:pPr>
            <w:r>
              <w:rPr>
                <w:sz w:val="23"/>
              </w:rPr>
              <w:t>(單位數)</w:t>
            </w:r>
          </w:p>
        </w:tc>
        <w:tc>
          <w:tcPr>
            <w:tcW w:w="1347" w:type="dxa"/>
          </w:tcPr>
          <w:p>
            <w:pPr>
              <w:pStyle w:val="TableParagraph"/>
              <w:spacing w:before="139"/>
              <w:ind w:left="445"/>
              <w:rPr>
                <w:sz w:val="23"/>
              </w:rPr>
            </w:pPr>
            <w:r>
              <w:rPr>
                <w:sz w:val="23"/>
              </w:rPr>
              <w:t>用法</w:t>
            </w:r>
          </w:p>
        </w:tc>
        <w:tc>
          <w:tcPr>
            <w:tcW w:w="1214" w:type="dxa"/>
          </w:tcPr>
          <w:p>
            <w:pPr>
              <w:pStyle w:val="TableParagraph"/>
              <w:spacing w:before="139"/>
              <w:ind w:left="378"/>
              <w:rPr>
                <w:sz w:val="23"/>
              </w:rPr>
            </w:pPr>
            <w:r>
              <w:rPr>
                <w:sz w:val="23"/>
              </w:rPr>
              <w:t>天數</w:t>
            </w:r>
          </w:p>
        </w:tc>
        <w:tc>
          <w:tcPr>
            <w:tcW w:w="1080" w:type="dxa"/>
          </w:tcPr>
          <w:p>
            <w:pPr>
              <w:pStyle w:val="TableParagraph"/>
              <w:spacing w:before="139"/>
              <w:ind w:left="312"/>
              <w:rPr>
                <w:sz w:val="23"/>
              </w:rPr>
            </w:pPr>
            <w:r>
              <w:rPr>
                <w:sz w:val="23"/>
              </w:rPr>
              <w:t>總量</w:t>
            </w:r>
          </w:p>
        </w:tc>
      </w:tr>
      <w:tr>
        <w:trPr>
          <w:trHeight w:val="340" w:hRule="atLeast"/>
        </w:trPr>
        <w:tc>
          <w:tcPr>
            <w:tcW w:w="4028" w:type="dxa"/>
          </w:tcPr>
          <w:p>
            <w:pPr>
              <w:pStyle w:val="TableParagraph"/>
              <w:spacing w:line="320" w:lineRule="exact"/>
              <w:ind w:left="48"/>
              <w:rPr>
                <w:sz w:val="23"/>
              </w:rPr>
            </w:pPr>
            <w:r>
              <w:rPr>
                <w:sz w:val="23"/>
              </w:rPr>
              <w:t>Prothionamide 250mg</w:t>
            </w:r>
          </w:p>
        </w:tc>
        <w:tc>
          <w:tcPr>
            <w:tcW w:w="548" w:type="dxa"/>
          </w:tcPr>
          <w:p>
            <w:pPr>
              <w:pStyle w:val="TableParagraph"/>
              <w:spacing w:line="320" w:lineRule="exact"/>
              <w:ind w:left="9"/>
              <w:jc w:val="center"/>
              <w:rPr>
                <w:sz w:val="23"/>
              </w:rPr>
            </w:pPr>
            <w:r>
              <w:rPr>
                <w:w w:val="100"/>
                <w:sz w:val="23"/>
              </w:rPr>
              <w:t>錠</w:t>
            </w:r>
          </w:p>
        </w:tc>
        <w:tc>
          <w:tcPr>
            <w:tcW w:w="1647" w:type="dxa"/>
          </w:tcPr>
          <w:p>
            <w:pPr>
              <w:pStyle w:val="TableParagraph"/>
              <w:rPr>
                <w:rFonts w:ascii="Times New Roman"/>
                <w:sz w:val="22"/>
              </w:rPr>
            </w:pPr>
          </w:p>
        </w:tc>
        <w:tc>
          <w:tcPr>
            <w:tcW w:w="1347" w:type="dxa"/>
          </w:tcPr>
          <w:p>
            <w:pPr>
              <w:pStyle w:val="TableParagraph"/>
              <w:rPr>
                <w:rFonts w:ascii="Times New Roman"/>
                <w:sz w:val="22"/>
              </w:rPr>
            </w:pPr>
          </w:p>
        </w:tc>
        <w:tc>
          <w:tcPr>
            <w:tcW w:w="1214" w:type="dxa"/>
          </w:tcPr>
          <w:p>
            <w:pPr>
              <w:pStyle w:val="TableParagraph"/>
              <w:rPr>
                <w:rFonts w:ascii="Times New Roman"/>
                <w:sz w:val="22"/>
              </w:rPr>
            </w:pPr>
          </w:p>
        </w:tc>
        <w:tc>
          <w:tcPr>
            <w:tcW w:w="1080" w:type="dxa"/>
          </w:tcPr>
          <w:p>
            <w:pPr>
              <w:pStyle w:val="TableParagraph"/>
              <w:rPr>
                <w:rFonts w:ascii="Times New Roman"/>
                <w:sz w:val="22"/>
              </w:rPr>
            </w:pPr>
          </w:p>
        </w:tc>
      </w:tr>
      <w:tr>
        <w:trPr>
          <w:trHeight w:val="599" w:hRule="atLeast"/>
        </w:trPr>
        <w:tc>
          <w:tcPr>
            <w:tcW w:w="4028" w:type="dxa"/>
          </w:tcPr>
          <w:p>
            <w:pPr>
              <w:pStyle w:val="TableParagraph"/>
              <w:spacing w:line="298" w:lineRule="exact"/>
              <w:ind w:left="48"/>
              <w:rPr>
                <w:sz w:val="23"/>
              </w:rPr>
            </w:pPr>
            <w:r>
              <w:rPr>
                <w:sz w:val="23"/>
              </w:rPr>
              <w:t>Levofloxacin 750mg/500mg/100mg</w:t>
            </w:r>
          </w:p>
          <w:p>
            <w:pPr>
              <w:pStyle w:val="TableParagraph"/>
              <w:spacing w:line="281" w:lineRule="exact"/>
              <w:ind w:left="48"/>
              <w:rPr>
                <w:sz w:val="23"/>
              </w:rPr>
            </w:pPr>
            <w:r>
              <w:rPr>
                <w:sz w:val="23"/>
              </w:rPr>
              <w:t>(請圈選)</w:t>
            </w:r>
          </w:p>
        </w:tc>
        <w:tc>
          <w:tcPr>
            <w:tcW w:w="548" w:type="dxa"/>
          </w:tcPr>
          <w:p>
            <w:pPr>
              <w:pStyle w:val="TableParagraph"/>
              <w:spacing w:line="392" w:lineRule="exact"/>
              <w:ind w:left="9"/>
              <w:jc w:val="center"/>
              <w:rPr>
                <w:sz w:val="23"/>
              </w:rPr>
            </w:pPr>
            <w:r>
              <w:rPr>
                <w:w w:val="100"/>
                <w:sz w:val="23"/>
              </w:rPr>
              <w:t>錠</w:t>
            </w:r>
          </w:p>
        </w:tc>
        <w:tc>
          <w:tcPr>
            <w:tcW w:w="1647" w:type="dxa"/>
          </w:tcPr>
          <w:p>
            <w:pPr>
              <w:pStyle w:val="TableParagraph"/>
              <w:rPr>
                <w:rFonts w:ascii="Times New Roman"/>
                <w:sz w:val="22"/>
              </w:rPr>
            </w:pPr>
          </w:p>
        </w:tc>
        <w:tc>
          <w:tcPr>
            <w:tcW w:w="1347" w:type="dxa"/>
          </w:tcPr>
          <w:p>
            <w:pPr>
              <w:pStyle w:val="TableParagraph"/>
              <w:rPr>
                <w:rFonts w:ascii="Times New Roman"/>
                <w:sz w:val="22"/>
              </w:rPr>
            </w:pPr>
          </w:p>
        </w:tc>
        <w:tc>
          <w:tcPr>
            <w:tcW w:w="1214" w:type="dxa"/>
          </w:tcPr>
          <w:p>
            <w:pPr>
              <w:pStyle w:val="TableParagraph"/>
              <w:rPr>
                <w:rFonts w:ascii="Times New Roman"/>
                <w:sz w:val="22"/>
              </w:rPr>
            </w:pPr>
          </w:p>
        </w:tc>
        <w:tc>
          <w:tcPr>
            <w:tcW w:w="1080" w:type="dxa"/>
          </w:tcPr>
          <w:p>
            <w:pPr>
              <w:pStyle w:val="TableParagraph"/>
              <w:rPr>
                <w:rFonts w:ascii="Times New Roman"/>
                <w:sz w:val="22"/>
              </w:rPr>
            </w:pPr>
          </w:p>
        </w:tc>
      </w:tr>
      <w:tr>
        <w:trPr>
          <w:trHeight w:val="340" w:hRule="atLeast"/>
        </w:trPr>
        <w:tc>
          <w:tcPr>
            <w:tcW w:w="4028" w:type="dxa"/>
          </w:tcPr>
          <w:p>
            <w:pPr>
              <w:pStyle w:val="TableParagraph"/>
              <w:spacing w:line="320" w:lineRule="exact"/>
              <w:ind w:left="48"/>
              <w:rPr>
                <w:sz w:val="23"/>
              </w:rPr>
            </w:pPr>
            <w:r>
              <w:rPr>
                <w:sz w:val="23"/>
              </w:rPr>
              <w:t>Moxifloxacin 400mg</w:t>
            </w:r>
          </w:p>
        </w:tc>
        <w:tc>
          <w:tcPr>
            <w:tcW w:w="548" w:type="dxa"/>
          </w:tcPr>
          <w:p>
            <w:pPr>
              <w:pStyle w:val="TableParagraph"/>
              <w:spacing w:line="320" w:lineRule="exact"/>
              <w:ind w:left="9"/>
              <w:jc w:val="center"/>
              <w:rPr>
                <w:sz w:val="23"/>
              </w:rPr>
            </w:pPr>
            <w:r>
              <w:rPr>
                <w:w w:val="100"/>
                <w:sz w:val="23"/>
              </w:rPr>
              <w:t>錠</w:t>
            </w:r>
          </w:p>
        </w:tc>
        <w:tc>
          <w:tcPr>
            <w:tcW w:w="1647" w:type="dxa"/>
          </w:tcPr>
          <w:p>
            <w:pPr>
              <w:pStyle w:val="TableParagraph"/>
              <w:rPr>
                <w:rFonts w:ascii="Times New Roman"/>
                <w:sz w:val="22"/>
              </w:rPr>
            </w:pPr>
          </w:p>
        </w:tc>
        <w:tc>
          <w:tcPr>
            <w:tcW w:w="1347" w:type="dxa"/>
          </w:tcPr>
          <w:p>
            <w:pPr>
              <w:pStyle w:val="TableParagraph"/>
              <w:rPr>
                <w:rFonts w:ascii="Times New Roman"/>
                <w:sz w:val="22"/>
              </w:rPr>
            </w:pPr>
          </w:p>
        </w:tc>
        <w:tc>
          <w:tcPr>
            <w:tcW w:w="1214" w:type="dxa"/>
          </w:tcPr>
          <w:p>
            <w:pPr>
              <w:pStyle w:val="TableParagraph"/>
              <w:rPr>
                <w:rFonts w:ascii="Times New Roman"/>
                <w:sz w:val="22"/>
              </w:rPr>
            </w:pPr>
          </w:p>
        </w:tc>
        <w:tc>
          <w:tcPr>
            <w:tcW w:w="1080" w:type="dxa"/>
          </w:tcPr>
          <w:p>
            <w:pPr>
              <w:pStyle w:val="TableParagraph"/>
              <w:rPr>
                <w:rFonts w:ascii="Times New Roman"/>
                <w:sz w:val="22"/>
              </w:rPr>
            </w:pPr>
          </w:p>
        </w:tc>
      </w:tr>
      <w:tr>
        <w:trPr>
          <w:trHeight w:val="340" w:hRule="atLeast"/>
        </w:trPr>
        <w:tc>
          <w:tcPr>
            <w:tcW w:w="4028" w:type="dxa"/>
          </w:tcPr>
          <w:p>
            <w:pPr>
              <w:pStyle w:val="TableParagraph"/>
              <w:spacing w:line="320" w:lineRule="exact"/>
              <w:ind w:left="48"/>
              <w:rPr>
                <w:sz w:val="23"/>
              </w:rPr>
            </w:pPr>
            <w:r>
              <w:rPr>
                <w:sz w:val="23"/>
              </w:rPr>
              <w:t>Cycloserine 250mg</w:t>
            </w:r>
          </w:p>
        </w:tc>
        <w:tc>
          <w:tcPr>
            <w:tcW w:w="548" w:type="dxa"/>
          </w:tcPr>
          <w:p>
            <w:pPr>
              <w:pStyle w:val="TableParagraph"/>
              <w:spacing w:line="320" w:lineRule="exact"/>
              <w:ind w:left="23" w:right="14"/>
              <w:jc w:val="center"/>
              <w:rPr>
                <w:sz w:val="23"/>
              </w:rPr>
            </w:pPr>
            <w:r>
              <w:rPr>
                <w:sz w:val="23"/>
              </w:rPr>
              <w:t>膠囊</w:t>
            </w:r>
          </w:p>
        </w:tc>
        <w:tc>
          <w:tcPr>
            <w:tcW w:w="1647" w:type="dxa"/>
          </w:tcPr>
          <w:p>
            <w:pPr>
              <w:pStyle w:val="TableParagraph"/>
              <w:rPr>
                <w:rFonts w:ascii="Times New Roman"/>
                <w:sz w:val="22"/>
              </w:rPr>
            </w:pPr>
          </w:p>
        </w:tc>
        <w:tc>
          <w:tcPr>
            <w:tcW w:w="1347" w:type="dxa"/>
          </w:tcPr>
          <w:p>
            <w:pPr>
              <w:pStyle w:val="TableParagraph"/>
              <w:rPr>
                <w:rFonts w:ascii="Times New Roman"/>
                <w:sz w:val="22"/>
              </w:rPr>
            </w:pPr>
          </w:p>
        </w:tc>
        <w:tc>
          <w:tcPr>
            <w:tcW w:w="1214" w:type="dxa"/>
          </w:tcPr>
          <w:p>
            <w:pPr>
              <w:pStyle w:val="TableParagraph"/>
              <w:rPr>
                <w:rFonts w:ascii="Times New Roman"/>
                <w:sz w:val="22"/>
              </w:rPr>
            </w:pPr>
          </w:p>
        </w:tc>
        <w:tc>
          <w:tcPr>
            <w:tcW w:w="1080" w:type="dxa"/>
          </w:tcPr>
          <w:p>
            <w:pPr>
              <w:pStyle w:val="TableParagraph"/>
              <w:rPr>
                <w:rFonts w:ascii="Times New Roman"/>
                <w:sz w:val="22"/>
              </w:rPr>
            </w:pPr>
          </w:p>
        </w:tc>
      </w:tr>
      <w:tr>
        <w:trPr>
          <w:trHeight w:val="339" w:hRule="atLeast"/>
        </w:trPr>
        <w:tc>
          <w:tcPr>
            <w:tcW w:w="4028" w:type="dxa"/>
          </w:tcPr>
          <w:p>
            <w:pPr>
              <w:pStyle w:val="TableParagraph"/>
              <w:spacing w:line="319" w:lineRule="exact"/>
              <w:ind w:left="48"/>
              <w:rPr>
                <w:sz w:val="23"/>
              </w:rPr>
            </w:pPr>
            <w:r>
              <w:rPr>
                <w:sz w:val="23"/>
              </w:rPr>
              <w:t>Kanamycin 1gm（KM）</w:t>
            </w:r>
          </w:p>
        </w:tc>
        <w:tc>
          <w:tcPr>
            <w:tcW w:w="548" w:type="dxa"/>
          </w:tcPr>
          <w:p>
            <w:pPr>
              <w:pStyle w:val="TableParagraph"/>
              <w:spacing w:line="319" w:lineRule="exact"/>
              <w:ind w:left="9"/>
              <w:jc w:val="center"/>
              <w:rPr>
                <w:sz w:val="23"/>
              </w:rPr>
            </w:pPr>
            <w:r>
              <w:rPr>
                <w:w w:val="100"/>
                <w:sz w:val="23"/>
              </w:rPr>
              <w:t>瓶</w:t>
            </w:r>
          </w:p>
        </w:tc>
        <w:tc>
          <w:tcPr>
            <w:tcW w:w="1647" w:type="dxa"/>
          </w:tcPr>
          <w:p>
            <w:pPr>
              <w:pStyle w:val="TableParagraph"/>
              <w:rPr>
                <w:rFonts w:ascii="Times New Roman"/>
                <w:sz w:val="22"/>
              </w:rPr>
            </w:pPr>
          </w:p>
        </w:tc>
        <w:tc>
          <w:tcPr>
            <w:tcW w:w="1347" w:type="dxa"/>
          </w:tcPr>
          <w:p>
            <w:pPr>
              <w:pStyle w:val="TableParagraph"/>
              <w:rPr>
                <w:rFonts w:ascii="Times New Roman"/>
                <w:sz w:val="22"/>
              </w:rPr>
            </w:pPr>
          </w:p>
        </w:tc>
        <w:tc>
          <w:tcPr>
            <w:tcW w:w="1214" w:type="dxa"/>
          </w:tcPr>
          <w:p>
            <w:pPr>
              <w:pStyle w:val="TableParagraph"/>
              <w:rPr>
                <w:rFonts w:ascii="Times New Roman"/>
                <w:sz w:val="22"/>
              </w:rPr>
            </w:pPr>
          </w:p>
        </w:tc>
        <w:tc>
          <w:tcPr>
            <w:tcW w:w="1080" w:type="dxa"/>
          </w:tcPr>
          <w:p>
            <w:pPr>
              <w:pStyle w:val="TableParagraph"/>
              <w:rPr>
                <w:rFonts w:ascii="Times New Roman"/>
                <w:sz w:val="22"/>
              </w:rPr>
            </w:pPr>
          </w:p>
        </w:tc>
      </w:tr>
      <w:tr>
        <w:trPr>
          <w:trHeight w:val="340" w:hRule="atLeast"/>
        </w:trPr>
        <w:tc>
          <w:tcPr>
            <w:tcW w:w="4028" w:type="dxa"/>
          </w:tcPr>
          <w:p>
            <w:pPr>
              <w:pStyle w:val="TableParagraph"/>
              <w:spacing w:line="320" w:lineRule="exact"/>
              <w:ind w:left="48"/>
              <w:rPr>
                <w:sz w:val="23"/>
              </w:rPr>
            </w:pPr>
            <w:r>
              <w:rPr>
                <w:sz w:val="23"/>
              </w:rPr>
              <w:t>Streptomycin 1gm（SM）</w:t>
            </w:r>
          </w:p>
        </w:tc>
        <w:tc>
          <w:tcPr>
            <w:tcW w:w="548" w:type="dxa"/>
          </w:tcPr>
          <w:p>
            <w:pPr>
              <w:pStyle w:val="TableParagraph"/>
              <w:spacing w:line="320" w:lineRule="exact"/>
              <w:ind w:left="9"/>
              <w:jc w:val="center"/>
              <w:rPr>
                <w:sz w:val="23"/>
              </w:rPr>
            </w:pPr>
            <w:r>
              <w:rPr>
                <w:w w:val="100"/>
                <w:sz w:val="23"/>
              </w:rPr>
              <w:t>瓶</w:t>
            </w:r>
          </w:p>
        </w:tc>
        <w:tc>
          <w:tcPr>
            <w:tcW w:w="1647" w:type="dxa"/>
          </w:tcPr>
          <w:p>
            <w:pPr>
              <w:pStyle w:val="TableParagraph"/>
              <w:rPr>
                <w:rFonts w:ascii="Times New Roman"/>
                <w:sz w:val="22"/>
              </w:rPr>
            </w:pPr>
          </w:p>
        </w:tc>
        <w:tc>
          <w:tcPr>
            <w:tcW w:w="1347" w:type="dxa"/>
          </w:tcPr>
          <w:p>
            <w:pPr>
              <w:pStyle w:val="TableParagraph"/>
              <w:rPr>
                <w:rFonts w:ascii="Times New Roman"/>
                <w:sz w:val="22"/>
              </w:rPr>
            </w:pPr>
          </w:p>
        </w:tc>
        <w:tc>
          <w:tcPr>
            <w:tcW w:w="1214" w:type="dxa"/>
          </w:tcPr>
          <w:p>
            <w:pPr>
              <w:pStyle w:val="TableParagraph"/>
              <w:rPr>
                <w:rFonts w:ascii="Times New Roman"/>
                <w:sz w:val="22"/>
              </w:rPr>
            </w:pPr>
          </w:p>
        </w:tc>
        <w:tc>
          <w:tcPr>
            <w:tcW w:w="1080" w:type="dxa"/>
          </w:tcPr>
          <w:p>
            <w:pPr>
              <w:pStyle w:val="TableParagraph"/>
              <w:rPr>
                <w:rFonts w:ascii="Times New Roman"/>
                <w:sz w:val="22"/>
              </w:rPr>
            </w:pPr>
          </w:p>
        </w:tc>
      </w:tr>
      <w:tr>
        <w:trPr>
          <w:trHeight w:val="340" w:hRule="atLeast"/>
        </w:trPr>
        <w:tc>
          <w:tcPr>
            <w:tcW w:w="4028" w:type="dxa"/>
          </w:tcPr>
          <w:p>
            <w:pPr>
              <w:pStyle w:val="TableParagraph"/>
              <w:spacing w:line="320" w:lineRule="exact"/>
              <w:ind w:left="48"/>
              <w:rPr>
                <w:sz w:val="23"/>
              </w:rPr>
            </w:pPr>
            <w:r>
              <w:rPr>
                <w:sz w:val="23"/>
              </w:rPr>
              <w:t>Amikacin 500mg</w:t>
            </w:r>
          </w:p>
        </w:tc>
        <w:tc>
          <w:tcPr>
            <w:tcW w:w="548" w:type="dxa"/>
          </w:tcPr>
          <w:p>
            <w:pPr>
              <w:pStyle w:val="TableParagraph"/>
              <w:spacing w:line="320" w:lineRule="exact"/>
              <w:ind w:left="9"/>
              <w:jc w:val="center"/>
              <w:rPr>
                <w:sz w:val="23"/>
              </w:rPr>
            </w:pPr>
            <w:r>
              <w:rPr>
                <w:w w:val="100"/>
                <w:sz w:val="23"/>
              </w:rPr>
              <w:t>瓶</w:t>
            </w:r>
          </w:p>
        </w:tc>
        <w:tc>
          <w:tcPr>
            <w:tcW w:w="1647" w:type="dxa"/>
          </w:tcPr>
          <w:p>
            <w:pPr>
              <w:pStyle w:val="TableParagraph"/>
              <w:rPr>
                <w:rFonts w:ascii="Times New Roman"/>
                <w:sz w:val="22"/>
              </w:rPr>
            </w:pPr>
          </w:p>
        </w:tc>
        <w:tc>
          <w:tcPr>
            <w:tcW w:w="1347" w:type="dxa"/>
          </w:tcPr>
          <w:p>
            <w:pPr>
              <w:pStyle w:val="TableParagraph"/>
              <w:rPr>
                <w:rFonts w:ascii="Times New Roman"/>
                <w:sz w:val="22"/>
              </w:rPr>
            </w:pPr>
          </w:p>
        </w:tc>
        <w:tc>
          <w:tcPr>
            <w:tcW w:w="1214" w:type="dxa"/>
          </w:tcPr>
          <w:p>
            <w:pPr>
              <w:pStyle w:val="TableParagraph"/>
              <w:rPr>
                <w:rFonts w:ascii="Times New Roman"/>
                <w:sz w:val="22"/>
              </w:rPr>
            </w:pPr>
          </w:p>
        </w:tc>
        <w:tc>
          <w:tcPr>
            <w:tcW w:w="1080" w:type="dxa"/>
          </w:tcPr>
          <w:p>
            <w:pPr>
              <w:pStyle w:val="TableParagraph"/>
              <w:rPr>
                <w:rFonts w:ascii="Times New Roman"/>
                <w:sz w:val="22"/>
              </w:rPr>
            </w:pPr>
          </w:p>
        </w:tc>
      </w:tr>
      <w:tr>
        <w:trPr>
          <w:trHeight w:val="339" w:hRule="atLeast"/>
        </w:trPr>
        <w:tc>
          <w:tcPr>
            <w:tcW w:w="4028" w:type="dxa"/>
          </w:tcPr>
          <w:p>
            <w:pPr>
              <w:pStyle w:val="TableParagraph"/>
              <w:spacing w:line="319" w:lineRule="exact"/>
              <w:ind w:left="48"/>
              <w:rPr>
                <w:sz w:val="23"/>
              </w:rPr>
            </w:pPr>
            <w:r>
              <w:rPr>
                <w:sz w:val="23"/>
              </w:rPr>
              <w:t>RHZ 75/50/150 mg (愛兒肺平-3)</w:t>
            </w:r>
          </w:p>
        </w:tc>
        <w:tc>
          <w:tcPr>
            <w:tcW w:w="548" w:type="dxa"/>
          </w:tcPr>
          <w:p>
            <w:pPr>
              <w:pStyle w:val="TableParagraph"/>
              <w:spacing w:line="319" w:lineRule="exact"/>
              <w:ind w:left="16"/>
              <w:jc w:val="center"/>
              <w:rPr>
                <w:sz w:val="23"/>
              </w:rPr>
            </w:pPr>
            <w:r>
              <w:rPr>
                <w:w w:val="100"/>
                <w:sz w:val="23"/>
              </w:rPr>
              <w:t>錠</w:t>
            </w:r>
          </w:p>
        </w:tc>
        <w:tc>
          <w:tcPr>
            <w:tcW w:w="1647" w:type="dxa"/>
          </w:tcPr>
          <w:p>
            <w:pPr>
              <w:pStyle w:val="TableParagraph"/>
              <w:rPr>
                <w:rFonts w:ascii="Times New Roman"/>
                <w:sz w:val="22"/>
              </w:rPr>
            </w:pPr>
          </w:p>
        </w:tc>
        <w:tc>
          <w:tcPr>
            <w:tcW w:w="1347" w:type="dxa"/>
          </w:tcPr>
          <w:p>
            <w:pPr>
              <w:pStyle w:val="TableParagraph"/>
              <w:rPr>
                <w:rFonts w:ascii="Times New Roman"/>
                <w:sz w:val="22"/>
              </w:rPr>
            </w:pPr>
          </w:p>
        </w:tc>
        <w:tc>
          <w:tcPr>
            <w:tcW w:w="1214" w:type="dxa"/>
          </w:tcPr>
          <w:p>
            <w:pPr>
              <w:pStyle w:val="TableParagraph"/>
              <w:rPr>
                <w:rFonts w:ascii="Times New Roman"/>
                <w:sz w:val="22"/>
              </w:rPr>
            </w:pPr>
          </w:p>
        </w:tc>
        <w:tc>
          <w:tcPr>
            <w:tcW w:w="1080" w:type="dxa"/>
          </w:tcPr>
          <w:p>
            <w:pPr>
              <w:pStyle w:val="TableParagraph"/>
              <w:rPr>
                <w:rFonts w:ascii="Times New Roman"/>
                <w:sz w:val="22"/>
              </w:rPr>
            </w:pPr>
          </w:p>
        </w:tc>
      </w:tr>
      <w:tr>
        <w:trPr>
          <w:trHeight w:val="340" w:hRule="atLeast"/>
        </w:trPr>
        <w:tc>
          <w:tcPr>
            <w:tcW w:w="4028" w:type="dxa"/>
          </w:tcPr>
          <w:p>
            <w:pPr>
              <w:pStyle w:val="TableParagraph"/>
              <w:spacing w:line="320" w:lineRule="exact"/>
              <w:ind w:left="48"/>
              <w:rPr>
                <w:sz w:val="23"/>
              </w:rPr>
            </w:pPr>
            <w:r>
              <w:rPr>
                <w:sz w:val="23"/>
              </w:rPr>
              <w:t>RH 75/50 mg (兒立服-2)</w:t>
            </w:r>
          </w:p>
        </w:tc>
        <w:tc>
          <w:tcPr>
            <w:tcW w:w="548" w:type="dxa"/>
          </w:tcPr>
          <w:p>
            <w:pPr>
              <w:pStyle w:val="TableParagraph"/>
              <w:spacing w:line="320" w:lineRule="exact"/>
              <w:ind w:left="16"/>
              <w:jc w:val="center"/>
              <w:rPr>
                <w:sz w:val="23"/>
              </w:rPr>
            </w:pPr>
            <w:r>
              <w:rPr>
                <w:w w:val="100"/>
                <w:sz w:val="23"/>
              </w:rPr>
              <w:t>錠</w:t>
            </w:r>
          </w:p>
        </w:tc>
        <w:tc>
          <w:tcPr>
            <w:tcW w:w="1647" w:type="dxa"/>
          </w:tcPr>
          <w:p>
            <w:pPr>
              <w:pStyle w:val="TableParagraph"/>
              <w:rPr>
                <w:rFonts w:ascii="Times New Roman"/>
                <w:sz w:val="22"/>
              </w:rPr>
            </w:pPr>
          </w:p>
        </w:tc>
        <w:tc>
          <w:tcPr>
            <w:tcW w:w="1347" w:type="dxa"/>
          </w:tcPr>
          <w:p>
            <w:pPr>
              <w:pStyle w:val="TableParagraph"/>
              <w:rPr>
                <w:rFonts w:ascii="Times New Roman"/>
                <w:sz w:val="22"/>
              </w:rPr>
            </w:pPr>
          </w:p>
        </w:tc>
        <w:tc>
          <w:tcPr>
            <w:tcW w:w="1214" w:type="dxa"/>
          </w:tcPr>
          <w:p>
            <w:pPr>
              <w:pStyle w:val="TableParagraph"/>
              <w:rPr>
                <w:rFonts w:ascii="Times New Roman"/>
                <w:sz w:val="22"/>
              </w:rPr>
            </w:pPr>
          </w:p>
        </w:tc>
        <w:tc>
          <w:tcPr>
            <w:tcW w:w="1080" w:type="dxa"/>
          </w:tcPr>
          <w:p>
            <w:pPr>
              <w:pStyle w:val="TableParagraph"/>
              <w:rPr>
                <w:rFonts w:ascii="Times New Roman"/>
                <w:sz w:val="22"/>
              </w:rPr>
            </w:pPr>
          </w:p>
        </w:tc>
      </w:tr>
      <w:tr>
        <w:trPr>
          <w:trHeight w:val="2320" w:hRule="atLeast"/>
        </w:trPr>
        <w:tc>
          <w:tcPr>
            <w:tcW w:w="9864" w:type="dxa"/>
            <w:gridSpan w:val="6"/>
          </w:tcPr>
          <w:p>
            <w:pPr>
              <w:pStyle w:val="TableParagraph"/>
              <w:spacing w:line="286" w:lineRule="exact"/>
              <w:ind w:left="48"/>
              <w:rPr>
                <w:sz w:val="23"/>
              </w:rPr>
            </w:pPr>
            <w:r>
              <w:rPr>
                <w:sz w:val="23"/>
              </w:rPr>
              <w:t>申請公費藥理由：</w:t>
            </w:r>
          </w:p>
          <w:p>
            <w:pPr>
              <w:pStyle w:val="TableParagraph"/>
              <w:spacing w:line="290" w:lineRule="exact"/>
              <w:ind w:left="48"/>
              <w:rPr>
                <w:b/>
                <w:sz w:val="23"/>
              </w:rPr>
            </w:pPr>
            <w:r>
              <w:rPr>
                <w:rFonts w:ascii="新細明體" w:hAnsi="新細明體" w:eastAsia="新細明體" w:hint="eastAsia"/>
                <w:sz w:val="23"/>
              </w:rPr>
              <w:t>□</w:t>
            </w:r>
            <w:r>
              <w:rPr>
                <w:sz w:val="23"/>
              </w:rPr>
              <w:t>多重抗藥性（Isoniazid+Rifampin）□</w:t>
            </w:r>
            <w:r>
              <w:rPr>
                <w:b/>
                <w:sz w:val="23"/>
              </w:rPr>
              <w:t>非多重抗藥性但有其他抗藥</w:t>
            </w:r>
          </w:p>
          <w:p>
            <w:pPr>
              <w:pStyle w:val="TableParagraph"/>
              <w:spacing w:line="290" w:lineRule="exact"/>
              <w:ind w:left="49"/>
              <w:rPr>
                <w:sz w:val="23"/>
              </w:rPr>
            </w:pPr>
            <w:r>
              <w:rPr>
                <w:rFonts w:ascii="新細明體" w:hAnsi="新細明體" w:eastAsia="新細明體" w:hint="eastAsia"/>
                <w:sz w:val="23"/>
              </w:rPr>
              <w:t>□</w:t>
            </w:r>
            <w:r>
              <w:rPr>
                <w:sz w:val="23"/>
              </w:rPr>
              <w:t>藥物副作用/</w:t>
            </w:r>
            <w:r>
              <w:rPr>
                <w:rFonts w:ascii="新細明體" w:hAnsi="新細明體" w:eastAsia="新細明體" w:hint="eastAsia"/>
                <w:sz w:val="23"/>
              </w:rPr>
              <w:t>□</w:t>
            </w:r>
            <w:r>
              <w:rPr>
                <w:sz w:val="23"/>
              </w:rPr>
              <w:t>1皮膚過敏 </w:t>
            </w:r>
            <w:r>
              <w:rPr>
                <w:rFonts w:ascii="新細明體" w:hAnsi="新細明體" w:eastAsia="新細明體" w:hint="eastAsia"/>
                <w:sz w:val="23"/>
              </w:rPr>
              <w:t>□</w:t>
            </w:r>
            <w:r>
              <w:rPr>
                <w:sz w:val="23"/>
              </w:rPr>
              <w:t>2肝功能不佳 </w:t>
            </w:r>
            <w:r>
              <w:rPr>
                <w:rFonts w:ascii="新細明體" w:hAnsi="新細明體" w:eastAsia="新細明體" w:hint="eastAsia"/>
                <w:sz w:val="23"/>
              </w:rPr>
              <w:t>□</w:t>
            </w:r>
            <w:r>
              <w:rPr>
                <w:sz w:val="23"/>
              </w:rPr>
              <w:t>3其他</w:t>
            </w:r>
          </w:p>
          <w:p>
            <w:pPr>
              <w:pStyle w:val="TableParagraph"/>
              <w:spacing w:line="290" w:lineRule="exact"/>
              <w:ind w:left="49"/>
              <w:rPr>
                <w:sz w:val="23"/>
              </w:rPr>
            </w:pPr>
            <w:r>
              <w:rPr>
                <w:rFonts w:ascii="新細明體" w:hAnsi="新細明體" w:eastAsia="新細明體" w:hint="eastAsia"/>
                <w:sz w:val="23"/>
              </w:rPr>
              <w:t>□</w:t>
            </w:r>
            <w:r>
              <w:rPr>
                <w:sz w:val="23"/>
              </w:rPr>
              <w:t>施打卡介苗產生不良反應</w:t>
            </w:r>
          </w:p>
          <w:p>
            <w:pPr>
              <w:pStyle w:val="TableParagraph"/>
              <w:spacing w:line="290" w:lineRule="exact"/>
              <w:ind w:left="49"/>
              <w:rPr>
                <w:sz w:val="23"/>
              </w:rPr>
            </w:pPr>
            <w:r>
              <w:rPr>
                <w:rFonts w:ascii="新細明體" w:hAnsi="新細明體" w:eastAsia="新細明體" w:hint="eastAsia"/>
                <w:sz w:val="23"/>
              </w:rPr>
              <w:t>□</w:t>
            </w:r>
            <w:r>
              <w:rPr>
                <w:sz w:val="23"/>
              </w:rPr>
              <w:t>復發、失落個案</w:t>
            </w:r>
          </w:p>
          <w:p>
            <w:pPr>
              <w:pStyle w:val="TableParagraph"/>
              <w:spacing w:line="290" w:lineRule="exact"/>
              <w:ind w:left="49"/>
              <w:rPr>
                <w:sz w:val="23"/>
              </w:rPr>
            </w:pPr>
            <w:r>
              <w:rPr>
                <w:rFonts w:ascii="新細明體" w:hAnsi="新細明體" w:eastAsia="新細明體" w:hint="eastAsia"/>
                <w:sz w:val="23"/>
              </w:rPr>
              <w:t>□</w:t>
            </w:r>
            <w:r>
              <w:rPr>
                <w:sz w:val="23"/>
              </w:rPr>
              <w:t>預期治療效果不佳</w:t>
            </w:r>
          </w:p>
          <w:p>
            <w:pPr>
              <w:pStyle w:val="TableParagraph"/>
              <w:spacing w:line="291" w:lineRule="exact"/>
              <w:ind w:left="49"/>
              <w:rPr>
                <w:sz w:val="23"/>
              </w:rPr>
            </w:pPr>
            <w:r>
              <w:rPr>
                <w:rFonts w:ascii="新細明體" w:hAnsi="新細明體" w:eastAsia="新細明體" w:hint="eastAsia"/>
                <w:sz w:val="23"/>
              </w:rPr>
              <w:t>□</w:t>
            </w:r>
            <w:r>
              <w:rPr>
                <w:sz w:val="23"/>
              </w:rPr>
              <w:t>藥物交互作用</w:t>
            </w:r>
          </w:p>
          <w:p>
            <w:pPr>
              <w:pStyle w:val="TableParagraph"/>
              <w:spacing w:line="274" w:lineRule="exact"/>
              <w:ind w:left="48"/>
              <w:rPr>
                <w:sz w:val="23"/>
              </w:rPr>
            </w:pPr>
            <w:r>
              <w:rPr>
                <w:rFonts w:ascii="新細明體" w:hAnsi="新細明體" w:eastAsia="新細明體" w:hint="eastAsia"/>
                <w:sz w:val="23"/>
              </w:rPr>
              <w:t>□</w:t>
            </w:r>
            <w:r>
              <w:rPr>
                <w:sz w:val="23"/>
              </w:rPr>
              <w:t>其他</w:t>
            </w:r>
          </w:p>
        </w:tc>
      </w:tr>
      <w:tr>
        <w:trPr>
          <w:trHeight w:val="4114" w:hRule="atLeast"/>
        </w:trPr>
        <w:tc>
          <w:tcPr>
            <w:tcW w:w="9864" w:type="dxa"/>
            <w:gridSpan w:val="6"/>
          </w:tcPr>
          <w:p>
            <w:pPr>
              <w:pStyle w:val="TableParagraph"/>
              <w:spacing w:line="165" w:lineRule="auto" w:before="46"/>
              <w:ind w:left="253" w:right="7" w:hanging="199"/>
              <w:jc w:val="both"/>
              <w:rPr>
                <w:sz w:val="23"/>
              </w:rPr>
            </w:pPr>
            <w:r>
              <w:rPr>
                <w:sz w:val="23"/>
              </w:rPr>
              <w:t>※RHZ及 RH為一線用藥，免病歷審查，請檢附本申請單及病人同意書(監護人代)即可一次申請足量，故無須填寫此欄；但若病人中斷使用藥品，請將剩餘之 RHZ/RH 退還衛生福利部胸腔病院，BCG不良反應使用本藥物者，雖非疾管署列管個案，仍應每月回診，每次最多給1個月藥量，以維護用藥安全。</w:t>
            </w:r>
          </w:p>
          <w:p>
            <w:pPr>
              <w:pStyle w:val="TableParagraph"/>
              <w:numPr>
                <w:ilvl w:val="0"/>
                <w:numId w:val="101"/>
              </w:numPr>
              <w:tabs>
                <w:tab w:pos="252" w:val="left" w:leader="none"/>
              </w:tabs>
              <w:spacing w:line="255" w:lineRule="exact" w:before="0" w:after="0"/>
              <w:ind w:left="252" w:right="0" w:hanging="198"/>
              <w:jc w:val="left"/>
              <w:rPr>
                <w:sz w:val="23"/>
              </w:rPr>
            </w:pPr>
            <w:r>
              <w:rPr>
                <w:sz w:val="23"/>
              </w:rPr>
              <w:t>本次申請公費藥為</w:t>
            </w:r>
          </w:p>
          <w:p>
            <w:pPr>
              <w:pStyle w:val="TableParagraph"/>
              <w:spacing w:line="290" w:lineRule="exact"/>
              <w:ind w:left="306"/>
              <w:rPr>
                <w:sz w:val="23"/>
              </w:rPr>
            </w:pPr>
            <w:r>
              <w:rPr>
                <w:rFonts w:ascii="新細明體" w:hAnsi="新細明體" w:eastAsia="新細明體" w:hint="eastAsia"/>
                <w:sz w:val="23"/>
              </w:rPr>
              <w:t>□</w:t>
            </w:r>
            <w:r>
              <w:rPr>
                <w:sz w:val="23"/>
              </w:rPr>
              <w:t>初次申請公費藥（以 30 天為上限）</w:t>
            </w:r>
          </w:p>
          <w:p>
            <w:pPr>
              <w:pStyle w:val="TableParagraph"/>
              <w:spacing w:line="290" w:lineRule="exact"/>
              <w:ind w:left="306"/>
              <w:rPr>
                <w:sz w:val="23"/>
              </w:rPr>
            </w:pPr>
            <w:r>
              <w:rPr>
                <w:rFonts w:ascii="新細明體" w:hAnsi="新細明體" w:eastAsia="新細明體" w:hint="eastAsia"/>
                <w:sz w:val="23"/>
              </w:rPr>
              <w:t>□</w:t>
            </w:r>
            <w:r>
              <w:rPr>
                <w:sz w:val="23"/>
              </w:rPr>
              <w:t>再次申請公費藥（第</w:t>
            </w:r>
            <w:r>
              <w:rPr>
                <w:sz w:val="23"/>
                <w:u w:val="single"/>
              </w:rPr>
              <w:t> </w:t>
            </w:r>
            <w:r>
              <w:rPr>
                <w:sz w:val="23"/>
              </w:rPr>
              <w:t>次申請）</w:t>
            </w:r>
          </w:p>
          <w:p>
            <w:pPr>
              <w:pStyle w:val="TableParagraph"/>
              <w:spacing w:line="291" w:lineRule="exact"/>
              <w:ind w:left="305"/>
              <w:rPr>
                <w:sz w:val="23"/>
              </w:rPr>
            </w:pPr>
            <w:r>
              <w:rPr>
                <w:rFonts w:ascii="新細明體" w:hAnsi="新細明體" w:eastAsia="新細明體" w:hint="eastAsia"/>
                <w:w w:val="100"/>
                <w:sz w:val="23"/>
              </w:rPr>
              <w:t>□</w:t>
            </w:r>
            <w:r>
              <w:rPr>
                <w:spacing w:val="-2"/>
                <w:w w:val="100"/>
                <w:sz w:val="23"/>
              </w:rPr>
              <w:t>情況已穩定，欲申請藥量共</w:t>
            </w:r>
            <w:r>
              <w:rPr>
                <w:spacing w:val="-11"/>
                <w:sz w:val="23"/>
              </w:rPr>
              <w:t> </w:t>
            </w:r>
            <w:r>
              <w:rPr>
                <w:w w:val="100"/>
                <w:sz w:val="23"/>
              </w:rPr>
              <w:t>天（以</w:t>
            </w:r>
            <w:r>
              <w:rPr>
                <w:sz w:val="23"/>
              </w:rPr>
              <w:t>  </w:t>
            </w:r>
            <w:r>
              <w:rPr>
                <w:w w:val="100"/>
                <w:sz w:val="23"/>
              </w:rPr>
              <w:t>60</w:t>
            </w:r>
            <w:r>
              <w:rPr>
                <w:spacing w:val="-1"/>
                <w:sz w:val="23"/>
              </w:rPr>
              <w:t>  </w:t>
            </w:r>
            <w:r>
              <w:rPr>
                <w:spacing w:val="-1"/>
                <w:w w:val="100"/>
                <w:sz w:val="23"/>
              </w:rPr>
              <w:t>天為上限</w:t>
            </w:r>
            <w:r>
              <w:rPr>
                <w:spacing w:val="-231"/>
                <w:w w:val="100"/>
                <w:sz w:val="23"/>
              </w:rPr>
              <w:t>）</w:t>
            </w:r>
            <w:r>
              <w:rPr>
                <w:spacing w:val="-3"/>
                <w:w w:val="100"/>
                <w:sz w:val="23"/>
              </w:rPr>
              <w:t>，請至少每個月為病人看診一次。</w:t>
            </w:r>
          </w:p>
          <w:p>
            <w:pPr>
              <w:pStyle w:val="TableParagraph"/>
              <w:spacing w:line="290" w:lineRule="exact"/>
              <w:ind w:left="305"/>
              <w:rPr>
                <w:sz w:val="23"/>
              </w:rPr>
            </w:pPr>
            <w:r>
              <w:rPr>
                <w:rFonts w:ascii="新細明體" w:hAnsi="新細明體" w:eastAsia="新細明體" w:hint="eastAsia"/>
                <w:sz w:val="23"/>
              </w:rPr>
              <w:t>□</w:t>
            </w:r>
            <w:r>
              <w:rPr>
                <w:sz w:val="23"/>
              </w:rPr>
              <w:t>經審查醫師建議後再次提出申請：</w:t>
            </w:r>
            <w:r>
              <w:rPr>
                <w:rFonts w:ascii="新細明體" w:hAnsi="新細明體" w:eastAsia="新細明體" w:hint="eastAsia"/>
                <w:sz w:val="23"/>
              </w:rPr>
              <w:t>□</w:t>
            </w:r>
            <w:r>
              <w:rPr>
                <w:sz w:val="23"/>
              </w:rPr>
              <w:t>是 </w:t>
            </w:r>
            <w:r>
              <w:rPr>
                <w:rFonts w:ascii="新細明體" w:hAnsi="新細明體" w:eastAsia="新細明體" w:hint="eastAsia"/>
                <w:sz w:val="23"/>
              </w:rPr>
              <w:t>□</w:t>
            </w:r>
            <w:r>
              <w:rPr>
                <w:sz w:val="23"/>
              </w:rPr>
              <w:t>否</w:t>
            </w:r>
          </w:p>
          <w:p>
            <w:pPr>
              <w:pStyle w:val="TableParagraph"/>
              <w:numPr>
                <w:ilvl w:val="0"/>
                <w:numId w:val="101"/>
              </w:numPr>
              <w:tabs>
                <w:tab w:pos="252" w:val="left" w:leader="none"/>
              </w:tabs>
              <w:spacing w:line="305" w:lineRule="exact" w:before="0" w:after="0"/>
              <w:ind w:left="251" w:right="0" w:hanging="199"/>
              <w:jc w:val="left"/>
              <w:rPr>
                <w:sz w:val="23"/>
              </w:rPr>
            </w:pPr>
            <w:r>
              <w:rPr>
                <w:sz w:val="23"/>
              </w:rPr>
              <w:t>自主檢核是否依照申請方式檢附所需申請文件(請確實勾選並核對)：</w:t>
            </w:r>
          </w:p>
          <w:p>
            <w:pPr>
              <w:pStyle w:val="TableParagraph"/>
              <w:spacing w:line="165" w:lineRule="auto" w:before="44"/>
              <w:ind w:left="1546" w:right="279" w:hanging="1248"/>
              <w:rPr>
                <w:sz w:val="23"/>
              </w:rPr>
            </w:pPr>
            <w:r>
              <w:rPr>
                <w:rFonts w:ascii="新細明體" w:hAnsi="新細明體" w:eastAsia="新細明體" w:hint="eastAsia"/>
                <w:sz w:val="23"/>
              </w:rPr>
              <w:t>□</w:t>
            </w:r>
            <w:r>
              <w:rPr>
                <w:sz w:val="23"/>
              </w:rPr>
              <w:t>初次申請：</w:t>
            </w:r>
            <w:r>
              <w:rPr>
                <w:rFonts w:ascii="新細明體" w:hAnsi="新細明體" w:eastAsia="新細明體" w:hint="eastAsia"/>
                <w:sz w:val="23"/>
              </w:rPr>
              <w:t>□</w:t>
            </w:r>
            <w:r>
              <w:rPr>
                <w:sz w:val="23"/>
              </w:rPr>
              <w:t>詳附醫院病歷摘要(內容須註明</w:t>
            </w:r>
            <w:r>
              <w:rPr>
                <w:rFonts w:ascii="新細明體" w:hAnsi="新細明體" w:eastAsia="新細明體" w:hint="eastAsia"/>
                <w:sz w:val="23"/>
              </w:rPr>
              <w:t>□</w:t>
            </w:r>
            <w:r>
              <w:rPr>
                <w:sz w:val="23"/>
              </w:rPr>
              <w:t>個案用藥史</w:t>
            </w:r>
            <w:r>
              <w:rPr>
                <w:rFonts w:ascii="新細明體" w:hAnsi="新細明體" w:eastAsia="新細明體" w:hint="eastAsia"/>
                <w:sz w:val="23"/>
              </w:rPr>
              <w:t>□</w:t>
            </w:r>
            <w:r>
              <w:rPr>
                <w:sz w:val="23"/>
              </w:rPr>
              <w:t>驗痰結果</w:t>
            </w:r>
            <w:r>
              <w:rPr>
                <w:rFonts w:ascii="新細明體" w:hAnsi="新細明體" w:eastAsia="新細明體" w:hint="eastAsia"/>
                <w:sz w:val="23"/>
              </w:rPr>
              <w:t>□</w:t>
            </w:r>
            <w:r>
              <w:rPr>
                <w:sz w:val="23"/>
              </w:rPr>
              <w:t>藥物感受性試驗結果(註明檢查醫院</w:t>
            </w:r>
            <w:r>
              <w:rPr>
                <w:rFonts w:ascii="新細明體" w:hAnsi="新細明體" w:eastAsia="新細明體" w:hint="eastAsia"/>
                <w:sz w:val="23"/>
              </w:rPr>
              <w:t>□</w:t>
            </w:r>
            <w:r>
              <w:rPr>
                <w:sz w:val="23"/>
              </w:rPr>
              <w:t>有無其他病史</w:t>
            </w:r>
            <w:r>
              <w:rPr>
                <w:rFonts w:ascii="新細明體" w:hAnsi="新細明體" w:eastAsia="新細明體" w:hint="eastAsia"/>
                <w:sz w:val="23"/>
              </w:rPr>
              <w:t>□</w:t>
            </w:r>
            <w:r>
              <w:rPr>
                <w:sz w:val="23"/>
              </w:rPr>
              <w:t>生化檢驗</w:t>
            </w:r>
            <w:r>
              <w:rPr>
                <w:rFonts w:ascii="新細明體" w:hAnsi="新細明體" w:eastAsia="新細明體" w:hint="eastAsia"/>
                <w:sz w:val="23"/>
              </w:rPr>
              <w:t>□</w:t>
            </w:r>
            <w:r>
              <w:rPr>
                <w:sz w:val="23"/>
              </w:rPr>
              <w:t>CXR)</w:t>
            </w:r>
          </w:p>
          <w:p>
            <w:pPr>
              <w:pStyle w:val="TableParagraph"/>
              <w:spacing w:line="259" w:lineRule="exact"/>
              <w:ind w:left="283" w:right="1412"/>
              <w:jc w:val="center"/>
              <w:rPr>
                <w:sz w:val="23"/>
              </w:rPr>
            </w:pPr>
            <w:r>
              <w:rPr>
                <w:rFonts w:ascii="新細明體" w:hAnsi="新細明體" w:eastAsia="新細明體" w:hint="eastAsia"/>
                <w:sz w:val="23"/>
              </w:rPr>
              <w:t>□</w:t>
            </w:r>
            <w:r>
              <w:rPr>
                <w:sz w:val="23"/>
              </w:rPr>
              <w:t>再次申請(由同一醫師審核)：</w:t>
            </w:r>
            <w:r>
              <w:rPr>
                <w:rFonts w:ascii="新細明體" w:hAnsi="新細明體" w:eastAsia="新細明體" w:hint="eastAsia"/>
                <w:sz w:val="23"/>
              </w:rPr>
              <w:t>□</w:t>
            </w:r>
            <w:r>
              <w:rPr>
                <w:sz w:val="23"/>
              </w:rPr>
              <w:t>詳述個案服藥情形</w:t>
            </w:r>
            <w:r>
              <w:rPr>
                <w:rFonts w:ascii="新細明體" w:hAnsi="新細明體" w:eastAsia="新細明體" w:hint="eastAsia"/>
                <w:sz w:val="23"/>
              </w:rPr>
              <w:t>□</w:t>
            </w:r>
            <w:r>
              <w:rPr>
                <w:sz w:val="23"/>
              </w:rPr>
              <w:t>生化檢驗□治療後驗痰結果</w:t>
            </w:r>
          </w:p>
          <w:p>
            <w:pPr>
              <w:pStyle w:val="TableParagraph"/>
              <w:spacing w:line="274" w:lineRule="exact"/>
              <w:ind w:left="283" w:right="1404"/>
              <w:jc w:val="center"/>
              <w:rPr>
                <w:sz w:val="23"/>
              </w:rPr>
            </w:pPr>
            <w:r>
              <w:rPr>
                <w:rFonts w:ascii="新細明體" w:hAnsi="新細明體" w:eastAsia="新細明體" w:hint="eastAsia"/>
                <w:sz w:val="23"/>
              </w:rPr>
              <w:t>□</w:t>
            </w:r>
            <w:r>
              <w:rPr>
                <w:sz w:val="23"/>
              </w:rPr>
              <w:t>每月檢附治療卡</w:t>
            </w:r>
          </w:p>
        </w:tc>
      </w:tr>
      <w:tr>
        <w:trPr>
          <w:trHeight w:val="1236" w:hRule="atLeast"/>
        </w:trPr>
        <w:tc>
          <w:tcPr>
            <w:tcW w:w="9864" w:type="dxa"/>
            <w:gridSpan w:val="6"/>
          </w:tcPr>
          <w:p>
            <w:pPr>
              <w:pStyle w:val="TableParagraph"/>
              <w:spacing w:line="298" w:lineRule="exact"/>
              <w:ind w:left="59"/>
              <w:rPr>
                <w:sz w:val="23"/>
              </w:rPr>
            </w:pPr>
            <w:r>
              <w:rPr>
                <w:sz w:val="23"/>
              </w:rPr>
              <w:t>審核建議：</w:t>
            </w:r>
          </w:p>
          <w:p>
            <w:pPr>
              <w:pStyle w:val="TableParagraph"/>
              <w:spacing w:line="300" w:lineRule="exact"/>
              <w:ind w:left="59"/>
              <w:rPr>
                <w:sz w:val="23"/>
              </w:rPr>
            </w:pPr>
            <w:r>
              <w:rPr>
                <w:rFonts w:ascii="新細明體" w:hAnsi="新細明體" w:eastAsia="新細明體" w:hint="eastAsia"/>
                <w:sz w:val="23"/>
              </w:rPr>
              <w:t>□</w:t>
            </w:r>
            <w:r>
              <w:rPr>
                <w:sz w:val="23"/>
              </w:rPr>
              <w:t>同意，依原申請資料給藥。</w:t>
            </w:r>
          </w:p>
          <w:p>
            <w:pPr>
              <w:pStyle w:val="TableParagraph"/>
              <w:spacing w:line="300" w:lineRule="exact"/>
              <w:ind w:left="59"/>
              <w:rPr>
                <w:sz w:val="23"/>
              </w:rPr>
            </w:pPr>
            <w:r>
              <w:rPr>
                <w:rFonts w:ascii="新細明體" w:hAnsi="新細明體" w:eastAsia="新細明體" w:hint="eastAsia"/>
                <w:sz w:val="23"/>
              </w:rPr>
              <w:t>□</w:t>
            </w:r>
            <w:r>
              <w:rPr>
                <w:sz w:val="23"/>
              </w:rPr>
              <w:t>同意申請，但建議修改藥物種類、劑量或治療時間如下：</w:t>
            </w:r>
          </w:p>
          <w:p>
            <w:pPr>
              <w:pStyle w:val="TableParagraph"/>
              <w:spacing w:line="319" w:lineRule="exact"/>
              <w:ind w:left="59"/>
              <w:rPr>
                <w:sz w:val="23"/>
              </w:rPr>
            </w:pPr>
            <w:r>
              <w:rPr>
                <w:rFonts w:ascii="新細明體" w:hAnsi="新細明體" w:eastAsia="新細明體" w:hint="eastAsia"/>
                <w:sz w:val="23"/>
              </w:rPr>
              <w:t>□</w:t>
            </w:r>
            <w:r>
              <w:rPr>
                <w:sz w:val="23"/>
              </w:rPr>
              <w:t>不同意給藥，詳細說明：</w:t>
            </w:r>
          </w:p>
        </w:tc>
      </w:tr>
    </w:tbl>
    <w:p>
      <w:pPr>
        <w:pStyle w:val="BodyText"/>
        <w:tabs>
          <w:tab w:pos="1000" w:val="left" w:leader="none"/>
          <w:tab w:pos="5320" w:val="left" w:leader="none"/>
        </w:tabs>
        <w:ind w:left="281"/>
      </w:pPr>
      <w:r>
        <w:rPr>
          <w:rFonts w:ascii="Times New Roman" w:eastAsia="Times New Roman"/>
          <w:u w:val="single"/>
        </w:rPr>
        <w:t> </w:t>
        <w:tab/>
      </w:r>
      <w:r>
        <w:rPr/>
        <w:t>區管制中心傳真：</w:t>
        <w:tab/>
        <w:t>聯絡電話：</w:t>
      </w:r>
    </w:p>
    <w:p>
      <w:pPr>
        <w:spacing w:after="0"/>
        <w:sectPr>
          <w:pgSz w:w="12250" w:h="17190"/>
          <w:pgMar w:header="0" w:footer="828" w:top="1440" w:bottom="1020" w:left="1080" w:right="0"/>
        </w:sectPr>
      </w:pPr>
    </w:p>
    <w:p>
      <w:pPr>
        <w:spacing w:before="7" w:after="7"/>
        <w:ind w:left="2583" w:right="3662" w:firstLine="0"/>
        <w:jc w:val="center"/>
        <w:rPr>
          <w:b/>
          <w:sz w:val="26"/>
        </w:rPr>
      </w:pPr>
      <w:r>
        <w:rPr/>
        <w:pict>
          <v:group style="position:absolute;margin-left:571.5pt;margin-top:1.590601pt;width:40.9pt;height:317.45pt;mso-position-horizontal-relative:page;mso-position-vertical-relative:paragraph;z-index:251795456" coordorigin="11430,32" coordsize="818,6349">
            <v:shape style="position:absolute;left:11430;top:31;width:818;height:6349" coordorigin="11430,32" coordsize="818,6349" path="m12247,32l11595,32,11531,45,11478,80,11443,133,11430,197,11430,6215,11443,6280,11478,6332,11531,6368,11595,6381,12247,6381,12247,32xe" filled="true" fillcolor="#a6a6a6" stroked="false">
              <v:path arrowok="t"/>
              <v:fill type="solid"/>
            </v:shape>
            <v:shape style="position:absolute;left:11430;top:31;width:818;height:6349" type="#_x0000_t202" filled="false" stroked="false">
              <v:textbox inset="0,0,0,0">
                <w:txbxContent>
                  <w:p>
                    <w:pPr>
                      <w:spacing w:line="146" w:lineRule="auto" w:before="127"/>
                      <w:ind w:left="136" w:right="458" w:firstLine="0"/>
                      <w:jc w:val="both"/>
                      <w:rPr>
                        <w:sz w:val="22"/>
                      </w:rPr>
                    </w:pPr>
                    <w:r>
                      <w:rPr>
                        <w:sz w:val="22"/>
                      </w:rPr>
                      <w:t>第六章</w:t>
                    </w:r>
                  </w:p>
                  <w:p>
                    <w:pPr>
                      <w:spacing w:line="141" w:lineRule="auto" w:before="175"/>
                      <w:ind w:left="136" w:right="458" w:firstLine="0"/>
                      <w:jc w:val="both"/>
                      <w:rPr>
                        <w:sz w:val="22"/>
                      </w:rPr>
                    </w:pPr>
                    <w:r>
                      <w:rPr>
                        <w:sz w:val="22"/>
                      </w:rPr>
                      <w:t>結核病的藥物及藥物交互作用</w:t>
                    </w:r>
                  </w:p>
                  <w:p>
                    <w:pPr>
                      <w:spacing w:line="240" w:lineRule="auto" w:before="18"/>
                      <w:rPr>
                        <w:sz w:val="13"/>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b/>
          <w:sz w:val="26"/>
        </w:rPr>
        <w:t>公費藥建議劑量及用法</w:t>
      </w:r>
    </w:p>
    <w:tbl>
      <w:tblPr>
        <w:tblW w:w="0" w:type="auto"/>
        <w:jc w:val="left"/>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92"/>
        <w:gridCol w:w="2362"/>
        <w:gridCol w:w="1553"/>
        <w:gridCol w:w="1843"/>
        <w:gridCol w:w="992"/>
        <w:gridCol w:w="1056"/>
      </w:tblGrid>
      <w:tr>
        <w:trPr>
          <w:trHeight w:val="614" w:hRule="atLeast"/>
        </w:trPr>
        <w:tc>
          <w:tcPr>
            <w:tcW w:w="1792" w:type="dxa"/>
            <w:tcBorders>
              <w:bottom w:val="single" w:sz="4" w:space="0" w:color="000000"/>
              <w:right w:val="single" w:sz="4" w:space="0" w:color="000000"/>
            </w:tcBorders>
          </w:tcPr>
          <w:p>
            <w:pPr>
              <w:pStyle w:val="TableParagraph"/>
              <w:spacing w:before="112"/>
              <w:ind w:left="70" w:right="55"/>
              <w:jc w:val="center"/>
              <w:rPr>
                <w:sz w:val="23"/>
              </w:rPr>
            </w:pPr>
            <w:r>
              <w:rPr>
                <w:sz w:val="23"/>
              </w:rPr>
              <w:t>藥品</w:t>
            </w:r>
          </w:p>
        </w:tc>
        <w:tc>
          <w:tcPr>
            <w:tcW w:w="2362" w:type="dxa"/>
            <w:tcBorders>
              <w:left w:val="single" w:sz="4" w:space="0" w:color="000000"/>
              <w:bottom w:val="single" w:sz="4" w:space="0" w:color="000000"/>
              <w:right w:val="single" w:sz="4" w:space="0" w:color="000000"/>
            </w:tcBorders>
          </w:tcPr>
          <w:p>
            <w:pPr>
              <w:pStyle w:val="TableParagraph"/>
              <w:spacing w:before="112"/>
              <w:ind w:left="80" w:right="64"/>
              <w:jc w:val="center"/>
              <w:rPr>
                <w:sz w:val="23"/>
              </w:rPr>
            </w:pPr>
            <w:r>
              <w:rPr>
                <w:sz w:val="23"/>
              </w:rPr>
              <w:t>每日劑量 (最大劑量)</w:t>
            </w:r>
          </w:p>
        </w:tc>
        <w:tc>
          <w:tcPr>
            <w:tcW w:w="1553" w:type="dxa"/>
            <w:tcBorders>
              <w:left w:val="single" w:sz="4" w:space="0" w:color="000000"/>
              <w:bottom w:val="single" w:sz="4" w:space="0" w:color="000000"/>
              <w:right w:val="single" w:sz="4" w:space="0" w:color="000000"/>
            </w:tcBorders>
          </w:tcPr>
          <w:p>
            <w:pPr>
              <w:pStyle w:val="TableParagraph"/>
              <w:spacing w:line="324" w:lineRule="exact"/>
              <w:ind w:left="91" w:right="74"/>
              <w:jc w:val="center"/>
              <w:rPr>
                <w:sz w:val="23"/>
              </w:rPr>
            </w:pPr>
            <w:r>
              <w:rPr>
                <w:sz w:val="23"/>
              </w:rPr>
              <w:t>劑量</w:t>
            </w:r>
          </w:p>
          <w:p>
            <w:pPr>
              <w:pStyle w:val="TableParagraph"/>
              <w:spacing w:line="271" w:lineRule="exact"/>
              <w:ind w:left="91" w:right="76"/>
              <w:jc w:val="center"/>
              <w:rPr>
                <w:sz w:val="23"/>
              </w:rPr>
            </w:pPr>
            <w:r>
              <w:rPr>
                <w:sz w:val="23"/>
              </w:rPr>
              <w:t>(50公斤以下)</w:t>
            </w:r>
          </w:p>
        </w:tc>
        <w:tc>
          <w:tcPr>
            <w:tcW w:w="1843" w:type="dxa"/>
            <w:tcBorders>
              <w:left w:val="single" w:sz="4" w:space="0" w:color="000000"/>
              <w:bottom w:val="single" w:sz="4" w:space="0" w:color="000000"/>
              <w:right w:val="single" w:sz="4" w:space="0" w:color="000000"/>
            </w:tcBorders>
          </w:tcPr>
          <w:p>
            <w:pPr>
              <w:pStyle w:val="TableParagraph"/>
              <w:spacing w:line="324" w:lineRule="exact"/>
              <w:ind w:left="43" w:right="24"/>
              <w:jc w:val="center"/>
              <w:rPr>
                <w:sz w:val="23"/>
              </w:rPr>
            </w:pPr>
            <w:r>
              <w:rPr>
                <w:sz w:val="23"/>
              </w:rPr>
              <w:t>劑量</w:t>
            </w:r>
          </w:p>
          <w:p>
            <w:pPr>
              <w:pStyle w:val="TableParagraph"/>
              <w:spacing w:line="271" w:lineRule="exact"/>
              <w:ind w:left="42" w:right="24"/>
              <w:jc w:val="center"/>
              <w:rPr>
                <w:sz w:val="23"/>
              </w:rPr>
            </w:pPr>
            <w:r>
              <w:rPr>
                <w:sz w:val="23"/>
              </w:rPr>
              <w:t>(50公斤以上)</w:t>
            </w:r>
          </w:p>
        </w:tc>
        <w:tc>
          <w:tcPr>
            <w:tcW w:w="992" w:type="dxa"/>
            <w:tcBorders>
              <w:left w:val="single" w:sz="4" w:space="0" w:color="000000"/>
              <w:bottom w:val="single" w:sz="4" w:space="0" w:color="000000"/>
              <w:right w:val="single" w:sz="4" w:space="0" w:color="000000"/>
            </w:tcBorders>
          </w:tcPr>
          <w:p>
            <w:pPr>
              <w:pStyle w:val="TableParagraph"/>
              <w:spacing w:before="112"/>
              <w:ind w:left="19" w:right="3"/>
              <w:jc w:val="center"/>
              <w:rPr>
                <w:sz w:val="23"/>
              </w:rPr>
            </w:pPr>
            <w:r>
              <w:rPr>
                <w:sz w:val="23"/>
              </w:rPr>
              <w:t>每月用量</w:t>
            </w:r>
          </w:p>
        </w:tc>
        <w:tc>
          <w:tcPr>
            <w:tcW w:w="1056" w:type="dxa"/>
            <w:tcBorders>
              <w:left w:val="single" w:sz="4" w:space="0" w:color="000000"/>
              <w:bottom w:val="single" w:sz="4" w:space="0" w:color="000000"/>
            </w:tcBorders>
          </w:tcPr>
          <w:p>
            <w:pPr>
              <w:pStyle w:val="TableParagraph"/>
              <w:spacing w:before="112"/>
              <w:ind w:left="23"/>
              <w:jc w:val="center"/>
              <w:rPr>
                <w:sz w:val="23"/>
              </w:rPr>
            </w:pPr>
            <w:r>
              <w:rPr>
                <w:sz w:val="23"/>
              </w:rPr>
              <w:t>包裝</w:t>
            </w:r>
          </w:p>
        </w:tc>
      </w:tr>
      <w:tr>
        <w:trPr>
          <w:trHeight w:val="604" w:hRule="atLeast"/>
        </w:trPr>
        <w:tc>
          <w:tcPr>
            <w:tcW w:w="1792" w:type="dxa"/>
            <w:tcBorders>
              <w:top w:val="single" w:sz="4" w:space="0" w:color="000000"/>
              <w:bottom w:val="single" w:sz="4" w:space="0" w:color="000000"/>
              <w:right w:val="single" w:sz="4" w:space="0" w:color="000000"/>
            </w:tcBorders>
          </w:tcPr>
          <w:p>
            <w:pPr>
              <w:pStyle w:val="TableParagraph"/>
              <w:spacing w:line="314" w:lineRule="exact"/>
              <w:ind w:left="70" w:right="56"/>
              <w:jc w:val="center"/>
              <w:rPr>
                <w:sz w:val="23"/>
              </w:rPr>
            </w:pPr>
            <w:r>
              <w:rPr>
                <w:sz w:val="23"/>
              </w:rPr>
              <w:t>Prothionamide</w:t>
            </w:r>
          </w:p>
          <w:p>
            <w:pPr>
              <w:pStyle w:val="TableParagraph"/>
              <w:spacing w:line="271" w:lineRule="exact"/>
              <w:ind w:left="70" w:right="55"/>
              <w:jc w:val="center"/>
              <w:rPr>
                <w:sz w:val="23"/>
              </w:rPr>
            </w:pPr>
            <w:r>
              <w:rPr>
                <w:sz w:val="23"/>
              </w:rPr>
              <w:t>250mg</w:t>
            </w:r>
          </w:p>
        </w:tc>
        <w:tc>
          <w:tcPr>
            <w:tcW w:w="2362" w:type="dxa"/>
            <w:tcBorders>
              <w:top w:val="single" w:sz="4" w:space="0" w:color="000000"/>
              <w:left w:val="single" w:sz="4" w:space="0" w:color="000000"/>
              <w:bottom w:val="single" w:sz="4" w:space="0" w:color="000000"/>
              <w:right w:val="single" w:sz="4" w:space="0" w:color="000000"/>
            </w:tcBorders>
          </w:tcPr>
          <w:p>
            <w:pPr>
              <w:pStyle w:val="TableParagraph"/>
              <w:spacing w:line="314" w:lineRule="exact"/>
              <w:ind w:left="78" w:right="64"/>
              <w:jc w:val="center"/>
              <w:rPr>
                <w:sz w:val="23"/>
              </w:rPr>
            </w:pPr>
            <w:r>
              <w:rPr>
                <w:sz w:val="23"/>
              </w:rPr>
              <w:t>15-20 mg/kg</w:t>
            </w:r>
          </w:p>
          <w:p>
            <w:pPr>
              <w:pStyle w:val="TableParagraph"/>
              <w:spacing w:line="271" w:lineRule="exact"/>
              <w:ind w:left="80" w:right="63"/>
              <w:jc w:val="center"/>
              <w:rPr>
                <w:sz w:val="23"/>
              </w:rPr>
            </w:pPr>
            <w:r>
              <w:rPr>
                <w:sz w:val="23"/>
              </w:rPr>
              <w:t>(1 gm)</w:t>
            </w:r>
          </w:p>
        </w:tc>
        <w:tc>
          <w:tcPr>
            <w:tcW w:w="1553" w:type="dxa"/>
            <w:tcBorders>
              <w:top w:val="single" w:sz="4" w:space="0" w:color="000000"/>
              <w:left w:val="single" w:sz="4" w:space="0" w:color="000000"/>
              <w:bottom w:val="single" w:sz="4" w:space="0" w:color="000000"/>
              <w:right w:val="single" w:sz="4" w:space="0" w:color="000000"/>
            </w:tcBorders>
          </w:tcPr>
          <w:p>
            <w:pPr>
              <w:pStyle w:val="TableParagraph"/>
              <w:spacing w:before="102"/>
              <w:ind w:left="91" w:right="74"/>
              <w:jc w:val="center"/>
              <w:rPr>
                <w:sz w:val="23"/>
              </w:rPr>
            </w:pPr>
            <w:r>
              <w:rPr>
                <w:sz w:val="23"/>
              </w:rPr>
              <w:t>1#(bid)</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spacing w:before="102"/>
              <w:ind w:left="43" w:right="24"/>
              <w:jc w:val="center"/>
              <w:rPr>
                <w:sz w:val="23"/>
              </w:rPr>
            </w:pPr>
            <w:r>
              <w:rPr>
                <w:sz w:val="23"/>
              </w:rPr>
              <w:t>1#(tid)</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102"/>
              <w:ind w:left="18" w:right="3"/>
              <w:jc w:val="center"/>
              <w:rPr>
                <w:sz w:val="23"/>
              </w:rPr>
            </w:pPr>
            <w:r>
              <w:rPr>
                <w:sz w:val="23"/>
              </w:rPr>
              <w:t>60-90#</w:t>
            </w:r>
          </w:p>
        </w:tc>
        <w:tc>
          <w:tcPr>
            <w:tcW w:w="1056" w:type="dxa"/>
            <w:tcBorders>
              <w:top w:val="single" w:sz="4" w:space="0" w:color="000000"/>
              <w:left w:val="single" w:sz="4" w:space="0" w:color="000000"/>
              <w:bottom w:val="single" w:sz="4" w:space="0" w:color="000000"/>
            </w:tcBorders>
          </w:tcPr>
          <w:p>
            <w:pPr>
              <w:pStyle w:val="TableParagraph"/>
              <w:spacing w:before="102"/>
              <w:ind w:left="22"/>
              <w:jc w:val="center"/>
              <w:rPr>
                <w:sz w:val="23"/>
              </w:rPr>
            </w:pPr>
            <w:r>
              <w:rPr>
                <w:sz w:val="23"/>
              </w:rPr>
              <w:t>1000#/瓶</w:t>
            </w:r>
          </w:p>
        </w:tc>
      </w:tr>
      <w:tr>
        <w:trPr>
          <w:trHeight w:val="605" w:hRule="atLeast"/>
        </w:trPr>
        <w:tc>
          <w:tcPr>
            <w:tcW w:w="1792" w:type="dxa"/>
            <w:tcBorders>
              <w:top w:val="single" w:sz="4" w:space="0" w:color="000000"/>
              <w:bottom w:val="single" w:sz="4" w:space="0" w:color="000000"/>
              <w:right w:val="single" w:sz="4" w:space="0" w:color="000000"/>
            </w:tcBorders>
          </w:tcPr>
          <w:p>
            <w:pPr>
              <w:pStyle w:val="TableParagraph"/>
              <w:spacing w:line="315" w:lineRule="exact"/>
              <w:ind w:left="69" w:right="56"/>
              <w:jc w:val="center"/>
              <w:rPr>
                <w:sz w:val="23"/>
              </w:rPr>
            </w:pPr>
            <w:r>
              <w:rPr>
                <w:sz w:val="23"/>
              </w:rPr>
              <w:t>Levofloxacin</w:t>
            </w:r>
          </w:p>
          <w:p>
            <w:pPr>
              <w:pStyle w:val="TableParagraph"/>
              <w:spacing w:line="271" w:lineRule="exact"/>
              <w:ind w:left="70" w:right="55"/>
              <w:jc w:val="center"/>
              <w:rPr>
                <w:sz w:val="23"/>
              </w:rPr>
            </w:pPr>
            <w:r>
              <w:rPr>
                <w:sz w:val="23"/>
              </w:rPr>
              <w:t>500mg</w:t>
            </w:r>
          </w:p>
        </w:tc>
        <w:tc>
          <w:tcPr>
            <w:tcW w:w="2362" w:type="dxa"/>
            <w:tcBorders>
              <w:top w:val="single" w:sz="4" w:space="0" w:color="000000"/>
              <w:left w:val="single" w:sz="4" w:space="0" w:color="000000"/>
              <w:bottom w:val="single" w:sz="4" w:space="0" w:color="000000"/>
              <w:right w:val="single" w:sz="4" w:space="0" w:color="000000"/>
            </w:tcBorders>
          </w:tcPr>
          <w:p>
            <w:pPr>
              <w:pStyle w:val="TableParagraph"/>
              <w:spacing w:line="315" w:lineRule="exact"/>
              <w:ind w:left="469"/>
              <w:rPr>
                <w:sz w:val="23"/>
              </w:rPr>
            </w:pPr>
            <w:r>
              <w:rPr>
                <w:sz w:val="23"/>
              </w:rPr>
              <w:t>7.5-10mg/Kg</w:t>
            </w:r>
          </w:p>
          <w:p>
            <w:pPr>
              <w:pStyle w:val="TableParagraph"/>
              <w:spacing w:line="271" w:lineRule="exact"/>
              <w:ind w:left="350"/>
              <w:rPr>
                <w:sz w:val="23"/>
              </w:rPr>
            </w:pPr>
            <w:r>
              <w:rPr>
                <w:sz w:val="23"/>
              </w:rPr>
              <w:t>(500~1000 mg)</w:t>
            </w:r>
          </w:p>
        </w:tc>
        <w:tc>
          <w:tcPr>
            <w:tcW w:w="1553" w:type="dxa"/>
            <w:tcBorders>
              <w:top w:val="single" w:sz="4" w:space="0" w:color="000000"/>
              <w:left w:val="single" w:sz="4" w:space="0" w:color="000000"/>
              <w:bottom w:val="single" w:sz="4" w:space="0" w:color="000000"/>
              <w:right w:val="single" w:sz="4" w:space="0" w:color="000000"/>
            </w:tcBorders>
          </w:tcPr>
          <w:p>
            <w:pPr>
              <w:pStyle w:val="TableParagraph"/>
              <w:spacing w:before="103"/>
              <w:ind w:left="91" w:right="75"/>
              <w:jc w:val="center"/>
              <w:rPr>
                <w:sz w:val="23"/>
              </w:rPr>
            </w:pPr>
            <w:r>
              <w:rPr>
                <w:sz w:val="23"/>
              </w:rPr>
              <w:t>1#(qd)</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spacing w:line="315" w:lineRule="exact"/>
              <w:ind w:left="40" w:right="24"/>
              <w:jc w:val="center"/>
              <w:rPr>
                <w:sz w:val="23"/>
              </w:rPr>
            </w:pPr>
            <w:r>
              <w:rPr>
                <w:sz w:val="23"/>
              </w:rPr>
              <w:t>1.5#(qd)500</w:t>
            </w:r>
          </w:p>
          <w:p>
            <w:pPr>
              <w:pStyle w:val="TableParagraph"/>
              <w:spacing w:line="271" w:lineRule="exact"/>
              <w:ind w:left="42" w:right="24"/>
              <w:jc w:val="center"/>
              <w:rPr>
                <w:sz w:val="23"/>
              </w:rPr>
            </w:pPr>
            <w:r>
              <w:rPr>
                <w:sz w:val="23"/>
              </w:rPr>
              <w:t>-1000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103"/>
              <w:ind w:left="19" w:right="3"/>
              <w:jc w:val="center"/>
              <w:rPr>
                <w:sz w:val="23"/>
              </w:rPr>
            </w:pPr>
            <w:r>
              <w:rPr>
                <w:sz w:val="23"/>
              </w:rPr>
              <w:t>30-45#</w:t>
            </w:r>
          </w:p>
        </w:tc>
        <w:tc>
          <w:tcPr>
            <w:tcW w:w="1056" w:type="dxa"/>
            <w:tcBorders>
              <w:top w:val="single" w:sz="4" w:space="0" w:color="000000"/>
              <w:left w:val="single" w:sz="4" w:space="0" w:color="000000"/>
              <w:bottom w:val="single" w:sz="4" w:space="0" w:color="000000"/>
            </w:tcBorders>
          </w:tcPr>
          <w:p>
            <w:pPr>
              <w:pStyle w:val="TableParagraph"/>
              <w:spacing w:before="103"/>
              <w:ind w:left="23"/>
              <w:jc w:val="center"/>
              <w:rPr>
                <w:sz w:val="23"/>
              </w:rPr>
            </w:pPr>
            <w:r>
              <w:rPr>
                <w:sz w:val="23"/>
              </w:rPr>
              <w:t>100#/盒</w:t>
            </w:r>
          </w:p>
        </w:tc>
      </w:tr>
      <w:tr>
        <w:trPr>
          <w:trHeight w:val="604" w:hRule="atLeast"/>
        </w:trPr>
        <w:tc>
          <w:tcPr>
            <w:tcW w:w="1792" w:type="dxa"/>
            <w:tcBorders>
              <w:top w:val="single" w:sz="4" w:space="0" w:color="000000"/>
              <w:bottom w:val="single" w:sz="4" w:space="0" w:color="000000"/>
              <w:right w:val="single" w:sz="4" w:space="0" w:color="000000"/>
            </w:tcBorders>
          </w:tcPr>
          <w:p>
            <w:pPr>
              <w:pStyle w:val="TableParagraph"/>
              <w:spacing w:line="314" w:lineRule="exact"/>
              <w:ind w:left="69" w:right="56"/>
              <w:jc w:val="center"/>
              <w:rPr>
                <w:sz w:val="23"/>
              </w:rPr>
            </w:pPr>
            <w:r>
              <w:rPr>
                <w:sz w:val="23"/>
              </w:rPr>
              <w:t>Moxifloxacin</w:t>
            </w:r>
          </w:p>
          <w:p>
            <w:pPr>
              <w:pStyle w:val="TableParagraph"/>
              <w:spacing w:line="271" w:lineRule="exact"/>
              <w:ind w:left="70" w:right="55"/>
              <w:jc w:val="center"/>
              <w:rPr>
                <w:sz w:val="23"/>
              </w:rPr>
            </w:pPr>
            <w:r>
              <w:rPr>
                <w:sz w:val="23"/>
              </w:rPr>
              <w:t>400mg</w:t>
            </w:r>
          </w:p>
        </w:tc>
        <w:tc>
          <w:tcPr>
            <w:tcW w:w="2362" w:type="dxa"/>
            <w:tcBorders>
              <w:top w:val="single" w:sz="4" w:space="0" w:color="000000"/>
              <w:left w:val="single" w:sz="4" w:space="0" w:color="000000"/>
              <w:bottom w:val="single" w:sz="4" w:space="0" w:color="000000"/>
              <w:right w:val="single" w:sz="4" w:space="0" w:color="000000"/>
            </w:tcBorders>
          </w:tcPr>
          <w:p>
            <w:pPr>
              <w:pStyle w:val="TableParagraph"/>
              <w:spacing w:before="102"/>
              <w:ind w:left="80" w:right="64"/>
              <w:jc w:val="center"/>
              <w:rPr>
                <w:sz w:val="23"/>
              </w:rPr>
            </w:pPr>
            <w:r>
              <w:rPr>
                <w:sz w:val="23"/>
              </w:rPr>
              <w:t>400mg</w:t>
            </w:r>
          </w:p>
        </w:tc>
        <w:tc>
          <w:tcPr>
            <w:tcW w:w="1553" w:type="dxa"/>
            <w:tcBorders>
              <w:top w:val="single" w:sz="4" w:space="0" w:color="000000"/>
              <w:left w:val="single" w:sz="4" w:space="0" w:color="000000"/>
              <w:bottom w:val="single" w:sz="4" w:space="0" w:color="000000"/>
              <w:right w:val="single" w:sz="4" w:space="0" w:color="000000"/>
            </w:tcBorders>
          </w:tcPr>
          <w:p>
            <w:pPr>
              <w:pStyle w:val="TableParagraph"/>
              <w:spacing w:before="102"/>
              <w:ind w:left="91" w:right="74"/>
              <w:jc w:val="center"/>
              <w:rPr>
                <w:sz w:val="23"/>
              </w:rPr>
            </w:pPr>
            <w:r>
              <w:rPr>
                <w:sz w:val="23"/>
              </w:rPr>
              <w:t>1#(qd)</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spacing w:before="102"/>
              <w:ind w:left="43" w:right="24"/>
              <w:jc w:val="center"/>
              <w:rPr>
                <w:sz w:val="23"/>
              </w:rPr>
            </w:pPr>
            <w:r>
              <w:rPr>
                <w:sz w:val="23"/>
              </w:rPr>
              <w:t>1#(qd)</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102"/>
              <w:ind w:left="19" w:right="2"/>
              <w:jc w:val="center"/>
              <w:rPr>
                <w:sz w:val="23"/>
              </w:rPr>
            </w:pPr>
            <w:r>
              <w:rPr>
                <w:sz w:val="23"/>
              </w:rPr>
              <w:t>30#</w:t>
            </w:r>
          </w:p>
        </w:tc>
        <w:tc>
          <w:tcPr>
            <w:tcW w:w="1056" w:type="dxa"/>
            <w:tcBorders>
              <w:top w:val="single" w:sz="4" w:space="0" w:color="000000"/>
              <w:left w:val="single" w:sz="4" w:space="0" w:color="000000"/>
              <w:bottom w:val="single" w:sz="4" w:space="0" w:color="000000"/>
            </w:tcBorders>
          </w:tcPr>
          <w:p>
            <w:pPr>
              <w:pStyle w:val="TableParagraph"/>
              <w:spacing w:before="102"/>
              <w:ind w:left="23"/>
              <w:jc w:val="center"/>
              <w:rPr>
                <w:sz w:val="23"/>
              </w:rPr>
            </w:pPr>
            <w:r>
              <w:rPr>
                <w:sz w:val="23"/>
              </w:rPr>
              <w:t>5#/盒</w:t>
            </w:r>
          </w:p>
        </w:tc>
      </w:tr>
      <w:tr>
        <w:trPr>
          <w:trHeight w:val="605" w:hRule="atLeast"/>
        </w:trPr>
        <w:tc>
          <w:tcPr>
            <w:tcW w:w="1792" w:type="dxa"/>
            <w:tcBorders>
              <w:top w:val="single" w:sz="4" w:space="0" w:color="000000"/>
              <w:bottom w:val="single" w:sz="4" w:space="0" w:color="000000"/>
              <w:right w:val="single" w:sz="4" w:space="0" w:color="000000"/>
            </w:tcBorders>
          </w:tcPr>
          <w:p>
            <w:pPr>
              <w:pStyle w:val="TableParagraph"/>
              <w:spacing w:line="315" w:lineRule="exact"/>
              <w:ind w:left="70" w:right="55"/>
              <w:jc w:val="center"/>
              <w:rPr>
                <w:sz w:val="23"/>
              </w:rPr>
            </w:pPr>
            <w:r>
              <w:rPr>
                <w:sz w:val="23"/>
              </w:rPr>
              <w:t>Streptomycin</w:t>
            </w:r>
          </w:p>
          <w:p>
            <w:pPr>
              <w:pStyle w:val="TableParagraph"/>
              <w:spacing w:line="271" w:lineRule="exact"/>
              <w:ind w:left="70" w:right="55"/>
              <w:jc w:val="center"/>
              <w:rPr>
                <w:sz w:val="23"/>
              </w:rPr>
            </w:pPr>
            <w:r>
              <w:rPr>
                <w:sz w:val="23"/>
              </w:rPr>
              <w:t>1gm(im)</w:t>
            </w:r>
          </w:p>
        </w:tc>
        <w:tc>
          <w:tcPr>
            <w:tcW w:w="6750" w:type="dxa"/>
            <w:gridSpan w:val="4"/>
            <w:tcBorders>
              <w:top w:val="single" w:sz="4" w:space="0" w:color="000000"/>
              <w:left w:val="single" w:sz="4" w:space="0" w:color="000000"/>
              <w:bottom w:val="single" w:sz="4" w:space="0" w:color="000000"/>
              <w:right w:val="single" w:sz="4" w:space="0" w:color="000000"/>
            </w:tcBorders>
          </w:tcPr>
          <w:p>
            <w:pPr>
              <w:pStyle w:val="TableParagraph"/>
              <w:tabs>
                <w:tab w:pos="1661" w:val="left" w:leader="none"/>
              </w:tabs>
              <w:spacing w:before="103"/>
              <w:ind w:left="17"/>
              <w:jc w:val="center"/>
              <w:rPr>
                <w:sz w:val="23"/>
              </w:rPr>
            </w:pPr>
            <w:r>
              <w:rPr>
                <w:sz w:val="23"/>
              </w:rPr>
              <w:t>15-20</w:t>
            </w:r>
            <w:r>
              <w:rPr>
                <w:spacing w:val="-2"/>
                <w:sz w:val="23"/>
              </w:rPr>
              <w:t> </w:t>
            </w:r>
            <w:r>
              <w:rPr>
                <w:sz w:val="23"/>
              </w:rPr>
              <w:t>mg/kg</w:t>
              <w:tab/>
              <w:t>(1</w:t>
            </w:r>
            <w:r>
              <w:rPr>
                <w:spacing w:val="-2"/>
                <w:sz w:val="23"/>
              </w:rPr>
              <w:t> </w:t>
            </w:r>
            <w:r>
              <w:rPr>
                <w:sz w:val="23"/>
              </w:rPr>
              <w:t>gm)</w:t>
            </w:r>
          </w:p>
        </w:tc>
        <w:tc>
          <w:tcPr>
            <w:tcW w:w="1056" w:type="dxa"/>
            <w:tcBorders>
              <w:top w:val="single" w:sz="4" w:space="0" w:color="000000"/>
              <w:left w:val="single" w:sz="4" w:space="0" w:color="000000"/>
              <w:bottom w:val="single" w:sz="4" w:space="0" w:color="000000"/>
            </w:tcBorders>
          </w:tcPr>
          <w:p>
            <w:pPr>
              <w:pStyle w:val="TableParagraph"/>
              <w:spacing w:before="103"/>
              <w:ind w:left="23"/>
              <w:jc w:val="center"/>
              <w:rPr>
                <w:sz w:val="23"/>
              </w:rPr>
            </w:pPr>
            <w:r>
              <w:rPr>
                <w:sz w:val="23"/>
              </w:rPr>
              <w:t>10瓶/盒</w:t>
            </w:r>
          </w:p>
        </w:tc>
      </w:tr>
      <w:tr>
        <w:trPr>
          <w:trHeight w:val="604" w:hRule="atLeast"/>
        </w:trPr>
        <w:tc>
          <w:tcPr>
            <w:tcW w:w="1792" w:type="dxa"/>
            <w:tcBorders>
              <w:top w:val="single" w:sz="4" w:space="0" w:color="000000"/>
              <w:bottom w:val="single" w:sz="4" w:space="0" w:color="000000"/>
              <w:right w:val="single" w:sz="4" w:space="0" w:color="000000"/>
            </w:tcBorders>
          </w:tcPr>
          <w:p>
            <w:pPr>
              <w:pStyle w:val="TableParagraph"/>
              <w:spacing w:line="314" w:lineRule="exact"/>
              <w:ind w:left="305"/>
              <w:rPr>
                <w:sz w:val="23"/>
              </w:rPr>
            </w:pPr>
            <w:r>
              <w:rPr>
                <w:sz w:val="23"/>
              </w:rPr>
              <w:t>Kanamycin</w:t>
            </w:r>
          </w:p>
          <w:p>
            <w:pPr>
              <w:pStyle w:val="TableParagraph"/>
              <w:spacing w:line="271" w:lineRule="exact"/>
              <w:ind w:left="440"/>
              <w:rPr>
                <w:sz w:val="23"/>
              </w:rPr>
            </w:pPr>
            <w:r>
              <w:rPr>
                <w:sz w:val="23"/>
              </w:rPr>
              <w:t>1gm(im)</w:t>
            </w:r>
          </w:p>
        </w:tc>
        <w:tc>
          <w:tcPr>
            <w:tcW w:w="6750" w:type="dxa"/>
            <w:gridSpan w:val="4"/>
            <w:tcBorders>
              <w:top w:val="single" w:sz="4" w:space="0" w:color="000000"/>
              <w:left w:val="single" w:sz="4" w:space="0" w:color="000000"/>
              <w:bottom w:val="single" w:sz="4" w:space="0" w:color="000000"/>
              <w:right w:val="single" w:sz="4" w:space="0" w:color="000000"/>
            </w:tcBorders>
          </w:tcPr>
          <w:p>
            <w:pPr>
              <w:pStyle w:val="TableParagraph"/>
              <w:spacing w:before="102"/>
              <w:ind w:left="17"/>
              <w:jc w:val="center"/>
              <w:rPr>
                <w:sz w:val="23"/>
              </w:rPr>
            </w:pPr>
            <w:r>
              <w:rPr>
                <w:sz w:val="23"/>
              </w:rPr>
              <w:t>15-20 mg/kg (1 gm)</w:t>
            </w:r>
          </w:p>
        </w:tc>
        <w:tc>
          <w:tcPr>
            <w:tcW w:w="1056" w:type="dxa"/>
            <w:tcBorders>
              <w:top w:val="single" w:sz="4" w:space="0" w:color="000000"/>
              <w:left w:val="single" w:sz="4" w:space="0" w:color="000000"/>
              <w:bottom w:val="single" w:sz="4" w:space="0" w:color="000000"/>
            </w:tcBorders>
          </w:tcPr>
          <w:p>
            <w:pPr>
              <w:pStyle w:val="TableParagraph"/>
              <w:spacing w:before="102"/>
              <w:ind w:left="23"/>
              <w:jc w:val="center"/>
              <w:rPr>
                <w:sz w:val="23"/>
              </w:rPr>
            </w:pPr>
            <w:r>
              <w:rPr>
                <w:sz w:val="23"/>
              </w:rPr>
              <w:t>10瓶/盒</w:t>
            </w:r>
          </w:p>
        </w:tc>
      </w:tr>
      <w:tr>
        <w:trPr>
          <w:trHeight w:val="626" w:hRule="atLeast"/>
        </w:trPr>
        <w:tc>
          <w:tcPr>
            <w:tcW w:w="1792" w:type="dxa"/>
            <w:tcBorders>
              <w:top w:val="single" w:sz="4" w:space="0" w:color="000000"/>
              <w:bottom w:val="single" w:sz="4" w:space="0" w:color="000000"/>
              <w:right w:val="single" w:sz="4" w:space="0" w:color="000000"/>
            </w:tcBorders>
          </w:tcPr>
          <w:p>
            <w:pPr>
              <w:pStyle w:val="TableParagraph"/>
              <w:spacing w:line="326" w:lineRule="exact"/>
              <w:ind w:left="70" w:right="56"/>
              <w:jc w:val="center"/>
              <w:rPr>
                <w:sz w:val="23"/>
              </w:rPr>
            </w:pPr>
            <w:r>
              <w:rPr>
                <w:sz w:val="23"/>
              </w:rPr>
              <w:t>Cycloserine</w:t>
            </w:r>
          </w:p>
          <w:p>
            <w:pPr>
              <w:pStyle w:val="TableParagraph"/>
              <w:spacing w:line="280" w:lineRule="exact"/>
              <w:ind w:left="70" w:right="55"/>
              <w:jc w:val="center"/>
              <w:rPr>
                <w:sz w:val="23"/>
              </w:rPr>
            </w:pPr>
            <w:r>
              <w:rPr>
                <w:sz w:val="23"/>
              </w:rPr>
              <w:t>250mg</w:t>
            </w:r>
          </w:p>
        </w:tc>
        <w:tc>
          <w:tcPr>
            <w:tcW w:w="2362" w:type="dxa"/>
            <w:tcBorders>
              <w:top w:val="single" w:sz="4" w:space="0" w:color="000000"/>
              <w:left w:val="single" w:sz="4" w:space="0" w:color="000000"/>
              <w:bottom w:val="single" w:sz="4" w:space="0" w:color="000000"/>
              <w:right w:val="single" w:sz="4" w:space="0" w:color="000000"/>
            </w:tcBorders>
          </w:tcPr>
          <w:p>
            <w:pPr>
              <w:pStyle w:val="TableParagraph"/>
              <w:spacing w:before="114"/>
              <w:ind w:left="80" w:right="64"/>
              <w:jc w:val="center"/>
              <w:rPr>
                <w:sz w:val="23"/>
              </w:rPr>
            </w:pPr>
            <w:r>
              <w:rPr>
                <w:sz w:val="23"/>
              </w:rPr>
              <w:t>10-15 mg/kg (1 gm)</w:t>
            </w:r>
          </w:p>
        </w:tc>
        <w:tc>
          <w:tcPr>
            <w:tcW w:w="1553" w:type="dxa"/>
            <w:tcBorders>
              <w:top w:val="single" w:sz="4" w:space="0" w:color="000000"/>
              <w:left w:val="single" w:sz="4" w:space="0" w:color="000000"/>
              <w:bottom w:val="single" w:sz="4" w:space="0" w:color="000000"/>
              <w:right w:val="single" w:sz="4" w:space="0" w:color="000000"/>
            </w:tcBorders>
          </w:tcPr>
          <w:p>
            <w:pPr>
              <w:pStyle w:val="TableParagraph"/>
              <w:spacing w:line="326" w:lineRule="exact"/>
              <w:ind w:left="274"/>
              <w:rPr>
                <w:sz w:val="23"/>
              </w:rPr>
            </w:pPr>
            <w:r>
              <w:rPr>
                <w:sz w:val="23"/>
              </w:rPr>
              <w:t>1#(bid)或</w:t>
            </w:r>
          </w:p>
          <w:p>
            <w:pPr>
              <w:pStyle w:val="TableParagraph"/>
              <w:spacing w:line="280" w:lineRule="exact"/>
              <w:ind w:left="421"/>
              <w:rPr>
                <w:sz w:val="23"/>
              </w:rPr>
            </w:pPr>
            <w:r>
              <w:rPr>
                <w:sz w:val="23"/>
              </w:rPr>
              <w:t>1#(tid)</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spacing w:before="114"/>
              <w:ind w:left="43" w:right="24"/>
              <w:jc w:val="center"/>
              <w:rPr>
                <w:sz w:val="23"/>
              </w:rPr>
            </w:pPr>
            <w:r>
              <w:rPr>
                <w:sz w:val="23"/>
              </w:rPr>
              <w:t>1#(bid)或1#(tid)</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114"/>
              <w:ind w:left="19" w:right="3"/>
              <w:jc w:val="center"/>
              <w:rPr>
                <w:sz w:val="23"/>
              </w:rPr>
            </w:pPr>
            <w:r>
              <w:rPr>
                <w:sz w:val="23"/>
              </w:rPr>
              <w:t>60-90#</w:t>
            </w:r>
          </w:p>
        </w:tc>
        <w:tc>
          <w:tcPr>
            <w:tcW w:w="1056" w:type="dxa"/>
            <w:tcBorders>
              <w:top w:val="single" w:sz="4" w:space="0" w:color="000000"/>
              <w:left w:val="single" w:sz="4" w:space="0" w:color="000000"/>
              <w:bottom w:val="single" w:sz="4" w:space="0" w:color="000000"/>
            </w:tcBorders>
          </w:tcPr>
          <w:p>
            <w:pPr>
              <w:pStyle w:val="TableParagraph"/>
              <w:spacing w:before="114"/>
              <w:ind w:left="23"/>
              <w:jc w:val="center"/>
              <w:rPr>
                <w:sz w:val="23"/>
              </w:rPr>
            </w:pPr>
            <w:r>
              <w:rPr>
                <w:sz w:val="23"/>
              </w:rPr>
              <w:t>500#/瓶</w:t>
            </w:r>
          </w:p>
        </w:tc>
      </w:tr>
      <w:tr>
        <w:trPr>
          <w:trHeight w:val="606" w:hRule="atLeast"/>
        </w:trPr>
        <w:tc>
          <w:tcPr>
            <w:tcW w:w="1792" w:type="dxa"/>
            <w:tcBorders>
              <w:top w:val="single" w:sz="4" w:space="0" w:color="000000"/>
              <w:right w:val="single" w:sz="4" w:space="0" w:color="000000"/>
            </w:tcBorders>
          </w:tcPr>
          <w:p>
            <w:pPr>
              <w:pStyle w:val="TableParagraph"/>
              <w:spacing w:line="315" w:lineRule="exact"/>
              <w:ind w:left="397"/>
              <w:rPr>
                <w:sz w:val="23"/>
              </w:rPr>
            </w:pPr>
            <w:r>
              <w:rPr>
                <w:sz w:val="23"/>
              </w:rPr>
              <w:t>Amikacin</w:t>
            </w:r>
          </w:p>
          <w:p>
            <w:pPr>
              <w:pStyle w:val="TableParagraph"/>
              <w:spacing w:line="272" w:lineRule="exact"/>
              <w:ind w:left="516"/>
              <w:rPr>
                <w:sz w:val="23"/>
              </w:rPr>
            </w:pPr>
            <w:r>
              <w:rPr>
                <w:sz w:val="23"/>
              </w:rPr>
              <w:t>250gm</w:t>
            </w:r>
          </w:p>
        </w:tc>
        <w:tc>
          <w:tcPr>
            <w:tcW w:w="6750" w:type="dxa"/>
            <w:gridSpan w:val="4"/>
            <w:tcBorders>
              <w:top w:val="single" w:sz="4" w:space="0" w:color="000000"/>
              <w:left w:val="single" w:sz="4" w:space="0" w:color="000000"/>
              <w:right w:val="single" w:sz="4" w:space="0" w:color="000000"/>
            </w:tcBorders>
          </w:tcPr>
          <w:p>
            <w:pPr>
              <w:pStyle w:val="TableParagraph"/>
              <w:tabs>
                <w:tab w:pos="1661" w:val="left" w:leader="none"/>
              </w:tabs>
              <w:spacing w:before="103"/>
              <w:ind w:left="17"/>
              <w:jc w:val="center"/>
              <w:rPr>
                <w:sz w:val="23"/>
              </w:rPr>
            </w:pPr>
            <w:r>
              <w:rPr>
                <w:sz w:val="23"/>
              </w:rPr>
              <w:t>15-20</w:t>
            </w:r>
            <w:r>
              <w:rPr>
                <w:spacing w:val="-2"/>
                <w:sz w:val="23"/>
              </w:rPr>
              <w:t> </w:t>
            </w:r>
            <w:r>
              <w:rPr>
                <w:sz w:val="23"/>
              </w:rPr>
              <w:t>mg/kg</w:t>
              <w:tab/>
              <w:t>(1</w:t>
            </w:r>
            <w:r>
              <w:rPr>
                <w:spacing w:val="-2"/>
                <w:sz w:val="23"/>
              </w:rPr>
              <w:t> </w:t>
            </w:r>
            <w:r>
              <w:rPr>
                <w:sz w:val="23"/>
              </w:rPr>
              <w:t>gm)</w:t>
            </w:r>
          </w:p>
        </w:tc>
        <w:tc>
          <w:tcPr>
            <w:tcW w:w="1056" w:type="dxa"/>
            <w:tcBorders>
              <w:top w:val="single" w:sz="4" w:space="0" w:color="000000"/>
              <w:left w:val="single" w:sz="4" w:space="0" w:color="000000"/>
            </w:tcBorders>
          </w:tcPr>
          <w:p>
            <w:pPr>
              <w:pStyle w:val="TableParagraph"/>
              <w:spacing w:before="103"/>
              <w:ind w:left="23"/>
              <w:jc w:val="center"/>
              <w:rPr>
                <w:sz w:val="23"/>
              </w:rPr>
            </w:pPr>
            <w:r>
              <w:rPr>
                <w:sz w:val="23"/>
              </w:rPr>
              <w:t>25瓶/盒</w:t>
            </w:r>
          </w:p>
        </w:tc>
      </w:tr>
    </w:tbl>
    <w:p>
      <w:pPr>
        <w:spacing w:before="0"/>
        <w:ind w:left="280" w:right="0" w:firstLine="0"/>
        <w:jc w:val="left"/>
        <w:rPr>
          <w:sz w:val="23"/>
        </w:rPr>
      </w:pPr>
      <w:r>
        <w:rPr/>
        <w:pict>
          <v:shape style="position:absolute;margin-left:574.289001pt;margin-top:-61.586506pt;width:16.650pt;height:5.55pt;mso-position-horizontal-relative:page;mso-position-vertical-relative:paragraph;z-index:251799552"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sz w:val="23"/>
        </w:rPr>
        <w:t>註：本公費藥僅供應TMTC 團隊醫院或加入都治計畫病人使用。</w:t>
      </w:r>
    </w:p>
    <w:p>
      <w:pPr>
        <w:pStyle w:val="Heading6"/>
        <w:spacing w:before="238" w:after="24"/>
        <w:ind w:left="2583" w:right="3662"/>
        <w:jc w:val="center"/>
      </w:pPr>
      <w:r>
        <w:rPr/>
        <w:pict>
          <v:shape style="position:absolute;margin-left:574.289001pt;margin-top:13.263598pt;width:16.650pt;height:5.55pt;mso-position-horizontal-relative:page;mso-position-vertical-relative:paragraph;z-index:251798528"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t>兒童複方可溶錠 RHZ 及 RH 建議劑量及用法</w:t>
      </w:r>
    </w:p>
    <w:tbl>
      <w:tblPr>
        <w:tblW w:w="0" w:type="auto"/>
        <w:jc w:val="left"/>
        <w:tblInd w:w="2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54"/>
        <w:gridCol w:w="1277"/>
        <w:gridCol w:w="1276"/>
        <w:gridCol w:w="1278"/>
        <w:gridCol w:w="1277"/>
        <w:gridCol w:w="1979"/>
      </w:tblGrid>
      <w:tr>
        <w:trPr>
          <w:trHeight w:val="332" w:hRule="atLeast"/>
        </w:trPr>
        <w:tc>
          <w:tcPr>
            <w:tcW w:w="2554" w:type="dxa"/>
            <w:vMerge w:val="restart"/>
            <w:tcBorders>
              <w:bottom w:val="single" w:sz="4" w:space="0" w:color="000000"/>
              <w:right w:val="single" w:sz="4" w:space="0" w:color="000000"/>
            </w:tcBorders>
          </w:tcPr>
          <w:p>
            <w:pPr>
              <w:pStyle w:val="TableParagraph"/>
              <w:spacing w:before="124"/>
              <w:ind w:left="1027" w:right="1011"/>
              <w:jc w:val="center"/>
              <w:rPr>
                <w:sz w:val="23"/>
              </w:rPr>
            </w:pPr>
            <w:r>
              <w:rPr>
                <w:sz w:val="23"/>
              </w:rPr>
              <w:t>藥品</w:t>
            </w:r>
          </w:p>
        </w:tc>
        <w:tc>
          <w:tcPr>
            <w:tcW w:w="7087" w:type="dxa"/>
            <w:gridSpan w:val="5"/>
            <w:tcBorders>
              <w:left w:val="single" w:sz="4" w:space="0" w:color="000000"/>
              <w:bottom w:val="single" w:sz="4" w:space="0" w:color="000000"/>
            </w:tcBorders>
          </w:tcPr>
          <w:p>
            <w:pPr>
              <w:pStyle w:val="TableParagraph"/>
              <w:spacing w:line="313" w:lineRule="exact"/>
              <w:ind w:left="3297" w:right="3274"/>
              <w:jc w:val="center"/>
              <w:rPr>
                <w:sz w:val="23"/>
              </w:rPr>
            </w:pPr>
            <w:r>
              <w:rPr>
                <w:sz w:val="23"/>
              </w:rPr>
              <w:t>劑量</w:t>
            </w:r>
          </w:p>
        </w:tc>
      </w:tr>
      <w:tr>
        <w:trPr>
          <w:trHeight w:val="333" w:hRule="atLeast"/>
        </w:trPr>
        <w:tc>
          <w:tcPr>
            <w:tcW w:w="2554" w:type="dxa"/>
            <w:vMerge/>
            <w:tcBorders>
              <w:top w:val="nil"/>
              <w:bottom w:val="single" w:sz="4" w:space="0" w:color="000000"/>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313" w:lineRule="exact"/>
              <w:ind w:left="296"/>
              <w:rPr>
                <w:sz w:val="23"/>
              </w:rPr>
            </w:pPr>
            <w:r>
              <w:rPr>
                <w:sz w:val="23"/>
              </w:rPr>
              <w:t>4-7 kg</w:t>
            </w:r>
          </w:p>
        </w:tc>
        <w:tc>
          <w:tcPr>
            <w:tcW w:w="1276" w:type="dxa"/>
            <w:tcBorders>
              <w:top w:val="single" w:sz="4" w:space="0" w:color="000000"/>
              <w:left w:val="single" w:sz="4" w:space="0" w:color="000000"/>
              <w:bottom w:val="single" w:sz="4" w:space="0" w:color="000000"/>
              <w:right w:val="single" w:sz="4" w:space="0" w:color="000000"/>
            </w:tcBorders>
          </w:tcPr>
          <w:p>
            <w:pPr>
              <w:pStyle w:val="TableParagraph"/>
              <w:spacing w:line="313" w:lineRule="exact"/>
              <w:ind w:left="229"/>
              <w:rPr>
                <w:sz w:val="23"/>
              </w:rPr>
            </w:pPr>
            <w:r>
              <w:rPr>
                <w:sz w:val="23"/>
              </w:rPr>
              <w:t>8-11 kg</w:t>
            </w:r>
          </w:p>
        </w:tc>
        <w:tc>
          <w:tcPr>
            <w:tcW w:w="1278" w:type="dxa"/>
            <w:tcBorders>
              <w:top w:val="single" w:sz="4" w:space="0" w:color="000000"/>
              <w:left w:val="single" w:sz="4" w:space="0" w:color="000000"/>
              <w:bottom w:val="single" w:sz="4" w:space="0" w:color="000000"/>
              <w:right w:val="single" w:sz="4" w:space="0" w:color="000000"/>
            </w:tcBorders>
          </w:tcPr>
          <w:p>
            <w:pPr>
              <w:pStyle w:val="TableParagraph"/>
              <w:spacing w:line="313" w:lineRule="exact"/>
              <w:ind w:left="164"/>
              <w:rPr>
                <w:sz w:val="23"/>
              </w:rPr>
            </w:pPr>
            <w:r>
              <w:rPr>
                <w:sz w:val="23"/>
              </w:rPr>
              <w:t>12-15 kg</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313" w:lineRule="exact"/>
              <w:ind w:left="163"/>
              <w:rPr>
                <w:sz w:val="23"/>
              </w:rPr>
            </w:pPr>
            <w:r>
              <w:rPr>
                <w:sz w:val="23"/>
              </w:rPr>
              <w:t>16-24 kg</w:t>
            </w:r>
          </w:p>
        </w:tc>
        <w:tc>
          <w:tcPr>
            <w:tcW w:w="1979" w:type="dxa"/>
            <w:tcBorders>
              <w:top w:val="single" w:sz="4" w:space="0" w:color="000000"/>
              <w:left w:val="single" w:sz="4" w:space="0" w:color="000000"/>
              <w:bottom w:val="single" w:sz="4" w:space="0" w:color="000000"/>
            </w:tcBorders>
          </w:tcPr>
          <w:p>
            <w:pPr>
              <w:pStyle w:val="TableParagraph"/>
              <w:spacing w:line="313" w:lineRule="exact"/>
              <w:ind w:left="611"/>
              <w:rPr>
                <w:sz w:val="23"/>
              </w:rPr>
            </w:pPr>
            <w:r>
              <w:rPr>
                <w:sz w:val="23"/>
              </w:rPr>
              <w:t>25+ kg</w:t>
            </w:r>
          </w:p>
        </w:tc>
      </w:tr>
      <w:tr>
        <w:trPr>
          <w:trHeight w:val="328" w:hRule="atLeast"/>
        </w:trPr>
        <w:tc>
          <w:tcPr>
            <w:tcW w:w="2554" w:type="dxa"/>
            <w:tcBorders>
              <w:top w:val="single" w:sz="4" w:space="0" w:color="000000"/>
              <w:bottom w:val="single" w:sz="4" w:space="0" w:color="000000"/>
            </w:tcBorders>
          </w:tcPr>
          <w:p>
            <w:pPr>
              <w:pStyle w:val="TableParagraph"/>
              <w:tabs>
                <w:tab w:pos="803" w:val="left" w:leader="none"/>
              </w:tabs>
              <w:spacing w:line="308" w:lineRule="exact"/>
              <w:ind w:left="108"/>
              <w:rPr>
                <w:sz w:val="23"/>
              </w:rPr>
            </w:pPr>
            <w:r>
              <w:rPr>
                <w:sz w:val="23"/>
              </w:rPr>
              <w:t>RHZ</w:t>
              <w:tab/>
              <w:t>75/50/150mg</w:t>
            </w:r>
          </w:p>
        </w:tc>
        <w:tc>
          <w:tcPr>
            <w:tcW w:w="1277" w:type="dxa"/>
            <w:vMerge w:val="restart"/>
            <w:tcBorders>
              <w:top w:val="single" w:sz="4" w:space="0" w:color="000000"/>
            </w:tcBorders>
          </w:tcPr>
          <w:p>
            <w:pPr>
              <w:pStyle w:val="TableParagraph"/>
              <w:spacing w:line="376" w:lineRule="exact"/>
              <w:ind w:left="246"/>
              <w:rPr>
                <w:sz w:val="23"/>
              </w:rPr>
            </w:pPr>
            <w:r>
              <w:rPr>
                <w:sz w:val="23"/>
              </w:rPr>
              <w:t>1#(tab)</w:t>
            </w:r>
          </w:p>
        </w:tc>
        <w:tc>
          <w:tcPr>
            <w:tcW w:w="1276" w:type="dxa"/>
            <w:vMerge w:val="restart"/>
            <w:tcBorders>
              <w:top w:val="single" w:sz="4" w:space="0" w:color="000000"/>
            </w:tcBorders>
          </w:tcPr>
          <w:p>
            <w:pPr>
              <w:pStyle w:val="TableParagraph"/>
              <w:spacing w:line="376" w:lineRule="exact"/>
              <w:ind w:left="245"/>
              <w:rPr>
                <w:sz w:val="23"/>
              </w:rPr>
            </w:pPr>
            <w:r>
              <w:rPr>
                <w:sz w:val="23"/>
              </w:rPr>
              <w:t>2#(tab)</w:t>
            </w:r>
          </w:p>
        </w:tc>
        <w:tc>
          <w:tcPr>
            <w:tcW w:w="1278" w:type="dxa"/>
            <w:vMerge w:val="restart"/>
            <w:tcBorders>
              <w:top w:val="single" w:sz="4" w:space="0" w:color="000000"/>
            </w:tcBorders>
          </w:tcPr>
          <w:p>
            <w:pPr>
              <w:pStyle w:val="TableParagraph"/>
              <w:spacing w:line="376" w:lineRule="exact"/>
              <w:ind w:left="247"/>
              <w:rPr>
                <w:sz w:val="23"/>
              </w:rPr>
            </w:pPr>
            <w:r>
              <w:rPr>
                <w:sz w:val="23"/>
              </w:rPr>
              <w:t>3#(tab)</w:t>
            </w:r>
          </w:p>
        </w:tc>
        <w:tc>
          <w:tcPr>
            <w:tcW w:w="1277" w:type="dxa"/>
            <w:vMerge w:val="restart"/>
            <w:tcBorders>
              <w:top w:val="single" w:sz="4" w:space="0" w:color="000000"/>
            </w:tcBorders>
          </w:tcPr>
          <w:p>
            <w:pPr>
              <w:pStyle w:val="TableParagraph"/>
              <w:spacing w:line="376" w:lineRule="exact"/>
              <w:ind w:left="246"/>
              <w:rPr>
                <w:sz w:val="23"/>
              </w:rPr>
            </w:pPr>
            <w:r>
              <w:rPr>
                <w:sz w:val="23"/>
              </w:rPr>
              <w:t>4#(tab)</w:t>
            </w:r>
          </w:p>
        </w:tc>
        <w:tc>
          <w:tcPr>
            <w:tcW w:w="1979" w:type="dxa"/>
            <w:vMerge w:val="restart"/>
            <w:tcBorders>
              <w:top w:val="single" w:sz="4" w:space="0" w:color="000000"/>
            </w:tcBorders>
          </w:tcPr>
          <w:p>
            <w:pPr>
              <w:pStyle w:val="TableParagraph"/>
              <w:spacing w:line="170" w:lineRule="auto" w:before="41"/>
              <w:ind w:left="106" w:right="239"/>
              <w:rPr>
                <w:sz w:val="23"/>
              </w:rPr>
            </w:pPr>
            <w:r>
              <w:rPr>
                <w:sz w:val="23"/>
              </w:rPr>
              <w:t>請參考成人劑量開立處方</w:t>
            </w:r>
          </w:p>
        </w:tc>
      </w:tr>
      <w:tr>
        <w:trPr>
          <w:trHeight w:val="327" w:hRule="atLeast"/>
        </w:trPr>
        <w:tc>
          <w:tcPr>
            <w:tcW w:w="2554" w:type="dxa"/>
            <w:tcBorders>
              <w:top w:val="single" w:sz="4" w:space="0" w:color="000000"/>
            </w:tcBorders>
          </w:tcPr>
          <w:p>
            <w:pPr>
              <w:pStyle w:val="TableParagraph"/>
              <w:tabs>
                <w:tab w:pos="661" w:val="left" w:leader="none"/>
              </w:tabs>
              <w:spacing w:line="308" w:lineRule="exact"/>
              <w:ind w:left="108"/>
              <w:rPr>
                <w:sz w:val="23"/>
              </w:rPr>
            </w:pPr>
            <w:r>
              <w:rPr>
                <w:sz w:val="23"/>
              </w:rPr>
              <w:t>RH</w:t>
              <w:tab/>
              <w:t>75/50mg</w:t>
            </w:r>
          </w:p>
        </w:tc>
        <w:tc>
          <w:tcPr>
            <w:tcW w:w="1277" w:type="dxa"/>
            <w:vMerge/>
            <w:tcBorders>
              <w:top w:val="nil"/>
            </w:tcBorders>
          </w:tcPr>
          <w:p>
            <w:pPr>
              <w:rPr>
                <w:sz w:val="2"/>
                <w:szCs w:val="2"/>
              </w:rPr>
            </w:pPr>
          </w:p>
        </w:tc>
        <w:tc>
          <w:tcPr>
            <w:tcW w:w="1276" w:type="dxa"/>
            <w:vMerge/>
            <w:tcBorders>
              <w:top w:val="nil"/>
            </w:tcBorders>
          </w:tcPr>
          <w:p>
            <w:pPr>
              <w:rPr>
                <w:sz w:val="2"/>
                <w:szCs w:val="2"/>
              </w:rPr>
            </w:pPr>
          </w:p>
        </w:tc>
        <w:tc>
          <w:tcPr>
            <w:tcW w:w="1278" w:type="dxa"/>
            <w:vMerge/>
            <w:tcBorders>
              <w:top w:val="nil"/>
            </w:tcBorders>
          </w:tcPr>
          <w:p>
            <w:pPr>
              <w:rPr>
                <w:sz w:val="2"/>
                <w:szCs w:val="2"/>
              </w:rPr>
            </w:pPr>
          </w:p>
        </w:tc>
        <w:tc>
          <w:tcPr>
            <w:tcW w:w="1277" w:type="dxa"/>
            <w:vMerge/>
            <w:tcBorders>
              <w:top w:val="nil"/>
            </w:tcBorders>
          </w:tcPr>
          <w:p>
            <w:pPr>
              <w:rPr>
                <w:sz w:val="2"/>
                <w:szCs w:val="2"/>
              </w:rPr>
            </w:pPr>
          </w:p>
        </w:tc>
        <w:tc>
          <w:tcPr>
            <w:tcW w:w="1979" w:type="dxa"/>
            <w:vMerge/>
            <w:tcBorders>
              <w:top w:val="nil"/>
            </w:tcBorders>
          </w:tcPr>
          <w:p>
            <w:pPr>
              <w:rPr>
                <w:sz w:val="2"/>
                <w:szCs w:val="2"/>
              </w:rPr>
            </w:pPr>
          </w:p>
        </w:tc>
      </w:tr>
    </w:tbl>
    <w:p>
      <w:pPr>
        <w:spacing w:line="355" w:lineRule="exact" w:before="0"/>
        <w:ind w:left="280" w:right="0" w:firstLine="0"/>
        <w:jc w:val="left"/>
        <w:rPr>
          <w:sz w:val="23"/>
        </w:rPr>
      </w:pPr>
      <w:r>
        <w:rPr>
          <w:sz w:val="23"/>
        </w:rPr>
        <w:t>使用注意事項：</w:t>
      </w:r>
    </w:p>
    <w:p>
      <w:pPr>
        <w:pStyle w:val="ListParagraph"/>
        <w:numPr>
          <w:ilvl w:val="0"/>
          <w:numId w:val="102"/>
        </w:numPr>
        <w:tabs>
          <w:tab w:pos="629" w:val="left" w:leader="none"/>
        </w:tabs>
        <w:spacing w:line="153" w:lineRule="auto" w:before="51" w:after="0"/>
        <w:ind w:left="628" w:right="1392" w:hanging="262"/>
        <w:jc w:val="both"/>
        <w:rPr>
          <w:sz w:val="23"/>
        </w:rPr>
      </w:pPr>
      <w:r>
        <w:rPr>
          <w:spacing w:val="-7"/>
          <w:sz w:val="23"/>
        </w:rPr>
        <w:t>部分藥品尚未取得我國藥證，故不符合申請藥害救濟的範圍，請各醫療院所在使用時，加強病人不良反應監測及通報；若經發現，請立即通知全國藥物不良反應通報中心，以保障病人權益。</w:t>
      </w:r>
    </w:p>
    <w:p>
      <w:pPr>
        <w:pStyle w:val="ListParagraph"/>
        <w:numPr>
          <w:ilvl w:val="0"/>
          <w:numId w:val="102"/>
        </w:numPr>
        <w:tabs>
          <w:tab w:pos="606" w:val="left" w:leader="none"/>
        </w:tabs>
        <w:spacing w:line="153" w:lineRule="auto" w:before="0" w:after="0"/>
        <w:ind w:left="606" w:right="1390" w:hanging="239"/>
        <w:jc w:val="both"/>
        <w:rPr>
          <w:sz w:val="23"/>
        </w:rPr>
      </w:pPr>
      <w:r>
        <w:rPr/>
        <w:pict>
          <v:group style="position:absolute;margin-left:68.040001pt;margin-top:32.767895pt;width:173.05pt;height:.5pt;mso-position-horizontal-relative:page;mso-position-vertical-relative:paragraph;z-index:-268710912" coordorigin="1361,655" coordsize="3461,10">
            <v:line style="position:absolute" from="1361,660" to="2294,660" stroked="true" strokeweight=".481pt" strokecolor="#000000">
              <v:stroke dashstyle="solid"/>
            </v:line>
            <v:rect style="position:absolute;left:2294;top:655;width:10;height:10" filled="true" fillcolor="#000000" stroked="false">
              <v:fill type="solid"/>
            </v:rect>
            <v:line style="position:absolute" from="2304,660" to="3276,660" stroked="true" strokeweight=".481pt" strokecolor="#000000">
              <v:stroke dashstyle="solid"/>
            </v:line>
            <v:rect style="position:absolute;left:3276;top:655;width:10;height:10" filled="true" fillcolor="#000000" stroked="false">
              <v:fill type="solid"/>
            </v:rect>
            <v:line style="position:absolute" from="3286,660" to="4822,660" stroked="true" strokeweight=".481pt" strokecolor="#000000">
              <v:stroke dashstyle="solid"/>
            </v:line>
            <w10:wrap type="none"/>
          </v:group>
        </w:pict>
      </w:r>
      <w:r>
        <w:rPr/>
        <w:pict>
          <v:group style="position:absolute;margin-left:281.700012pt;margin-top:32.767895pt;width:262.650pt;height:.5pt;mso-position-horizontal-relative:page;mso-position-vertical-relative:paragraph;z-index:-268709888" coordorigin="5634,655" coordsize="5253,10">
            <v:line style="position:absolute" from="5634,660" to="6877,660" stroked="true" strokeweight=".481pt" strokecolor="#000000">
              <v:stroke dashstyle="solid"/>
            </v:line>
            <v:rect style="position:absolute;left:6877;top:655;width:10;height:10" filled="true" fillcolor="#000000" stroked="false">
              <v:fill type="solid"/>
            </v:rect>
            <v:line style="position:absolute" from="6887,660" to="7992,660" stroked="true" strokeweight=".481pt" strokecolor="#000000">
              <v:stroke dashstyle="solid"/>
            </v:line>
            <v:rect style="position:absolute;left:7992;top:655;width:10;height:10" filled="true" fillcolor="#000000" stroked="false">
              <v:fill type="solid"/>
            </v:rect>
            <v:line style="position:absolute" from="8002,660" to="9538,660" stroked="true" strokeweight=".481pt" strokecolor="#000000">
              <v:stroke dashstyle="solid"/>
            </v:line>
            <v:rect style="position:absolute;left:9537;top:655;width:10;height:10" filled="true" fillcolor="#000000" stroked="false">
              <v:fill type="solid"/>
            </v:rect>
            <v:line style="position:absolute" from="9547,660" to="10886,660" stroked="true" strokeweight=".481pt" strokecolor="#000000">
              <v:stroke dashstyle="solid"/>
            </v:line>
            <w10:wrap type="none"/>
          </v:group>
        </w:pict>
      </w:r>
      <w:r>
        <w:rPr>
          <w:spacing w:val="-9"/>
          <w:sz w:val="23"/>
        </w:rPr>
        <w:t>為確保病人(法定代理人)知情同意之權利，藥品在使用前應先向其清楚說明與告知，並取得病</w:t>
      </w:r>
      <w:r>
        <w:rPr>
          <w:sz w:val="23"/>
        </w:rPr>
        <w:t>人同意書；惟若情況緊急，亦應註於病歷，以供查考。</w:t>
      </w:r>
    </w:p>
    <w:p>
      <w:pPr>
        <w:pStyle w:val="BodyText"/>
        <w:spacing w:before="2"/>
        <w:rPr>
          <w:sz w:val="4"/>
        </w:rPr>
      </w:pPr>
    </w:p>
    <w:tbl>
      <w:tblPr>
        <w:tblW w:w="0" w:type="auto"/>
        <w:jc w:val="left"/>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1"/>
        <w:gridCol w:w="944"/>
        <w:gridCol w:w="1915"/>
        <w:gridCol w:w="1679"/>
        <w:gridCol w:w="1088"/>
        <w:gridCol w:w="1436"/>
        <w:gridCol w:w="1480"/>
      </w:tblGrid>
      <w:tr>
        <w:trPr>
          <w:trHeight w:val="407" w:hRule="atLeast"/>
        </w:trPr>
        <w:tc>
          <w:tcPr>
            <w:tcW w:w="981" w:type="dxa"/>
            <w:tcBorders>
              <w:bottom w:val="single" w:sz="4" w:space="0" w:color="000000"/>
            </w:tcBorders>
          </w:tcPr>
          <w:p>
            <w:pPr>
              <w:pStyle w:val="TableParagraph"/>
              <w:spacing w:line="360" w:lineRule="exact" w:before="27"/>
              <w:ind w:left="65" w:right="111"/>
              <w:jc w:val="center"/>
              <w:rPr>
                <w:sz w:val="21"/>
              </w:rPr>
            </w:pPr>
            <w:r>
              <w:rPr>
                <w:sz w:val="21"/>
              </w:rPr>
              <w:t>日期(天)</w:t>
            </w:r>
          </w:p>
        </w:tc>
        <w:tc>
          <w:tcPr>
            <w:tcW w:w="944" w:type="dxa"/>
            <w:tcBorders>
              <w:bottom w:val="single" w:sz="4" w:space="0" w:color="000000"/>
            </w:tcBorders>
          </w:tcPr>
          <w:p>
            <w:pPr>
              <w:pStyle w:val="TableParagraph"/>
              <w:spacing w:line="360" w:lineRule="exact" w:before="27"/>
              <w:ind w:left="114" w:right="169"/>
              <w:jc w:val="center"/>
              <w:rPr>
                <w:sz w:val="21"/>
              </w:rPr>
            </w:pPr>
            <w:r>
              <w:rPr>
                <w:sz w:val="21"/>
              </w:rPr>
              <w:t>藥物</w:t>
            </w:r>
          </w:p>
        </w:tc>
        <w:tc>
          <w:tcPr>
            <w:tcW w:w="1915" w:type="dxa"/>
            <w:tcBorders>
              <w:bottom w:val="single" w:sz="4" w:space="0" w:color="000000"/>
              <w:right w:val="single" w:sz="18" w:space="0" w:color="000000"/>
            </w:tcBorders>
          </w:tcPr>
          <w:p>
            <w:pPr>
              <w:pStyle w:val="TableParagraph"/>
              <w:spacing w:line="360" w:lineRule="exact" w:before="27"/>
              <w:ind w:left="552"/>
              <w:rPr>
                <w:sz w:val="21"/>
              </w:rPr>
            </w:pPr>
            <w:r>
              <w:rPr>
                <w:sz w:val="21"/>
              </w:rPr>
              <w:t>劑量</w:t>
            </w:r>
          </w:p>
        </w:tc>
        <w:tc>
          <w:tcPr>
            <w:tcW w:w="1679" w:type="dxa"/>
            <w:tcBorders>
              <w:left w:val="single" w:sz="18" w:space="0" w:color="000000"/>
              <w:bottom w:val="single" w:sz="4" w:space="0" w:color="000000"/>
            </w:tcBorders>
          </w:tcPr>
          <w:p>
            <w:pPr>
              <w:pStyle w:val="TableParagraph"/>
              <w:spacing w:line="360" w:lineRule="exact" w:before="27"/>
              <w:ind w:left="628" w:right="222"/>
              <w:jc w:val="center"/>
              <w:rPr>
                <w:sz w:val="21"/>
              </w:rPr>
            </w:pPr>
            <w:r>
              <w:rPr>
                <w:sz w:val="21"/>
              </w:rPr>
              <w:t>日期(天)</w:t>
            </w:r>
          </w:p>
        </w:tc>
        <w:tc>
          <w:tcPr>
            <w:tcW w:w="1088" w:type="dxa"/>
            <w:tcBorders>
              <w:bottom w:val="single" w:sz="4" w:space="0" w:color="000000"/>
            </w:tcBorders>
          </w:tcPr>
          <w:p>
            <w:pPr>
              <w:pStyle w:val="TableParagraph"/>
              <w:spacing w:line="360" w:lineRule="exact" w:before="27"/>
              <w:ind w:right="320"/>
              <w:jc w:val="right"/>
              <w:rPr>
                <w:sz w:val="21"/>
              </w:rPr>
            </w:pPr>
            <w:r>
              <w:rPr>
                <w:sz w:val="21"/>
              </w:rPr>
              <w:t>藥物</w:t>
            </w:r>
          </w:p>
        </w:tc>
        <w:tc>
          <w:tcPr>
            <w:tcW w:w="1436" w:type="dxa"/>
            <w:tcBorders>
              <w:bottom w:val="single" w:sz="4" w:space="0" w:color="000000"/>
            </w:tcBorders>
          </w:tcPr>
          <w:p>
            <w:pPr>
              <w:pStyle w:val="TableParagraph"/>
              <w:spacing w:line="360" w:lineRule="exact" w:before="27"/>
              <w:ind w:left="206" w:right="49"/>
              <w:jc w:val="center"/>
              <w:rPr>
                <w:sz w:val="21"/>
              </w:rPr>
            </w:pPr>
            <w:r>
              <w:rPr>
                <w:sz w:val="21"/>
              </w:rPr>
              <w:t>劑量</w:t>
            </w:r>
          </w:p>
        </w:tc>
        <w:tc>
          <w:tcPr>
            <w:tcW w:w="1480" w:type="dxa"/>
            <w:tcBorders>
              <w:bottom w:val="single" w:sz="4" w:space="0" w:color="000000"/>
            </w:tcBorders>
          </w:tcPr>
          <w:p>
            <w:pPr>
              <w:pStyle w:val="TableParagraph"/>
              <w:spacing w:line="354" w:lineRule="exact" w:before="33"/>
              <w:ind w:left="204" w:right="70"/>
              <w:jc w:val="center"/>
              <w:rPr>
                <w:sz w:val="21"/>
              </w:rPr>
            </w:pPr>
            <w:r>
              <w:rPr>
                <w:sz w:val="21"/>
              </w:rPr>
              <w:t>肝功能檢測a</w:t>
            </w:r>
          </w:p>
        </w:tc>
      </w:tr>
      <w:tr>
        <w:trPr>
          <w:trHeight w:val="292" w:hRule="atLeast"/>
        </w:trPr>
        <w:tc>
          <w:tcPr>
            <w:tcW w:w="981" w:type="dxa"/>
            <w:tcBorders>
              <w:top w:val="single" w:sz="4" w:space="0" w:color="000000"/>
            </w:tcBorders>
          </w:tcPr>
          <w:p>
            <w:pPr>
              <w:pStyle w:val="TableParagraph"/>
              <w:spacing w:line="272" w:lineRule="exact"/>
              <w:ind w:right="46"/>
              <w:jc w:val="center"/>
              <w:rPr>
                <w:sz w:val="21"/>
              </w:rPr>
            </w:pPr>
            <w:r>
              <w:rPr>
                <w:sz w:val="21"/>
              </w:rPr>
              <w:t>0</w:t>
            </w:r>
          </w:p>
        </w:tc>
        <w:tc>
          <w:tcPr>
            <w:tcW w:w="944" w:type="dxa"/>
            <w:tcBorders>
              <w:top w:val="single" w:sz="4" w:space="0" w:color="000000"/>
            </w:tcBorders>
          </w:tcPr>
          <w:p>
            <w:pPr>
              <w:pStyle w:val="TableParagraph"/>
              <w:spacing w:line="272" w:lineRule="exact"/>
              <w:ind w:right="55"/>
              <w:jc w:val="center"/>
              <w:rPr>
                <w:sz w:val="21"/>
              </w:rPr>
            </w:pPr>
            <w:r>
              <w:rPr>
                <w:sz w:val="21"/>
              </w:rPr>
              <w:t>-</w:t>
            </w:r>
          </w:p>
        </w:tc>
        <w:tc>
          <w:tcPr>
            <w:tcW w:w="1915" w:type="dxa"/>
            <w:tcBorders>
              <w:top w:val="single" w:sz="4" w:space="0" w:color="000000"/>
              <w:right w:val="single" w:sz="18" w:space="0" w:color="000000"/>
            </w:tcBorders>
          </w:tcPr>
          <w:p>
            <w:pPr>
              <w:pStyle w:val="TableParagraph"/>
              <w:spacing w:line="272" w:lineRule="exact"/>
              <w:ind w:right="365"/>
              <w:jc w:val="center"/>
              <w:rPr>
                <w:sz w:val="21"/>
              </w:rPr>
            </w:pPr>
            <w:r>
              <w:rPr>
                <w:sz w:val="21"/>
              </w:rPr>
              <w:t>-</w:t>
            </w:r>
          </w:p>
        </w:tc>
        <w:tc>
          <w:tcPr>
            <w:tcW w:w="1679" w:type="dxa"/>
            <w:tcBorders>
              <w:top w:val="single" w:sz="4" w:space="0" w:color="000000"/>
              <w:left w:val="single" w:sz="18" w:space="0" w:color="000000"/>
            </w:tcBorders>
          </w:tcPr>
          <w:p>
            <w:pPr>
              <w:pStyle w:val="TableParagraph"/>
              <w:spacing w:line="272" w:lineRule="exact"/>
              <w:ind w:left="407"/>
              <w:jc w:val="center"/>
              <w:rPr>
                <w:sz w:val="21"/>
              </w:rPr>
            </w:pPr>
            <w:r>
              <w:rPr>
                <w:sz w:val="21"/>
              </w:rPr>
              <w:t>0</w:t>
            </w:r>
          </w:p>
        </w:tc>
        <w:tc>
          <w:tcPr>
            <w:tcW w:w="1088" w:type="dxa"/>
            <w:tcBorders>
              <w:top w:val="single" w:sz="4" w:space="0" w:color="000000"/>
            </w:tcBorders>
          </w:tcPr>
          <w:p>
            <w:pPr>
              <w:pStyle w:val="TableParagraph"/>
              <w:spacing w:line="272" w:lineRule="exact"/>
              <w:ind w:left="19"/>
              <w:jc w:val="center"/>
              <w:rPr>
                <w:sz w:val="21"/>
              </w:rPr>
            </w:pPr>
            <w:r>
              <w:rPr>
                <w:sz w:val="21"/>
              </w:rPr>
              <w:t>-</w:t>
            </w:r>
          </w:p>
        </w:tc>
        <w:tc>
          <w:tcPr>
            <w:tcW w:w="1436" w:type="dxa"/>
            <w:tcBorders>
              <w:top w:val="single" w:sz="4" w:space="0" w:color="000000"/>
            </w:tcBorders>
          </w:tcPr>
          <w:p>
            <w:pPr>
              <w:pStyle w:val="TableParagraph"/>
              <w:spacing w:line="272" w:lineRule="exact"/>
              <w:ind w:left="157"/>
              <w:jc w:val="center"/>
              <w:rPr>
                <w:sz w:val="21"/>
              </w:rPr>
            </w:pPr>
            <w:r>
              <w:rPr>
                <w:sz w:val="21"/>
              </w:rPr>
              <w:t>-</w:t>
            </w:r>
          </w:p>
        </w:tc>
        <w:tc>
          <w:tcPr>
            <w:tcW w:w="1480" w:type="dxa"/>
            <w:tcBorders>
              <w:top w:val="single" w:sz="4" w:space="0" w:color="000000"/>
            </w:tcBorders>
          </w:tcPr>
          <w:p>
            <w:pPr>
              <w:pStyle w:val="TableParagraph"/>
              <w:spacing w:line="272" w:lineRule="exact"/>
              <w:ind w:left="134"/>
              <w:jc w:val="center"/>
              <w:rPr>
                <w:sz w:val="21"/>
              </w:rPr>
            </w:pPr>
            <w:r>
              <w:rPr>
                <w:sz w:val="21"/>
              </w:rPr>
              <w:t>+</w:t>
            </w:r>
          </w:p>
        </w:tc>
      </w:tr>
      <w:tr>
        <w:trPr>
          <w:trHeight w:val="298" w:hRule="atLeast"/>
        </w:trPr>
        <w:tc>
          <w:tcPr>
            <w:tcW w:w="981" w:type="dxa"/>
          </w:tcPr>
          <w:p>
            <w:pPr>
              <w:pStyle w:val="TableParagraph"/>
              <w:spacing w:line="279" w:lineRule="exact"/>
              <w:ind w:right="46"/>
              <w:jc w:val="center"/>
              <w:rPr>
                <w:sz w:val="21"/>
              </w:rPr>
            </w:pPr>
            <w:r>
              <w:rPr>
                <w:sz w:val="21"/>
              </w:rPr>
              <w:t>1</w:t>
            </w:r>
          </w:p>
        </w:tc>
        <w:tc>
          <w:tcPr>
            <w:tcW w:w="944" w:type="dxa"/>
          </w:tcPr>
          <w:p>
            <w:pPr>
              <w:pStyle w:val="TableParagraph"/>
              <w:spacing w:line="279" w:lineRule="exact"/>
              <w:ind w:left="114" w:right="168"/>
              <w:jc w:val="center"/>
              <w:rPr>
                <w:sz w:val="21"/>
              </w:rPr>
            </w:pPr>
            <w:r>
              <w:rPr>
                <w:sz w:val="21"/>
              </w:rPr>
              <w:t>INH</w:t>
            </w:r>
          </w:p>
        </w:tc>
        <w:tc>
          <w:tcPr>
            <w:tcW w:w="1915" w:type="dxa"/>
            <w:tcBorders>
              <w:right w:val="single" w:sz="18" w:space="0" w:color="000000"/>
            </w:tcBorders>
          </w:tcPr>
          <w:p>
            <w:pPr>
              <w:pStyle w:val="TableParagraph"/>
              <w:spacing w:line="279" w:lineRule="exact"/>
              <w:ind w:left="255"/>
              <w:rPr>
                <w:sz w:val="21"/>
              </w:rPr>
            </w:pPr>
            <w:r>
              <w:rPr>
                <w:sz w:val="21"/>
              </w:rPr>
              <w:t>50mg/day</w:t>
            </w:r>
          </w:p>
        </w:tc>
        <w:tc>
          <w:tcPr>
            <w:tcW w:w="1679" w:type="dxa"/>
            <w:tcBorders>
              <w:left w:val="single" w:sz="18" w:space="0" w:color="000000"/>
            </w:tcBorders>
          </w:tcPr>
          <w:p>
            <w:pPr>
              <w:pStyle w:val="TableParagraph"/>
              <w:spacing w:line="279" w:lineRule="exact"/>
              <w:ind w:left="407"/>
              <w:jc w:val="center"/>
              <w:rPr>
                <w:sz w:val="21"/>
              </w:rPr>
            </w:pPr>
            <w:r>
              <w:rPr>
                <w:sz w:val="21"/>
              </w:rPr>
              <w:t>1</w:t>
            </w:r>
          </w:p>
        </w:tc>
        <w:tc>
          <w:tcPr>
            <w:tcW w:w="1088" w:type="dxa"/>
          </w:tcPr>
          <w:p>
            <w:pPr>
              <w:pStyle w:val="TableParagraph"/>
              <w:spacing w:line="279" w:lineRule="exact"/>
              <w:ind w:left="359"/>
              <w:rPr>
                <w:sz w:val="21"/>
              </w:rPr>
            </w:pPr>
            <w:r>
              <w:rPr>
                <w:sz w:val="21"/>
              </w:rPr>
              <w:t>INH</w:t>
            </w:r>
          </w:p>
        </w:tc>
        <w:tc>
          <w:tcPr>
            <w:tcW w:w="1436" w:type="dxa"/>
          </w:tcPr>
          <w:p>
            <w:pPr>
              <w:pStyle w:val="TableParagraph"/>
              <w:spacing w:line="279" w:lineRule="exact"/>
              <w:ind w:left="206" w:right="50"/>
              <w:jc w:val="center"/>
              <w:rPr>
                <w:sz w:val="21"/>
              </w:rPr>
            </w:pPr>
            <w:r>
              <w:rPr>
                <w:sz w:val="21"/>
              </w:rPr>
              <w:t>100mg/day</w:t>
            </w:r>
          </w:p>
        </w:tc>
        <w:tc>
          <w:tcPr>
            <w:tcW w:w="1480" w:type="dxa"/>
          </w:tcPr>
          <w:p>
            <w:pPr>
              <w:pStyle w:val="TableParagraph"/>
              <w:rPr>
                <w:rFonts w:ascii="Times New Roman"/>
                <w:sz w:val="22"/>
              </w:rPr>
            </w:pPr>
          </w:p>
        </w:tc>
      </w:tr>
      <w:tr>
        <w:trPr>
          <w:trHeight w:val="298" w:hRule="atLeast"/>
        </w:trPr>
        <w:tc>
          <w:tcPr>
            <w:tcW w:w="981" w:type="dxa"/>
          </w:tcPr>
          <w:p>
            <w:pPr>
              <w:pStyle w:val="TableParagraph"/>
              <w:spacing w:line="279" w:lineRule="exact"/>
              <w:ind w:right="46"/>
              <w:jc w:val="center"/>
              <w:rPr>
                <w:sz w:val="21"/>
              </w:rPr>
            </w:pPr>
            <w:r>
              <w:rPr>
                <w:sz w:val="21"/>
              </w:rPr>
              <w:t>2</w:t>
            </w:r>
          </w:p>
        </w:tc>
        <w:tc>
          <w:tcPr>
            <w:tcW w:w="944" w:type="dxa"/>
          </w:tcPr>
          <w:p>
            <w:pPr>
              <w:pStyle w:val="TableParagraph"/>
              <w:spacing w:line="279" w:lineRule="exact"/>
              <w:ind w:left="114" w:right="168"/>
              <w:jc w:val="center"/>
              <w:rPr>
                <w:sz w:val="21"/>
              </w:rPr>
            </w:pPr>
            <w:r>
              <w:rPr>
                <w:sz w:val="21"/>
              </w:rPr>
              <w:t>INH</w:t>
            </w:r>
          </w:p>
        </w:tc>
        <w:tc>
          <w:tcPr>
            <w:tcW w:w="1915" w:type="dxa"/>
            <w:tcBorders>
              <w:right w:val="single" w:sz="18" w:space="0" w:color="000000"/>
            </w:tcBorders>
          </w:tcPr>
          <w:p>
            <w:pPr>
              <w:pStyle w:val="TableParagraph"/>
              <w:spacing w:line="279" w:lineRule="exact"/>
              <w:ind w:left="194"/>
              <w:rPr>
                <w:sz w:val="21"/>
              </w:rPr>
            </w:pPr>
            <w:r>
              <w:rPr>
                <w:sz w:val="21"/>
              </w:rPr>
              <w:t>100mg/day</w:t>
            </w:r>
          </w:p>
        </w:tc>
        <w:tc>
          <w:tcPr>
            <w:tcW w:w="1679" w:type="dxa"/>
            <w:tcBorders>
              <w:left w:val="single" w:sz="18" w:space="0" w:color="000000"/>
            </w:tcBorders>
          </w:tcPr>
          <w:p>
            <w:pPr>
              <w:pStyle w:val="TableParagraph"/>
              <w:spacing w:line="279" w:lineRule="exact"/>
              <w:ind w:left="407"/>
              <w:jc w:val="center"/>
              <w:rPr>
                <w:sz w:val="21"/>
              </w:rPr>
            </w:pPr>
            <w:r>
              <w:rPr>
                <w:sz w:val="21"/>
              </w:rPr>
              <w:t>2</w:t>
            </w:r>
          </w:p>
        </w:tc>
        <w:tc>
          <w:tcPr>
            <w:tcW w:w="1088" w:type="dxa"/>
          </w:tcPr>
          <w:p>
            <w:pPr>
              <w:pStyle w:val="TableParagraph"/>
              <w:spacing w:line="279" w:lineRule="exact"/>
              <w:ind w:left="359"/>
              <w:rPr>
                <w:sz w:val="21"/>
              </w:rPr>
            </w:pPr>
            <w:r>
              <w:rPr>
                <w:sz w:val="21"/>
              </w:rPr>
              <w:t>INH</w:t>
            </w:r>
          </w:p>
        </w:tc>
        <w:tc>
          <w:tcPr>
            <w:tcW w:w="1436" w:type="dxa"/>
          </w:tcPr>
          <w:p>
            <w:pPr>
              <w:pStyle w:val="TableParagraph"/>
              <w:spacing w:line="279" w:lineRule="exact"/>
              <w:ind w:left="206" w:right="50"/>
              <w:jc w:val="center"/>
              <w:rPr>
                <w:sz w:val="21"/>
              </w:rPr>
            </w:pPr>
            <w:r>
              <w:rPr>
                <w:sz w:val="21"/>
              </w:rPr>
              <w:t>200mg/day</w:t>
            </w:r>
          </w:p>
        </w:tc>
        <w:tc>
          <w:tcPr>
            <w:tcW w:w="1480" w:type="dxa"/>
          </w:tcPr>
          <w:p>
            <w:pPr>
              <w:pStyle w:val="TableParagraph"/>
              <w:rPr>
                <w:rFonts w:ascii="Times New Roman"/>
                <w:sz w:val="22"/>
              </w:rPr>
            </w:pPr>
          </w:p>
        </w:tc>
      </w:tr>
      <w:tr>
        <w:trPr>
          <w:trHeight w:val="298" w:hRule="atLeast"/>
        </w:trPr>
        <w:tc>
          <w:tcPr>
            <w:tcW w:w="981" w:type="dxa"/>
          </w:tcPr>
          <w:p>
            <w:pPr>
              <w:pStyle w:val="TableParagraph"/>
              <w:spacing w:line="279" w:lineRule="exact"/>
              <w:ind w:right="46"/>
              <w:jc w:val="center"/>
              <w:rPr>
                <w:sz w:val="21"/>
              </w:rPr>
            </w:pPr>
            <w:r>
              <w:rPr>
                <w:sz w:val="21"/>
              </w:rPr>
              <w:t>3</w:t>
            </w:r>
          </w:p>
        </w:tc>
        <w:tc>
          <w:tcPr>
            <w:tcW w:w="944" w:type="dxa"/>
          </w:tcPr>
          <w:p>
            <w:pPr>
              <w:pStyle w:val="TableParagraph"/>
              <w:spacing w:line="279" w:lineRule="exact"/>
              <w:ind w:left="114" w:right="168"/>
              <w:jc w:val="center"/>
              <w:rPr>
                <w:sz w:val="21"/>
              </w:rPr>
            </w:pPr>
            <w:r>
              <w:rPr>
                <w:sz w:val="21"/>
              </w:rPr>
              <w:t>INH</w:t>
            </w:r>
          </w:p>
        </w:tc>
        <w:tc>
          <w:tcPr>
            <w:tcW w:w="1915" w:type="dxa"/>
            <w:tcBorders>
              <w:right w:val="single" w:sz="18" w:space="0" w:color="000000"/>
            </w:tcBorders>
          </w:tcPr>
          <w:p>
            <w:pPr>
              <w:pStyle w:val="TableParagraph"/>
              <w:spacing w:line="279" w:lineRule="exact"/>
              <w:ind w:left="342"/>
              <w:rPr>
                <w:sz w:val="21"/>
              </w:rPr>
            </w:pPr>
            <w:r>
              <w:rPr>
                <w:sz w:val="21"/>
              </w:rPr>
              <w:t>full dose</w:t>
            </w:r>
          </w:p>
        </w:tc>
        <w:tc>
          <w:tcPr>
            <w:tcW w:w="1679" w:type="dxa"/>
            <w:tcBorders>
              <w:left w:val="single" w:sz="18" w:space="0" w:color="000000"/>
            </w:tcBorders>
          </w:tcPr>
          <w:p>
            <w:pPr>
              <w:pStyle w:val="TableParagraph"/>
              <w:spacing w:line="279" w:lineRule="exact"/>
              <w:ind w:left="628" w:right="221"/>
              <w:jc w:val="center"/>
              <w:rPr>
                <w:sz w:val="21"/>
              </w:rPr>
            </w:pPr>
            <w:r>
              <w:rPr>
                <w:sz w:val="21"/>
              </w:rPr>
              <w:t>3~5</w:t>
            </w:r>
          </w:p>
        </w:tc>
        <w:tc>
          <w:tcPr>
            <w:tcW w:w="1088" w:type="dxa"/>
          </w:tcPr>
          <w:p>
            <w:pPr>
              <w:pStyle w:val="TableParagraph"/>
              <w:spacing w:line="279" w:lineRule="exact"/>
              <w:ind w:left="359"/>
              <w:rPr>
                <w:sz w:val="21"/>
              </w:rPr>
            </w:pPr>
            <w:r>
              <w:rPr>
                <w:sz w:val="21"/>
              </w:rPr>
              <w:t>INH</w:t>
            </w:r>
          </w:p>
        </w:tc>
        <w:tc>
          <w:tcPr>
            <w:tcW w:w="1436" w:type="dxa"/>
          </w:tcPr>
          <w:p>
            <w:pPr>
              <w:pStyle w:val="TableParagraph"/>
              <w:spacing w:line="279" w:lineRule="exact"/>
              <w:ind w:left="206" w:right="51"/>
              <w:jc w:val="center"/>
              <w:rPr>
                <w:sz w:val="21"/>
              </w:rPr>
            </w:pPr>
            <w:r>
              <w:rPr>
                <w:sz w:val="21"/>
              </w:rPr>
              <w:t>full dose</w:t>
            </w:r>
          </w:p>
        </w:tc>
        <w:tc>
          <w:tcPr>
            <w:tcW w:w="1480" w:type="dxa"/>
          </w:tcPr>
          <w:p>
            <w:pPr>
              <w:pStyle w:val="TableParagraph"/>
              <w:spacing w:line="279" w:lineRule="exact"/>
              <w:ind w:left="134"/>
              <w:jc w:val="center"/>
              <w:rPr>
                <w:sz w:val="21"/>
              </w:rPr>
            </w:pPr>
            <w:r>
              <w:rPr>
                <w:sz w:val="21"/>
              </w:rPr>
              <w:t>+</w:t>
            </w:r>
          </w:p>
        </w:tc>
      </w:tr>
      <w:tr>
        <w:trPr>
          <w:trHeight w:val="298" w:hRule="atLeast"/>
        </w:trPr>
        <w:tc>
          <w:tcPr>
            <w:tcW w:w="981" w:type="dxa"/>
          </w:tcPr>
          <w:p>
            <w:pPr>
              <w:pStyle w:val="TableParagraph"/>
              <w:spacing w:line="279" w:lineRule="exact"/>
              <w:ind w:right="46"/>
              <w:jc w:val="center"/>
              <w:rPr>
                <w:sz w:val="21"/>
              </w:rPr>
            </w:pPr>
            <w:r>
              <w:rPr>
                <w:sz w:val="21"/>
              </w:rPr>
              <w:t>4</w:t>
            </w:r>
          </w:p>
        </w:tc>
        <w:tc>
          <w:tcPr>
            <w:tcW w:w="944" w:type="dxa"/>
          </w:tcPr>
          <w:p>
            <w:pPr>
              <w:pStyle w:val="TableParagraph"/>
              <w:spacing w:line="279" w:lineRule="exact"/>
              <w:ind w:left="114" w:right="171"/>
              <w:jc w:val="center"/>
              <w:rPr>
                <w:sz w:val="21"/>
              </w:rPr>
            </w:pPr>
            <w:r>
              <w:rPr>
                <w:sz w:val="21"/>
              </w:rPr>
              <w:t>+RMP</w:t>
            </w:r>
          </w:p>
        </w:tc>
        <w:tc>
          <w:tcPr>
            <w:tcW w:w="1915" w:type="dxa"/>
            <w:tcBorders>
              <w:right w:val="single" w:sz="18" w:space="0" w:color="000000"/>
            </w:tcBorders>
          </w:tcPr>
          <w:p>
            <w:pPr>
              <w:pStyle w:val="TableParagraph"/>
              <w:spacing w:line="279" w:lineRule="exact"/>
              <w:ind w:left="193"/>
              <w:rPr>
                <w:sz w:val="21"/>
              </w:rPr>
            </w:pPr>
            <w:r>
              <w:rPr>
                <w:sz w:val="21"/>
              </w:rPr>
              <w:t>150mg/day</w:t>
            </w:r>
          </w:p>
        </w:tc>
        <w:tc>
          <w:tcPr>
            <w:tcW w:w="1679" w:type="dxa"/>
            <w:tcBorders>
              <w:left w:val="single" w:sz="18" w:space="0" w:color="000000"/>
            </w:tcBorders>
          </w:tcPr>
          <w:p>
            <w:pPr>
              <w:pStyle w:val="TableParagraph"/>
              <w:spacing w:line="279" w:lineRule="exact"/>
              <w:ind w:left="406"/>
              <w:jc w:val="center"/>
              <w:rPr>
                <w:sz w:val="21"/>
              </w:rPr>
            </w:pPr>
            <w:r>
              <w:rPr>
                <w:sz w:val="21"/>
              </w:rPr>
              <w:t>6</w:t>
            </w:r>
          </w:p>
        </w:tc>
        <w:tc>
          <w:tcPr>
            <w:tcW w:w="1088" w:type="dxa"/>
          </w:tcPr>
          <w:p>
            <w:pPr>
              <w:pStyle w:val="TableParagraph"/>
              <w:spacing w:line="279" w:lineRule="exact"/>
              <w:ind w:right="222"/>
              <w:jc w:val="right"/>
              <w:rPr>
                <w:sz w:val="21"/>
              </w:rPr>
            </w:pPr>
            <w:r>
              <w:rPr>
                <w:sz w:val="21"/>
              </w:rPr>
              <w:t>+RMP</w:t>
            </w:r>
          </w:p>
        </w:tc>
        <w:tc>
          <w:tcPr>
            <w:tcW w:w="1436" w:type="dxa"/>
          </w:tcPr>
          <w:p>
            <w:pPr>
              <w:pStyle w:val="TableParagraph"/>
              <w:spacing w:line="279" w:lineRule="exact"/>
              <w:ind w:left="206" w:right="51"/>
              <w:jc w:val="center"/>
              <w:rPr>
                <w:sz w:val="21"/>
              </w:rPr>
            </w:pPr>
            <w:r>
              <w:rPr>
                <w:sz w:val="21"/>
              </w:rPr>
              <w:t>150mg/day</w:t>
            </w:r>
          </w:p>
        </w:tc>
        <w:tc>
          <w:tcPr>
            <w:tcW w:w="1480" w:type="dxa"/>
          </w:tcPr>
          <w:p>
            <w:pPr>
              <w:pStyle w:val="TableParagraph"/>
              <w:rPr>
                <w:rFonts w:ascii="Times New Roman"/>
                <w:sz w:val="22"/>
              </w:rPr>
            </w:pPr>
          </w:p>
        </w:tc>
      </w:tr>
      <w:tr>
        <w:trPr>
          <w:trHeight w:val="299" w:hRule="atLeast"/>
        </w:trPr>
        <w:tc>
          <w:tcPr>
            <w:tcW w:w="981" w:type="dxa"/>
          </w:tcPr>
          <w:p>
            <w:pPr>
              <w:pStyle w:val="TableParagraph"/>
              <w:spacing w:line="279" w:lineRule="exact"/>
              <w:ind w:right="46"/>
              <w:jc w:val="center"/>
              <w:rPr>
                <w:sz w:val="21"/>
              </w:rPr>
            </w:pPr>
            <w:r>
              <w:rPr>
                <w:sz w:val="21"/>
              </w:rPr>
              <w:t>5</w:t>
            </w:r>
          </w:p>
        </w:tc>
        <w:tc>
          <w:tcPr>
            <w:tcW w:w="944" w:type="dxa"/>
          </w:tcPr>
          <w:p>
            <w:pPr>
              <w:pStyle w:val="TableParagraph"/>
              <w:spacing w:line="279" w:lineRule="exact"/>
              <w:ind w:left="114" w:right="171"/>
              <w:jc w:val="center"/>
              <w:rPr>
                <w:sz w:val="21"/>
              </w:rPr>
            </w:pPr>
            <w:r>
              <w:rPr>
                <w:sz w:val="21"/>
              </w:rPr>
              <w:t>+RMP</w:t>
            </w:r>
          </w:p>
        </w:tc>
        <w:tc>
          <w:tcPr>
            <w:tcW w:w="1915" w:type="dxa"/>
            <w:tcBorders>
              <w:right w:val="single" w:sz="18" w:space="0" w:color="000000"/>
            </w:tcBorders>
          </w:tcPr>
          <w:p>
            <w:pPr>
              <w:pStyle w:val="TableParagraph"/>
              <w:spacing w:line="279" w:lineRule="exact"/>
              <w:ind w:left="193"/>
              <w:rPr>
                <w:sz w:val="21"/>
              </w:rPr>
            </w:pPr>
            <w:r>
              <w:rPr>
                <w:sz w:val="21"/>
              </w:rPr>
              <w:t>300mg/day</w:t>
            </w:r>
          </w:p>
        </w:tc>
        <w:tc>
          <w:tcPr>
            <w:tcW w:w="1679" w:type="dxa"/>
            <w:tcBorders>
              <w:left w:val="single" w:sz="18" w:space="0" w:color="000000"/>
            </w:tcBorders>
          </w:tcPr>
          <w:p>
            <w:pPr>
              <w:pStyle w:val="TableParagraph"/>
              <w:spacing w:line="279" w:lineRule="exact"/>
              <w:ind w:left="406"/>
              <w:jc w:val="center"/>
              <w:rPr>
                <w:sz w:val="21"/>
              </w:rPr>
            </w:pPr>
            <w:r>
              <w:rPr>
                <w:sz w:val="21"/>
              </w:rPr>
              <w:t>7</w:t>
            </w:r>
          </w:p>
        </w:tc>
        <w:tc>
          <w:tcPr>
            <w:tcW w:w="1088" w:type="dxa"/>
          </w:tcPr>
          <w:p>
            <w:pPr>
              <w:pStyle w:val="TableParagraph"/>
              <w:spacing w:line="279" w:lineRule="exact"/>
              <w:ind w:right="222"/>
              <w:jc w:val="right"/>
              <w:rPr>
                <w:sz w:val="21"/>
              </w:rPr>
            </w:pPr>
            <w:r>
              <w:rPr>
                <w:sz w:val="21"/>
              </w:rPr>
              <w:t>+RMP</w:t>
            </w:r>
          </w:p>
        </w:tc>
        <w:tc>
          <w:tcPr>
            <w:tcW w:w="1436" w:type="dxa"/>
          </w:tcPr>
          <w:p>
            <w:pPr>
              <w:pStyle w:val="TableParagraph"/>
              <w:spacing w:line="279" w:lineRule="exact"/>
              <w:ind w:left="206" w:right="51"/>
              <w:jc w:val="center"/>
              <w:rPr>
                <w:sz w:val="21"/>
              </w:rPr>
            </w:pPr>
            <w:r>
              <w:rPr>
                <w:sz w:val="21"/>
              </w:rPr>
              <w:t>300mg/day</w:t>
            </w:r>
          </w:p>
        </w:tc>
        <w:tc>
          <w:tcPr>
            <w:tcW w:w="1480" w:type="dxa"/>
          </w:tcPr>
          <w:p>
            <w:pPr>
              <w:pStyle w:val="TableParagraph"/>
              <w:rPr>
                <w:rFonts w:ascii="Times New Roman"/>
                <w:sz w:val="22"/>
              </w:rPr>
            </w:pPr>
          </w:p>
        </w:tc>
      </w:tr>
      <w:tr>
        <w:trPr>
          <w:trHeight w:val="299" w:hRule="atLeast"/>
        </w:trPr>
        <w:tc>
          <w:tcPr>
            <w:tcW w:w="981" w:type="dxa"/>
          </w:tcPr>
          <w:p>
            <w:pPr>
              <w:pStyle w:val="TableParagraph"/>
              <w:spacing w:line="279" w:lineRule="exact"/>
              <w:ind w:right="46"/>
              <w:jc w:val="center"/>
              <w:rPr>
                <w:sz w:val="21"/>
              </w:rPr>
            </w:pPr>
            <w:r>
              <w:rPr>
                <w:sz w:val="21"/>
              </w:rPr>
              <w:t>6</w:t>
            </w:r>
          </w:p>
        </w:tc>
        <w:tc>
          <w:tcPr>
            <w:tcW w:w="944" w:type="dxa"/>
          </w:tcPr>
          <w:p>
            <w:pPr>
              <w:pStyle w:val="TableParagraph"/>
              <w:spacing w:line="279" w:lineRule="exact"/>
              <w:ind w:left="114" w:right="171"/>
              <w:jc w:val="center"/>
              <w:rPr>
                <w:sz w:val="21"/>
              </w:rPr>
            </w:pPr>
            <w:r>
              <w:rPr>
                <w:sz w:val="21"/>
              </w:rPr>
              <w:t>+RMP</w:t>
            </w:r>
          </w:p>
        </w:tc>
        <w:tc>
          <w:tcPr>
            <w:tcW w:w="1915" w:type="dxa"/>
            <w:tcBorders>
              <w:right w:val="single" w:sz="18" w:space="0" w:color="000000"/>
            </w:tcBorders>
          </w:tcPr>
          <w:p>
            <w:pPr>
              <w:pStyle w:val="TableParagraph"/>
              <w:spacing w:line="279" w:lineRule="exact"/>
              <w:ind w:left="342"/>
              <w:rPr>
                <w:sz w:val="21"/>
              </w:rPr>
            </w:pPr>
            <w:r>
              <w:rPr>
                <w:sz w:val="21"/>
              </w:rPr>
              <w:t>full dose</w:t>
            </w:r>
          </w:p>
        </w:tc>
        <w:tc>
          <w:tcPr>
            <w:tcW w:w="1679" w:type="dxa"/>
            <w:tcBorders>
              <w:left w:val="single" w:sz="18" w:space="0" w:color="000000"/>
            </w:tcBorders>
          </w:tcPr>
          <w:p>
            <w:pPr>
              <w:pStyle w:val="TableParagraph"/>
              <w:spacing w:line="279" w:lineRule="exact"/>
              <w:ind w:left="627" w:right="222"/>
              <w:jc w:val="center"/>
              <w:rPr>
                <w:sz w:val="21"/>
              </w:rPr>
            </w:pPr>
            <w:r>
              <w:rPr>
                <w:sz w:val="21"/>
              </w:rPr>
              <w:t>8~10</w:t>
            </w:r>
          </w:p>
        </w:tc>
        <w:tc>
          <w:tcPr>
            <w:tcW w:w="1088" w:type="dxa"/>
          </w:tcPr>
          <w:p>
            <w:pPr>
              <w:pStyle w:val="TableParagraph"/>
              <w:spacing w:line="279" w:lineRule="exact"/>
              <w:ind w:right="222"/>
              <w:jc w:val="right"/>
              <w:rPr>
                <w:sz w:val="21"/>
              </w:rPr>
            </w:pPr>
            <w:r>
              <w:rPr>
                <w:sz w:val="21"/>
              </w:rPr>
              <w:t>+RMP</w:t>
            </w:r>
          </w:p>
        </w:tc>
        <w:tc>
          <w:tcPr>
            <w:tcW w:w="1436" w:type="dxa"/>
          </w:tcPr>
          <w:p>
            <w:pPr>
              <w:pStyle w:val="TableParagraph"/>
              <w:spacing w:line="279" w:lineRule="exact"/>
              <w:ind w:left="206" w:right="51"/>
              <w:jc w:val="center"/>
              <w:rPr>
                <w:sz w:val="21"/>
              </w:rPr>
            </w:pPr>
            <w:r>
              <w:rPr>
                <w:sz w:val="21"/>
              </w:rPr>
              <w:t>full dose</w:t>
            </w:r>
          </w:p>
        </w:tc>
        <w:tc>
          <w:tcPr>
            <w:tcW w:w="1480" w:type="dxa"/>
          </w:tcPr>
          <w:p>
            <w:pPr>
              <w:pStyle w:val="TableParagraph"/>
              <w:spacing w:line="279" w:lineRule="exact"/>
              <w:ind w:left="134"/>
              <w:jc w:val="center"/>
              <w:rPr>
                <w:sz w:val="21"/>
              </w:rPr>
            </w:pPr>
            <w:r>
              <w:rPr>
                <w:sz w:val="21"/>
              </w:rPr>
              <w:t>+</w:t>
            </w:r>
          </w:p>
        </w:tc>
      </w:tr>
      <w:tr>
        <w:trPr>
          <w:trHeight w:val="298" w:hRule="atLeast"/>
        </w:trPr>
        <w:tc>
          <w:tcPr>
            <w:tcW w:w="981" w:type="dxa"/>
          </w:tcPr>
          <w:p>
            <w:pPr>
              <w:pStyle w:val="TableParagraph"/>
              <w:spacing w:line="279" w:lineRule="exact"/>
              <w:ind w:right="46"/>
              <w:jc w:val="center"/>
              <w:rPr>
                <w:sz w:val="21"/>
              </w:rPr>
            </w:pPr>
            <w:r>
              <w:rPr>
                <w:sz w:val="21"/>
              </w:rPr>
              <w:t>7</w:t>
            </w:r>
          </w:p>
        </w:tc>
        <w:tc>
          <w:tcPr>
            <w:tcW w:w="944" w:type="dxa"/>
          </w:tcPr>
          <w:p>
            <w:pPr>
              <w:pStyle w:val="TableParagraph"/>
              <w:spacing w:line="279" w:lineRule="exact"/>
              <w:ind w:left="114" w:right="171"/>
              <w:jc w:val="center"/>
              <w:rPr>
                <w:sz w:val="21"/>
              </w:rPr>
            </w:pPr>
            <w:r>
              <w:rPr>
                <w:sz w:val="21"/>
              </w:rPr>
              <w:t>+EMB</w:t>
            </w:r>
          </w:p>
        </w:tc>
        <w:tc>
          <w:tcPr>
            <w:tcW w:w="1915" w:type="dxa"/>
            <w:tcBorders>
              <w:right w:val="single" w:sz="18" w:space="0" w:color="000000"/>
            </w:tcBorders>
          </w:tcPr>
          <w:p>
            <w:pPr>
              <w:pStyle w:val="TableParagraph"/>
              <w:spacing w:line="279" w:lineRule="exact"/>
              <w:ind w:left="193"/>
              <w:rPr>
                <w:sz w:val="21"/>
              </w:rPr>
            </w:pPr>
            <w:r>
              <w:rPr>
                <w:sz w:val="21"/>
              </w:rPr>
              <w:t>200mg/day</w:t>
            </w:r>
          </w:p>
        </w:tc>
        <w:tc>
          <w:tcPr>
            <w:tcW w:w="1679" w:type="dxa"/>
            <w:tcBorders>
              <w:left w:val="single" w:sz="18" w:space="0" w:color="000000"/>
            </w:tcBorders>
          </w:tcPr>
          <w:p>
            <w:pPr>
              <w:pStyle w:val="TableParagraph"/>
              <w:spacing w:line="279" w:lineRule="exact"/>
              <w:ind w:left="627" w:right="222"/>
              <w:jc w:val="center"/>
              <w:rPr>
                <w:sz w:val="21"/>
              </w:rPr>
            </w:pPr>
            <w:r>
              <w:rPr>
                <w:sz w:val="21"/>
              </w:rPr>
              <w:t>11</w:t>
            </w:r>
          </w:p>
        </w:tc>
        <w:tc>
          <w:tcPr>
            <w:tcW w:w="1088" w:type="dxa"/>
          </w:tcPr>
          <w:p>
            <w:pPr>
              <w:pStyle w:val="TableParagraph"/>
              <w:spacing w:line="279" w:lineRule="exact"/>
              <w:ind w:right="255"/>
              <w:jc w:val="right"/>
              <w:rPr>
                <w:sz w:val="21"/>
              </w:rPr>
            </w:pPr>
            <w:r>
              <w:rPr>
                <w:sz w:val="21"/>
              </w:rPr>
              <w:t>+PZA</w:t>
            </w:r>
          </w:p>
        </w:tc>
        <w:tc>
          <w:tcPr>
            <w:tcW w:w="1436" w:type="dxa"/>
          </w:tcPr>
          <w:p>
            <w:pPr>
              <w:pStyle w:val="TableParagraph"/>
              <w:spacing w:line="279" w:lineRule="exact"/>
              <w:ind w:left="206" w:right="51"/>
              <w:jc w:val="center"/>
              <w:rPr>
                <w:sz w:val="21"/>
              </w:rPr>
            </w:pPr>
            <w:r>
              <w:rPr>
                <w:sz w:val="21"/>
              </w:rPr>
              <w:t>250mg/day</w:t>
            </w:r>
          </w:p>
        </w:tc>
        <w:tc>
          <w:tcPr>
            <w:tcW w:w="1480" w:type="dxa"/>
          </w:tcPr>
          <w:p>
            <w:pPr>
              <w:pStyle w:val="TableParagraph"/>
              <w:rPr>
                <w:rFonts w:ascii="Times New Roman"/>
                <w:sz w:val="22"/>
              </w:rPr>
            </w:pPr>
          </w:p>
        </w:tc>
      </w:tr>
      <w:tr>
        <w:trPr>
          <w:trHeight w:val="298" w:hRule="atLeast"/>
        </w:trPr>
        <w:tc>
          <w:tcPr>
            <w:tcW w:w="981" w:type="dxa"/>
          </w:tcPr>
          <w:p>
            <w:pPr>
              <w:pStyle w:val="TableParagraph"/>
              <w:spacing w:line="279" w:lineRule="exact"/>
              <w:ind w:right="46"/>
              <w:jc w:val="center"/>
              <w:rPr>
                <w:sz w:val="21"/>
              </w:rPr>
            </w:pPr>
            <w:r>
              <w:rPr>
                <w:sz w:val="21"/>
              </w:rPr>
              <w:t>8</w:t>
            </w:r>
          </w:p>
        </w:tc>
        <w:tc>
          <w:tcPr>
            <w:tcW w:w="944" w:type="dxa"/>
          </w:tcPr>
          <w:p>
            <w:pPr>
              <w:pStyle w:val="TableParagraph"/>
              <w:spacing w:line="279" w:lineRule="exact"/>
              <w:ind w:left="114" w:right="171"/>
              <w:jc w:val="center"/>
              <w:rPr>
                <w:sz w:val="21"/>
              </w:rPr>
            </w:pPr>
            <w:r>
              <w:rPr>
                <w:sz w:val="21"/>
              </w:rPr>
              <w:t>+EMB</w:t>
            </w:r>
          </w:p>
        </w:tc>
        <w:tc>
          <w:tcPr>
            <w:tcW w:w="1915" w:type="dxa"/>
            <w:tcBorders>
              <w:right w:val="single" w:sz="18" w:space="0" w:color="000000"/>
            </w:tcBorders>
          </w:tcPr>
          <w:p>
            <w:pPr>
              <w:pStyle w:val="TableParagraph"/>
              <w:spacing w:line="279" w:lineRule="exact"/>
              <w:ind w:left="193"/>
              <w:rPr>
                <w:sz w:val="21"/>
              </w:rPr>
            </w:pPr>
            <w:r>
              <w:rPr>
                <w:sz w:val="21"/>
              </w:rPr>
              <w:t>400mg/day</w:t>
            </w:r>
          </w:p>
        </w:tc>
        <w:tc>
          <w:tcPr>
            <w:tcW w:w="1679" w:type="dxa"/>
            <w:tcBorders>
              <w:left w:val="single" w:sz="18" w:space="0" w:color="000000"/>
            </w:tcBorders>
          </w:tcPr>
          <w:p>
            <w:pPr>
              <w:pStyle w:val="TableParagraph"/>
              <w:spacing w:line="279" w:lineRule="exact"/>
              <w:ind w:left="627" w:right="222"/>
              <w:jc w:val="center"/>
              <w:rPr>
                <w:sz w:val="21"/>
              </w:rPr>
            </w:pPr>
            <w:r>
              <w:rPr>
                <w:sz w:val="21"/>
              </w:rPr>
              <w:t>12</w:t>
            </w:r>
          </w:p>
        </w:tc>
        <w:tc>
          <w:tcPr>
            <w:tcW w:w="1088" w:type="dxa"/>
          </w:tcPr>
          <w:p>
            <w:pPr>
              <w:pStyle w:val="TableParagraph"/>
              <w:spacing w:line="279" w:lineRule="exact"/>
              <w:ind w:right="255"/>
              <w:jc w:val="right"/>
              <w:rPr>
                <w:sz w:val="21"/>
              </w:rPr>
            </w:pPr>
            <w:r>
              <w:rPr>
                <w:sz w:val="21"/>
              </w:rPr>
              <w:t>+PZA</w:t>
            </w:r>
          </w:p>
        </w:tc>
        <w:tc>
          <w:tcPr>
            <w:tcW w:w="1436" w:type="dxa"/>
          </w:tcPr>
          <w:p>
            <w:pPr>
              <w:pStyle w:val="TableParagraph"/>
              <w:spacing w:line="279" w:lineRule="exact"/>
              <w:ind w:left="206" w:right="51"/>
              <w:jc w:val="center"/>
              <w:rPr>
                <w:sz w:val="21"/>
              </w:rPr>
            </w:pPr>
            <w:r>
              <w:rPr>
                <w:sz w:val="21"/>
              </w:rPr>
              <w:t>500mg/day</w:t>
            </w:r>
          </w:p>
        </w:tc>
        <w:tc>
          <w:tcPr>
            <w:tcW w:w="1480" w:type="dxa"/>
          </w:tcPr>
          <w:p>
            <w:pPr>
              <w:pStyle w:val="TableParagraph"/>
              <w:rPr>
                <w:rFonts w:ascii="Times New Roman"/>
                <w:sz w:val="22"/>
              </w:rPr>
            </w:pPr>
          </w:p>
        </w:tc>
      </w:tr>
      <w:tr>
        <w:trPr>
          <w:trHeight w:val="289" w:hRule="atLeast"/>
        </w:trPr>
        <w:tc>
          <w:tcPr>
            <w:tcW w:w="981" w:type="dxa"/>
          </w:tcPr>
          <w:p>
            <w:pPr>
              <w:pStyle w:val="TableParagraph"/>
              <w:spacing w:line="269" w:lineRule="exact"/>
              <w:ind w:right="46"/>
              <w:jc w:val="center"/>
              <w:rPr>
                <w:sz w:val="21"/>
              </w:rPr>
            </w:pPr>
            <w:r>
              <w:rPr>
                <w:sz w:val="21"/>
              </w:rPr>
              <w:t>9</w:t>
            </w:r>
          </w:p>
        </w:tc>
        <w:tc>
          <w:tcPr>
            <w:tcW w:w="944" w:type="dxa"/>
          </w:tcPr>
          <w:p>
            <w:pPr>
              <w:pStyle w:val="TableParagraph"/>
              <w:spacing w:line="269" w:lineRule="exact"/>
              <w:ind w:left="114" w:right="171"/>
              <w:jc w:val="center"/>
              <w:rPr>
                <w:sz w:val="21"/>
              </w:rPr>
            </w:pPr>
            <w:r>
              <w:rPr>
                <w:sz w:val="21"/>
              </w:rPr>
              <w:t>+EMB</w:t>
            </w:r>
          </w:p>
        </w:tc>
        <w:tc>
          <w:tcPr>
            <w:tcW w:w="1915" w:type="dxa"/>
            <w:tcBorders>
              <w:right w:val="single" w:sz="18" w:space="0" w:color="000000"/>
            </w:tcBorders>
          </w:tcPr>
          <w:p>
            <w:pPr>
              <w:pStyle w:val="TableParagraph"/>
              <w:spacing w:line="269" w:lineRule="exact"/>
              <w:ind w:left="342"/>
              <w:rPr>
                <w:sz w:val="21"/>
              </w:rPr>
            </w:pPr>
            <w:r>
              <w:rPr>
                <w:sz w:val="21"/>
              </w:rPr>
              <w:t>full dose</w:t>
            </w:r>
          </w:p>
        </w:tc>
        <w:tc>
          <w:tcPr>
            <w:tcW w:w="1679" w:type="dxa"/>
            <w:tcBorders>
              <w:left w:val="single" w:sz="18" w:space="0" w:color="000000"/>
            </w:tcBorders>
          </w:tcPr>
          <w:p>
            <w:pPr>
              <w:pStyle w:val="TableParagraph"/>
              <w:spacing w:line="269" w:lineRule="exact"/>
              <w:ind w:left="627" w:right="222"/>
              <w:jc w:val="center"/>
              <w:rPr>
                <w:sz w:val="21"/>
              </w:rPr>
            </w:pPr>
            <w:r>
              <w:rPr>
                <w:sz w:val="21"/>
              </w:rPr>
              <w:t>13</w:t>
            </w:r>
          </w:p>
        </w:tc>
        <w:tc>
          <w:tcPr>
            <w:tcW w:w="1088" w:type="dxa"/>
          </w:tcPr>
          <w:p>
            <w:pPr>
              <w:pStyle w:val="TableParagraph"/>
              <w:spacing w:line="269" w:lineRule="exact"/>
              <w:ind w:right="255"/>
              <w:jc w:val="right"/>
              <w:rPr>
                <w:sz w:val="21"/>
              </w:rPr>
            </w:pPr>
            <w:r>
              <w:rPr>
                <w:sz w:val="21"/>
              </w:rPr>
              <w:t>+PZA</w:t>
            </w:r>
          </w:p>
        </w:tc>
        <w:tc>
          <w:tcPr>
            <w:tcW w:w="1436" w:type="dxa"/>
          </w:tcPr>
          <w:p>
            <w:pPr>
              <w:pStyle w:val="TableParagraph"/>
              <w:spacing w:line="269" w:lineRule="exact"/>
              <w:ind w:left="206" w:right="51"/>
              <w:jc w:val="center"/>
              <w:rPr>
                <w:sz w:val="21"/>
              </w:rPr>
            </w:pPr>
            <w:r>
              <w:rPr>
                <w:sz w:val="21"/>
              </w:rPr>
              <w:t>full dose</w:t>
            </w:r>
          </w:p>
        </w:tc>
        <w:tc>
          <w:tcPr>
            <w:tcW w:w="1480" w:type="dxa"/>
          </w:tcPr>
          <w:p>
            <w:pPr>
              <w:pStyle w:val="TableParagraph"/>
              <w:spacing w:line="269" w:lineRule="exact"/>
              <w:ind w:left="134"/>
              <w:jc w:val="center"/>
              <w:rPr>
                <w:sz w:val="21"/>
              </w:rPr>
            </w:pPr>
            <w:r>
              <w:rPr>
                <w:sz w:val="21"/>
              </w:rPr>
              <w:t>+</w:t>
            </w:r>
          </w:p>
        </w:tc>
      </w:tr>
      <w:tr>
        <w:trPr>
          <w:trHeight w:val="305" w:hRule="atLeast"/>
        </w:trPr>
        <w:tc>
          <w:tcPr>
            <w:tcW w:w="981" w:type="dxa"/>
          </w:tcPr>
          <w:p>
            <w:pPr>
              <w:pStyle w:val="TableParagraph"/>
              <w:spacing w:line="285" w:lineRule="exact"/>
              <w:ind w:left="63" w:right="111"/>
              <w:jc w:val="center"/>
              <w:rPr>
                <w:sz w:val="21"/>
              </w:rPr>
            </w:pPr>
            <w:r>
              <w:rPr>
                <w:sz w:val="21"/>
              </w:rPr>
              <w:t>10</w:t>
            </w:r>
          </w:p>
        </w:tc>
        <w:tc>
          <w:tcPr>
            <w:tcW w:w="944" w:type="dxa"/>
          </w:tcPr>
          <w:p>
            <w:pPr>
              <w:pStyle w:val="TableParagraph"/>
              <w:spacing w:line="285" w:lineRule="exact"/>
              <w:ind w:left="112" w:right="171"/>
              <w:jc w:val="center"/>
              <w:rPr>
                <w:sz w:val="21"/>
              </w:rPr>
            </w:pPr>
            <w:r>
              <w:rPr>
                <w:sz w:val="21"/>
              </w:rPr>
              <w:t>+PZA</w:t>
            </w:r>
          </w:p>
        </w:tc>
        <w:tc>
          <w:tcPr>
            <w:tcW w:w="1915" w:type="dxa"/>
            <w:tcBorders>
              <w:right w:val="single" w:sz="18" w:space="0" w:color="000000"/>
            </w:tcBorders>
          </w:tcPr>
          <w:p>
            <w:pPr>
              <w:pStyle w:val="TableParagraph"/>
              <w:spacing w:line="285" w:lineRule="exact"/>
              <w:ind w:left="193"/>
              <w:rPr>
                <w:sz w:val="21"/>
              </w:rPr>
            </w:pPr>
            <w:r>
              <w:rPr>
                <w:sz w:val="21"/>
              </w:rPr>
              <w:t>250mg/day</w:t>
            </w:r>
          </w:p>
        </w:tc>
        <w:tc>
          <w:tcPr>
            <w:tcW w:w="5683" w:type="dxa"/>
            <w:gridSpan w:val="4"/>
            <w:vMerge w:val="restart"/>
            <w:tcBorders>
              <w:left w:val="single" w:sz="18" w:space="0" w:color="000000"/>
            </w:tcBorders>
          </w:tcPr>
          <w:p>
            <w:pPr>
              <w:pStyle w:val="TableParagraph"/>
              <w:spacing w:line="160" w:lineRule="auto" w:before="38"/>
              <w:ind w:left="518" w:right="51"/>
              <w:rPr>
                <w:sz w:val="21"/>
              </w:rPr>
            </w:pPr>
            <w:r>
              <w:rPr>
                <w:sz w:val="21"/>
              </w:rPr>
              <w:t>a:包含 ALT、AST以及 total bilirubin。逐一加藥的過程中，可以同時使用足夠劑量的 EMB。</w:t>
            </w:r>
          </w:p>
          <w:p>
            <w:pPr>
              <w:pStyle w:val="TableParagraph"/>
              <w:spacing w:line="233" w:lineRule="exact"/>
              <w:ind w:left="518"/>
              <w:rPr>
                <w:sz w:val="21"/>
              </w:rPr>
            </w:pPr>
            <w:r>
              <w:rPr>
                <w:sz w:val="21"/>
              </w:rPr>
              <w:t>若病人之藥物性肝炎嚴重或合併有黃疸，在成功地重新</w:t>
            </w:r>
          </w:p>
          <w:p>
            <w:pPr>
              <w:pStyle w:val="TableParagraph"/>
              <w:spacing w:line="255" w:lineRule="exact"/>
              <w:ind w:left="518"/>
              <w:rPr>
                <w:sz w:val="21"/>
              </w:rPr>
            </w:pPr>
            <w:r>
              <w:rPr>
                <w:sz w:val="21"/>
              </w:rPr>
              <w:t>使用上 INH 及 RMP  之後，不建議嘗試加入PZA。</w:t>
            </w:r>
          </w:p>
        </w:tc>
      </w:tr>
      <w:tr>
        <w:trPr>
          <w:trHeight w:val="328" w:hRule="atLeast"/>
        </w:trPr>
        <w:tc>
          <w:tcPr>
            <w:tcW w:w="981" w:type="dxa"/>
          </w:tcPr>
          <w:p>
            <w:pPr>
              <w:pStyle w:val="TableParagraph"/>
              <w:spacing w:line="309" w:lineRule="exact"/>
              <w:ind w:left="64" w:right="111"/>
              <w:jc w:val="center"/>
              <w:rPr>
                <w:sz w:val="21"/>
              </w:rPr>
            </w:pPr>
            <w:r>
              <w:rPr>
                <w:sz w:val="21"/>
              </w:rPr>
              <w:t>11</w:t>
            </w:r>
          </w:p>
        </w:tc>
        <w:tc>
          <w:tcPr>
            <w:tcW w:w="944" w:type="dxa"/>
          </w:tcPr>
          <w:p>
            <w:pPr>
              <w:pStyle w:val="TableParagraph"/>
              <w:spacing w:line="309" w:lineRule="exact"/>
              <w:ind w:left="114" w:right="171"/>
              <w:jc w:val="center"/>
              <w:rPr>
                <w:sz w:val="21"/>
              </w:rPr>
            </w:pPr>
            <w:r>
              <w:rPr>
                <w:sz w:val="21"/>
              </w:rPr>
              <w:t>+PZA</w:t>
            </w:r>
          </w:p>
        </w:tc>
        <w:tc>
          <w:tcPr>
            <w:tcW w:w="1915" w:type="dxa"/>
            <w:tcBorders>
              <w:right w:val="single" w:sz="18" w:space="0" w:color="000000"/>
            </w:tcBorders>
          </w:tcPr>
          <w:p>
            <w:pPr>
              <w:pStyle w:val="TableParagraph"/>
              <w:spacing w:line="309" w:lineRule="exact"/>
              <w:ind w:left="194"/>
              <w:rPr>
                <w:sz w:val="21"/>
              </w:rPr>
            </w:pPr>
            <w:r>
              <w:rPr>
                <w:sz w:val="21"/>
              </w:rPr>
              <w:t>500mg/day</w:t>
            </w:r>
          </w:p>
        </w:tc>
        <w:tc>
          <w:tcPr>
            <w:tcW w:w="5683" w:type="dxa"/>
            <w:gridSpan w:val="4"/>
            <w:vMerge/>
            <w:tcBorders>
              <w:top w:val="nil"/>
              <w:left w:val="single" w:sz="18" w:space="0" w:color="000000"/>
            </w:tcBorders>
          </w:tcPr>
          <w:p>
            <w:pPr>
              <w:rPr>
                <w:sz w:val="2"/>
                <w:szCs w:val="2"/>
              </w:rPr>
            </w:pPr>
          </w:p>
        </w:tc>
      </w:tr>
      <w:tr>
        <w:trPr>
          <w:trHeight w:val="430" w:hRule="atLeast"/>
        </w:trPr>
        <w:tc>
          <w:tcPr>
            <w:tcW w:w="981" w:type="dxa"/>
          </w:tcPr>
          <w:p>
            <w:pPr>
              <w:pStyle w:val="TableParagraph"/>
              <w:spacing w:line="375" w:lineRule="exact"/>
              <w:ind w:left="64" w:right="111"/>
              <w:jc w:val="center"/>
              <w:rPr>
                <w:sz w:val="21"/>
              </w:rPr>
            </w:pPr>
            <w:r>
              <w:rPr>
                <w:sz w:val="21"/>
              </w:rPr>
              <w:t>12</w:t>
            </w:r>
          </w:p>
        </w:tc>
        <w:tc>
          <w:tcPr>
            <w:tcW w:w="944" w:type="dxa"/>
          </w:tcPr>
          <w:p>
            <w:pPr>
              <w:pStyle w:val="TableParagraph"/>
              <w:spacing w:line="375" w:lineRule="exact"/>
              <w:ind w:left="114" w:right="171"/>
              <w:jc w:val="center"/>
              <w:rPr>
                <w:sz w:val="21"/>
              </w:rPr>
            </w:pPr>
            <w:r>
              <w:rPr>
                <w:sz w:val="21"/>
              </w:rPr>
              <w:t>+PZA</w:t>
            </w:r>
          </w:p>
        </w:tc>
        <w:tc>
          <w:tcPr>
            <w:tcW w:w="1915" w:type="dxa"/>
            <w:tcBorders>
              <w:right w:val="single" w:sz="18" w:space="0" w:color="000000"/>
            </w:tcBorders>
          </w:tcPr>
          <w:p>
            <w:pPr>
              <w:pStyle w:val="TableParagraph"/>
              <w:spacing w:line="375" w:lineRule="exact"/>
              <w:ind w:left="342"/>
              <w:rPr>
                <w:sz w:val="21"/>
              </w:rPr>
            </w:pPr>
            <w:r>
              <w:rPr>
                <w:sz w:val="21"/>
              </w:rPr>
              <w:t>full dose</w:t>
            </w:r>
          </w:p>
        </w:tc>
        <w:tc>
          <w:tcPr>
            <w:tcW w:w="5683" w:type="dxa"/>
            <w:gridSpan w:val="4"/>
            <w:vMerge/>
            <w:tcBorders>
              <w:top w:val="nil"/>
              <w:left w:val="single" w:sz="18" w:space="0" w:color="000000"/>
            </w:tcBorders>
          </w:tcPr>
          <w:p>
            <w:pPr>
              <w:rPr>
                <w:sz w:val="2"/>
                <w:szCs w:val="2"/>
              </w:rPr>
            </w:pPr>
          </w:p>
        </w:tc>
      </w:tr>
    </w:tbl>
    <w:p>
      <w:pPr>
        <w:spacing w:after="0"/>
        <w:rPr>
          <w:sz w:val="2"/>
          <w:szCs w:val="2"/>
        </w:rPr>
        <w:sectPr>
          <w:pgSz w:w="12250" w:h="17190"/>
          <w:pgMar w:header="0" w:footer="828" w:top="1440" w:bottom="1020" w:left="1080" w:right="0"/>
        </w:sectPr>
      </w:pPr>
    </w:p>
    <w:p>
      <w:pPr>
        <w:pStyle w:val="Heading5"/>
        <w:spacing w:line="473" w:lineRule="exact"/>
        <w:ind w:left="4165"/>
        <w:jc w:val="left"/>
      </w:pPr>
      <w:r>
        <w:rPr>
          <w:color w:val="FF0000"/>
        </w:rPr>
        <w:t>病 歷 摘 要 (範本)</w:t>
      </w:r>
    </w:p>
    <w:p>
      <w:pPr>
        <w:pStyle w:val="Heading7"/>
        <w:spacing w:line="431" w:lineRule="exact"/>
        <w:ind w:left="280"/>
        <w:jc w:val="left"/>
      </w:pPr>
      <w:r>
        <w:rPr/>
        <w:t>一、基本資料</w:t>
      </w:r>
    </w:p>
    <w:p>
      <w:pPr>
        <w:pStyle w:val="BodyText"/>
        <w:tabs>
          <w:tab w:pos="5553" w:val="left" w:leader="none"/>
        </w:tabs>
        <w:spacing w:line="351" w:lineRule="exact"/>
        <w:ind w:left="753"/>
      </w:pPr>
      <w:r>
        <w:rPr/>
        <w:t>個案姓名：</w:t>
        <w:tab/>
        <w:t>總編號：</w:t>
      </w:r>
    </w:p>
    <w:p>
      <w:pPr>
        <w:pStyle w:val="BodyText"/>
        <w:tabs>
          <w:tab w:pos="5553" w:val="left" w:leader="none"/>
        </w:tabs>
        <w:spacing w:line="380" w:lineRule="exact"/>
        <w:ind w:left="753"/>
      </w:pPr>
      <w:r>
        <w:rPr/>
        <w:t>通報院所：</w:t>
        <w:tab/>
        <w:t>通報日期：</w:t>
      </w:r>
    </w:p>
    <w:p>
      <w:pPr>
        <w:pStyle w:val="BodyText"/>
        <w:spacing w:line="411" w:lineRule="exact"/>
        <w:ind w:left="753"/>
      </w:pPr>
      <w:r>
        <w:rPr/>
        <w:t>診斷醫師：</w:t>
      </w:r>
    </w:p>
    <w:p>
      <w:pPr>
        <w:pStyle w:val="Heading7"/>
        <w:spacing w:line="401" w:lineRule="exact" w:before="282"/>
        <w:ind w:left="280"/>
        <w:jc w:val="left"/>
      </w:pPr>
      <w:r>
        <w:rPr/>
        <w:t>二、疾病史</w:t>
      </w:r>
    </w:p>
    <w:p>
      <w:pPr>
        <w:pStyle w:val="ListParagraph"/>
        <w:numPr>
          <w:ilvl w:val="1"/>
          <w:numId w:val="102"/>
        </w:numPr>
        <w:tabs>
          <w:tab w:pos="969" w:val="left" w:leader="none"/>
          <w:tab w:pos="2047" w:val="left" w:leader="none"/>
          <w:tab w:pos="3340" w:val="left" w:leader="none"/>
          <w:tab w:pos="4805" w:val="left" w:leader="none"/>
          <w:tab w:pos="7179" w:val="left" w:leader="none"/>
          <w:tab w:pos="7419" w:val="left" w:leader="none"/>
          <w:tab w:pos="9481" w:val="left" w:leader="none"/>
        </w:tabs>
        <w:spacing w:line="360" w:lineRule="exact" w:before="0" w:after="0"/>
        <w:ind w:left="968" w:right="0" w:hanging="216"/>
        <w:jc w:val="left"/>
        <w:rPr>
          <w:rFonts w:ascii="Times New Roman" w:hAnsi="Times New Roman" w:eastAsia="Times New Roman"/>
          <w:sz w:val="24"/>
        </w:rPr>
      </w:pPr>
      <w:r>
        <w:rPr>
          <w:sz w:val="24"/>
        </w:rPr>
        <w:t>糖尿病</w:t>
        <w:tab/>
      </w:r>
      <w:r>
        <w:rPr>
          <w:rFonts w:ascii="Wingdings 2" w:hAnsi="Wingdings 2" w:eastAsia="Wingdings 2"/>
          <w:sz w:val="24"/>
        </w:rPr>
        <w:t></w:t>
      </w:r>
      <w:r>
        <w:rPr>
          <w:sz w:val="24"/>
        </w:rPr>
        <w:t>心臟病</w:t>
        <w:tab/>
      </w:r>
      <w:r>
        <w:rPr>
          <w:rFonts w:ascii="Wingdings 2" w:hAnsi="Wingdings 2" w:eastAsia="Wingdings 2"/>
          <w:sz w:val="24"/>
        </w:rPr>
        <w:t></w:t>
      </w:r>
      <w:r>
        <w:rPr>
          <w:rFonts w:ascii="Times New Roman" w:hAnsi="Times New Roman" w:eastAsia="Times New Roman"/>
          <w:sz w:val="24"/>
        </w:rPr>
        <w:t> </w:t>
      </w:r>
      <w:r>
        <w:rPr>
          <w:sz w:val="24"/>
        </w:rPr>
        <w:t>HIV</w:t>
      </w:r>
      <w:r>
        <w:rPr>
          <w:spacing w:val="-2"/>
          <w:sz w:val="24"/>
        </w:rPr>
        <w:t> </w:t>
      </w:r>
      <w:r>
        <w:rPr>
          <w:sz w:val="24"/>
        </w:rPr>
        <w:t>陽性</w:t>
        <w:tab/>
      </w:r>
      <w:r>
        <w:rPr>
          <w:rFonts w:ascii="Wingdings 2" w:hAnsi="Wingdings 2" w:eastAsia="Wingdings 2"/>
          <w:sz w:val="24"/>
        </w:rPr>
        <w:t></w:t>
      </w:r>
      <w:r>
        <w:rPr>
          <w:sz w:val="24"/>
        </w:rPr>
        <w:t>肝功能異常</w:t>
      </w:r>
      <w:r>
        <w:rPr>
          <w:sz w:val="24"/>
          <w:u w:val="single"/>
        </w:rPr>
        <w:t> </w:t>
        <w:tab/>
      </w:r>
      <w:r>
        <w:rPr>
          <w:sz w:val="24"/>
        </w:rPr>
        <w:tab/>
      </w:r>
      <w:r>
        <w:rPr>
          <w:rFonts w:ascii="Wingdings 2" w:hAnsi="Wingdings 2" w:eastAsia="Wingdings 2"/>
          <w:spacing w:val="-1"/>
          <w:sz w:val="24"/>
        </w:rPr>
        <w:t></w:t>
      </w:r>
      <w:r>
        <w:rPr>
          <w:sz w:val="24"/>
        </w:rPr>
        <w:t>腎功能異常</w:t>
      </w:r>
      <w:r>
        <w:rPr>
          <w:rFonts w:ascii="Times New Roman" w:hAnsi="Times New Roman" w:eastAsia="Times New Roman"/>
          <w:sz w:val="24"/>
          <w:u w:val="single"/>
        </w:rPr>
        <w:t> </w:t>
        <w:tab/>
      </w:r>
    </w:p>
    <w:p>
      <w:pPr>
        <w:pStyle w:val="ListParagraph"/>
        <w:numPr>
          <w:ilvl w:val="1"/>
          <w:numId w:val="102"/>
        </w:numPr>
        <w:tabs>
          <w:tab w:pos="969" w:val="left" w:leader="none"/>
          <w:tab w:pos="2047" w:val="left" w:leader="none"/>
          <w:tab w:pos="9460" w:val="left" w:leader="none"/>
        </w:tabs>
        <w:spacing w:line="401" w:lineRule="exact" w:before="0" w:after="0"/>
        <w:ind w:left="968" w:right="0" w:hanging="216"/>
        <w:jc w:val="left"/>
        <w:rPr>
          <w:rFonts w:ascii="Times New Roman" w:hAnsi="Times New Roman" w:eastAsia="Times New Roman"/>
          <w:sz w:val="24"/>
        </w:rPr>
      </w:pPr>
      <w:r>
        <w:rPr>
          <w:sz w:val="24"/>
        </w:rPr>
        <w:t>塵肺症</w:t>
        <w:tab/>
      </w:r>
      <w:r>
        <w:rPr>
          <w:rFonts w:ascii="Wingdings 2" w:hAnsi="Wingdings 2" w:eastAsia="Wingdings 2"/>
          <w:sz w:val="24"/>
        </w:rPr>
        <w:t></w:t>
      </w:r>
      <w:r>
        <w:rPr>
          <w:rFonts w:ascii="Times New Roman" w:hAnsi="Times New Roman" w:eastAsia="Times New Roman"/>
          <w:sz w:val="24"/>
        </w:rPr>
        <w:t> </w:t>
      </w:r>
      <w:r>
        <w:rPr>
          <w:sz w:val="24"/>
        </w:rPr>
        <w:t>其</w:t>
      </w:r>
      <w:r>
        <w:rPr>
          <w:spacing w:val="-1"/>
          <w:sz w:val="24"/>
        </w:rPr>
        <w:t> </w:t>
      </w:r>
      <w:r>
        <w:rPr>
          <w:sz w:val="24"/>
        </w:rPr>
        <w:t>他</w:t>
      </w:r>
      <w:r>
        <w:rPr>
          <w:rFonts w:ascii="Times New Roman" w:hAnsi="Times New Roman" w:eastAsia="Times New Roman"/>
          <w:sz w:val="24"/>
          <w:u w:val="single"/>
        </w:rPr>
        <w:t> </w:t>
        <w:tab/>
      </w:r>
    </w:p>
    <w:p>
      <w:pPr>
        <w:pStyle w:val="BodyText"/>
        <w:spacing w:before="10"/>
        <w:rPr>
          <w:rFonts w:ascii="Times New Roman"/>
          <w:sz w:val="20"/>
        </w:rPr>
      </w:pPr>
    </w:p>
    <w:p>
      <w:pPr>
        <w:pStyle w:val="Heading7"/>
        <w:spacing w:before="39"/>
        <w:ind w:left="280"/>
        <w:jc w:val="left"/>
      </w:pPr>
      <w:r>
        <w:rPr/>
        <w:t>三、結核病用藥史(一線藥)</w:t>
      </w:r>
    </w:p>
    <w:p>
      <w:pPr>
        <w:spacing w:line="425" w:lineRule="exact" w:before="278"/>
        <w:ind w:left="280" w:right="0" w:firstLine="0"/>
        <w:jc w:val="left"/>
        <w:rPr>
          <w:b/>
          <w:sz w:val="24"/>
        </w:rPr>
      </w:pPr>
      <w:r>
        <w:rPr>
          <w:b/>
          <w:sz w:val="24"/>
        </w:rPr>
        <w:t>四、二線抗結核藥品使用情形</w:t>
      </w:r>
    </w:p>
    <w:p>
      <w:pPr>
        <w:pStyle w:val="BodyText"/>
        <w:tabs>
          <w:tab w:pos="1076" w:val="left" w:leader="none"/>
        </w:tabs>
        <w:spacing w:line="425" w:lineRule="exact"/>
        <w:ind w:left="460"/>
      </w:pPr>
      <w:r>
        <w:rPr/>
        <w:t>(一)</w:t>
        <w:tab/>
        <w:t>二線抗結核藥品使用原因及日期</w:t>
      </w:r>
    </w:p>
    <w:p>
      <w:pPr>
        <w:pStyle w:val="ListParagraph"/>
        <w:numPr>
          <w:ilvl w:val="2"/>
          <w:numId w:val="102"/>
        </w:numPr>
        <w:tabs>
          <w:tab w:pos="1324" w:val="left" w:leader="none"/>
          <w:tab w:pos="5135" w:val="left" w:leader="none"/>
          <w:tab w:pos="5375" w:val="left" w:leader="none"/>
          <w:tab w:pos="5829" w:val="left" w:leader="none"/>
          <w:tab w:pos="9049" w:val="left" w:leader="none"/>
        </w:tabs>
        <w:spacing w:line="401" w:lineRule="exact" w:before="79" w:after="0"/>
        <w:ind w:left="1323" w:right="0" w:hanging="216"/>
        <w:jc w:val="left"/>
        <w:rPr>
          <w:rFonts w:ascii="Times New Roman" w:hAnsi="Times New Roman" w:eastAsia="Times New Roman"/>
          <w:sz w:val="24"/>
        </w:rPr>
      </w:pPr>
      <w:r>
        <w:rPr>
          <w:sz w:val="24"/>
        </w:rPr>
        <w:t>藥物副作用  </w:t>
      </w:r>
      <w:r>
        <w:rPr>
          <w:rFonts w:ascii="Wingdings" w:hAnsi="Wingdings" w:eastAsia="Wingdings"/>
          <w:sz w:val="24"/>
        </w:rPr>
        <w:t></w:t>
      </w:r>
      <w:r>
        <w:rPr>
          <w:rFonts w:ascii="Times New Roman" w:hAnsi="Times New Roman" w:eastAsia="Times New Roman"/>
          <w:spacing w:val="59"/>
          <w:sz w:val="24"/>
        </w:rPr>
        <w:t> </w:t>
      </w:r>
      <w:r>
        <w:rPr>
          <w:sz w:val="24"/>
        </w:rPr>
        <w:t>診斷日期</w:t>
      </w:r>
      <w:r>
        <w:rPr>
          <w:sz w:val="24"/>
          <w:u w:val="single"/>
        </w:rPr>
        <w:t> </w:t>
        <w:tab/>
      </w:r>
      <w:r>
        <w:rPr>
          <w:sz w:val="24"/>
        </w:rPr>
        <w:tab/>
      </w:r>
      <w:r>
        <w:rPr>
          <w:rFonts w:ascii="Wingdings" w:hAnsi="Wingdings" w:eastAsia="Wingdings"/>
          <w:sz w:val="24"/>
        </w:rPr>
        <w:t></w:t>
      </w:r>
      <w:r>
        <w:rPr>
          <w:rFonts w:ascii="Times New Roman" w:hAnsi="Times New Roman" w:eastAsia="Times New Roman"/>
          <w:sz w:val="24"/>
        </w:rPr>
        <w:tab/>
      </w:r>
      <w:r>
        <w:rPr>
          <w:sz w:val="24"/>
        </w:rPr>
        <w:t>開始使用二線藥日期</w:t>
      </w:r>
      <w:r>
        <w:rPr>
          <w:rFonts w:ascii="Times New Roman" w:hAnsi="Times New Roman" w:eastAsia="Times New Roman"/>
          <w:sz w:val="24"/>
          <w:u w:val="single"/>
        </w:rPr>
        <w:t> </w:t>
        <w:tab/>
      </w:r>
    </w:p>
    <w:p>
      <w:pPr>
        <w:pStyle w:val="ListParagraph"/>
        <w:numPr>
          <w:ilvl w:val="2"/>
          <w:numId w:val="102"/>
        </w:numPr>
        <w:tabs>
          <w:tab w:pos="1322" w:val="left" w:leader="none"/>
          <w:tab w:pos="5133" w:val="left" w:leader="none"/>
          <w:tab w:pos="5373" w:val="left" w:leader="none"/>
          <w:tab w:pos="5827" w:val="left" w:leader="none"/>
          <w:tab w:pos="9049" w:val="left" w:leader="none"/>
        </w:tabs>
        <w:spacing w:line="401" w:lineRule="exact" w:before="0" w:after="0"/>
        <w:ind w:left="1321" w:right="0" w:hanging="216"/>
        <w:jc w:val="left"/>
        <w:rPr>
          <w:rFonts w:ascii="Times New Roman" w:hAnsi="Times New Roman" w:eastAsia="Times New Roman"/>
          <w:sz w:val="24"/>
        </w:rPr>
      </w:pPr>
      <w:r>
        <w:rPr>
          <w:sz w:val="24"/>
        </w:rPr>
        <w:t>多重抗藥性  </w:t>
      </w:r>
      <w:r>
        <w:rPr>
          <w:rFonts w:ascii="Wingdings" w:hAnsi="Wingdings" w:eastAsia="Wingdings"/>
          <w:sz w:val="24"/>
        </w:rPr>
        <w:t></w:t>
      </w:r>
      <w:r>
        <w:rPr>
          <w:rFonts w:ascii="Times New Roman" w:hAnsi="Times New Roman" w:eastAsia="Times New Roman"/>
          <w:spacing w:val="59"/>
          <w:sz w:val="24"/>
        </w:rPr>
        <w:t> </w:t>
      </w:r>
      <w:r>
        <w:rPr>
          <w:sz w:val="24"/>
        </w:rPr>
        <w:t>診斷日期</w:t>
      </w:r>
      <w:r>
        <w:rPr>
          <w:sz w:val="24"/>
          <w:u w:val="single"/>
        </w:rPr>
        <w:t> </w:t>
        <w:tab/>
      </w:r>
      <w:r>
        <w:rPr>
          <w:sz w:val="24"/>
        </w:rPr>
        <w:tab/>
      </w:r>
      <w:r>
        <w:rPr>
          <w:rFonts w:ascii="Wingdings" w:hAnsi="Wingdings" w:eastAsia="Wingdings"/>
          <w:sz w:val="24"/>
        </w:rPr>
        <w:t></w:t>
      </w:r>
      <w:r>
        <w:rPr>
          <w:rFonts w:ascii="Times New Roman" w:hAnsi="Times New Roman" w:eastAsia="Times New Roman"/>
          <w:sz w:val="24"/>
        </w:rPr>
        <w:tab/>
      </w:r>
      <w:r>
        <w:rPr>
          <w:sz w:val="24"/>
        </w:rPr>
        <w:t>開始使用二線藥日期</w:t>
      </w:r>
      <w:r>
        <w:rPr>
          <w:rFonts w:ascii="Times New Roman" w:hAnsi="Times New Roman" w:eastAsia="Times New Roman"/>
          <w:sz w:val="24"/>
          <w:u w:val="single"/>
        </w:rPr>
        <w:t> </w:t>
        <w:tab/>
      </w:r>
    </w:p>
    <w:p>
      <w:pPr>
        <w:pStyle w:val="BodyText"/>
        <w:spacing w:before="7"/>
        <w:rPr>
          <w:rFonts w:ascii="Times New Roman"/>
          <w:sz w:val="22"/>
        </w:rPr>
      </w:pPr>
    </w:p>
    <w:p>
      <w:pPr>
        <w:pStyle w:val="BodyText"/>
        <w:tabs>
          <w:tab w:pos="1073" w:val="left" w:leader="none"/>
        </w:tabs>
        <w:spacing w:before="39"/>
        <w:ind w:left="461"/>
      </w:pPr>
      <w:r>
        <w:rPr/>
        <w:t>(二)</w:t>
        <w:tab/>
      </w:r>
      <w:r>
        <w:rPr>
          <w:b/>
        </w:rPr>
        <w:t>二</w:t>
      </w:r>
      <w:r>
        <w:rPr/>
        <w:t>線抗結核藥品使用種類、劑量及次數</w:t>
      </w:r>
    </w:p>
    <w:tbl>
      <w:tblPr>
        <w:tblW w:w="0" w:type="auto"/>
        <w:jc w:val="left"/>
        <w:tblInd w:w="1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722"/>
        <w:gridCol w:w="876"/>
        <w:gridCol w:w="773"/>
        <w:gridCol w:w="423"/>
        <w:gridCol w:w="1851"/>
        <w:gridCol w:w="683"/>
        <w:gridCol w:w="1102"/>
        <w:gridCol w:w="717"/>
      </w:tblGrid>
      <w:tr>
        <w:trPr>
          <w:trHeight w:val="396" w:hRule="atLeast"/>
        </w:trPr>
        <w:tc>
          <w:tcPr>
            <w:tcW w:w="1699" w:type="dxa"/>
          </w:tcPr>
          <w:p>
            <w:pPr>
              <w:pStyle w:val="TableParagraph"/>
              <w:tabs>
                <w:tab w:pos="489" w:val="left" w:leader="none"/>
              </w:tabs>
              <w:spacing w:line="376" w:lineRule="exact"/>
              <w:ind w:left="9"/>
              <w:jc w:val="center"/>
              <w:rPr>
                <w:sz w:val="24"/>
              </w:rPr>
            </w:pPr>
            <w:r>
              <w:rPr>
                <w:sz w:val="24"/>
              </w:rPr>
              <w:t>藥</w:t>
              <w:tab/>
              <w:t>物</w:t>
            </w:r>
          </w:p>
        </w:tc>
        <w:tc>
          <w:tcPr>
            <w:tcW w:w="722" w:type="dxa"/>
          </w:tcPr>
          <w:p>
            <w:pPr>
              <w:pStyle w:val="TableParagraph"/>
              <w:spacing w:line="376" w:lineRule="exact"/>
              <w:ind w:left="61"/>
              <w:rPr>
                <w:sz w:val="24"/>
              </w:rPr>
            </w:pPr>
            <w:r>
              <w:rPr>
                <w:sz w:val="24"/>
              </w:rPr>
              <w:t>日 期</w:t>
            </w:r>
          </w:p>
        </w:tc>
        <w:tc>
          <w:tcPr>
            <w:tcW w:w="876" w:type="dxa"/>
          </w:tcPr>
          <w:p>
            <w:pPr>
              <w:pStyle w:val="TableParagraph"/>
              <w:spacing w:line="376" w:lineRule="exact"/>
              <w:ind w:left="20" w:right="12"/>
              <w:jc w:val="center"/>
              <w:rPr>
                <w:sz w:val="24"/>
              </w:rPr>
            </w:pPr>
            <w:r>
              <w:rPr>
                <w:sz w:val="24"/>
              </w:rPr>
              <w:t>劑量</w:t>
            </w:r>
          </w:p>
        </w:tc>
        <w:tc>
          <w:tcPr>
            <w:tcW w:w="773" w:type="dxa"/>
          </w:tcPr>
          <w:p>
            <w:pPr>
              <w:pStyle w:val="TableParagraph"/>
              <w:spacing w:line="376" w:lineRule="exact"/>
              <w:ind w:left="146"/>
              <w:rPr>
                <w:sz w:val="24"/>
              </w:rPr>
            </w:pPr>
            <w:r>
              <w:rPr>
                <w:sz w:val="24"/>
              </w:rPr>
              <w:t>次數</w:t>
            </w:r>
          </w:p>
        </w:tc>
        <w:tc>
          <w:tcPr>
            <w:tcW w:w="423" w:type="dxa"/>
            <w:vMerge w:val="restart"/>
            <w:tcBorders>
              <w:top w:val="nil"/>
              <w:bottom w:val="nil"/>
            </w:tcBorders>
          </w:tcPr>
          <w:p>
            <w:pPr>
              <w:pStyle w:val="TableParagraph"/>
              <w:rPr>
                <w:rFonts w:ascii="Times New Roman"/>
                <w:sz w:val="22"/>
              </w:rPr>
            </w:pPr>
          </w:p>
        </w:tc>
        <w:tc>
          <w:tcPr>
            <w:tcW w:w="1851" w:type="dxa"/>
          </w:tcPr>
          <w:p>
            <w:pPr>
              <w:pStyle w:val="TableParagraph"/>
              <w:tabs>
                <w:tab w:pos="488" w:val="left" w:leader="none"/>
              </w:tabs>
              <w:spacing w:line="376" w:lineRule="exact"/>
              <w:ind w:left="8"/>
              <w:jc w:val="center"/>
              <w:rPr>
                <w:sz w:val="24"/>
              </w:rPr>
            </w:pPr>
            <w:r>
              <w:rPr>
                <w:sz w:val="24"/>
              </w:rPr>
              <w:t>藥</w:t>
              <w:tab/>
              <w:t>物</w:t>
            </w:r>
          </w:p>
        </w:tc>
        <w:tc>
          <w:tcPr>
            <w:tcW w:w="683" w:type="dxa"/>
          </w:tcPr>
          <w:p>
            <w:pPr>
              <w:pStyle w:val="TableParagraph"/>
              <w:spacing w:line="376" w:lineRule="exact"/>
              <w:ind w:left="41"/>
              <w:rPr>
                <w:sz w:val="24"/>
              </w:rPr>
            </w:pPr>
            <w:r>
              <w:rPr>
                <w:sz w:val="24"/>
              </w:rPr>
              <w:t>日 期</w:t>
            </w:r>
          </w:p>
        </w:tc>
        <w:tc>
          <w:tcPr>
            <w:tcW w:w="1102" w:type="dxa"/>
          </w:tcPr>
          <w:p>
            <w:pPr>
              <w:pStyle w:val="TableParagraph"/>
              <w:spacing w:line="376" w:lineRule="exact"/>
              <w:ind w:left="133" w:right="126"/>
              <w:jc w:val="center"/>
              <w:rPr>
                <w:sz w:val="24"/>
              </w:rPr>
            </w:pPr>
            <w:r>
              <w:rPr>
                <w:sz w:val="24"/>
              </w:rPr>
              <w:t>劑量</w:t>
            </w:r>
          </w:p>
        </w:tc>
        <w:tc>
          <w:tcPr>
            <w:tcW w:w="717" w:type="dxa"/>
          </w:tcPr>
          <w:p>
            <w:pPr>
              <w:pStyle w:val="TableParagraph"/>
              <w:spacing w:line="376" w:lineRule="exact"/>
              <w:ind w:left="116"/>
              <w:rPr>
                <w:sz w:val="24"/>
              </w:rPr>
            </w:pPr>
            <w:r>
              <w:rPr>
                <w:sz w:val="24"/>
              </w:rPr>
              <w:t>次數</w:t>
            </w:r>
          </w:p>
        </w:tc>
      </w:tr>
      <w:tr>
        <w:trPr>
          <w:trHeight w:val="396" w:hRule="atLeast"/>
        </w:trPr>
        <w:tc>
          <w:tcPr>
            <w:tcW w:w="1699" w:type="dxa"/>
          </w:tcPr>
          <w:p>
            <w:pPr>
              <w:pStyle w:val="TableParagraph"/>
              <w:spacing w:line="377" w:lineRule="exact"/>
              <w:ind w:left="10"/>
              <w:jc w:val="center"/>
              <w:rPr>
                <w:sz w:val="24"/>
              </w:rPr>
            </w:pPr>
            <w:r>
              <w:rPr>
                <w:w w:val="95"/>
                <w:sz w:val="24"/>
              </w:rPr>
              <w:t>Prothionamide</w:t>
            </w:r>
          </w:p>
        </w:tc>
        <w:tc>
          <w:tcPr>
            <w:tcW w:w="722" w:type="dxa"/>
          </w:tcPr>
          <w:p>
            <w:pPr>
              <w:pStyle w:val="TableParagraph"/>
              <w:rPr>
                <w:rFonts w:ascii="Times New Roman"/>
                <w:sz w:val="22"/>
              </w:rPr>
            </w:pPr>
          </w:p>
        </w:tc>
        <w:tc>
          <w:tcPr>
            <w:tcW w:w="876" w:type="dxa"/>
          </w:tcPr>
          <w:p>
            <w:pPr>
              <w:pStyle w:val="TableParagraph"/>
              <w:spacing w:line="377" w:lineRule="exact"/>
              <w:ind w:left="21" w:right="12"/>
              <w:jc w:val="center"/>
              <w:rPr>
                <w:sz w:val="24"/>
              </w:rPr>
            </w:pPr>
            <w:r>
              <w:rPr>
                <w:sz w:val="24"/>
              </w:rPr>
              <w:t>250mg</w:t>
            </w:r>
          </w:p>
        </w:tc>
        <w:tc>
          <w:tcPr>
            <w:tcW w:w="773" w:type="dxa"/>
          </w:tcPr>
          <w:p>
            <w:pPr>
              <w:pStyle w:val="TableParagraph"/>
              <w:rPr>
                <w:rFonts w:ascii="Times New Roman"/>
                <w:sz w:val="22"/>
              </w:rPr>
            </w:pPr>
          </w:p>
        </w:tc>
        <w:tc>
          <w:tcPr>
            <w:tcW w:w="423" w:type="dxa"/>
            <w:vMerge/>
            <w:tcBorders>
              <w:top w:val="nil"/>
              <w:bottom w:val="nil"/>
            </w:tcBorders>
          </w:tcPr>
          <w:p>
            <w:pPr>
              <w:rPr>
                <w:sz w:val="2"/>
                <w:szCs w:val="2"/>
              </w:rPr>
            </w:pPr>
          </w:p>
        </w:tc>
        <w:tc>
          <w:tcPr>
            <w:tcW w:w="1851" w:type="dxa"/>
          </w:tcPr>
          <w:p>
            <w:pPr>
              <w:pStyle w:val="TableParagraph"/>
              <w:spacing w:line="377" w:lineRule="exact"/>
              <w:ind w:left="9"/>
              <w:jc w:val="center"/>
              <w:rPr>
                <w:sz w:val="24"/>
              </w:rPr>
            </w:pPr>
            <w:r>
              <w:rPr>
                <w:sz w:val="24"/>
              </w:rPr>
              <w:t>Kanamycin</w:t>
            </w:r>
          </w:p>
        </w:tc>
        <w:tc>
          <w:tcPr>
            <w:tcW w:w="683" w:type="dxa"/>
          </w:tcPr>
          <w:p>
            <w:pPr>
              <w:pStyle w:val="TableParagraph"/>
              <w:rPr>
                <w:rFonts w:ascii="Times New Roman"/>
                <w:sz w:val="22"/>
              </w:rPr>
            </w:pPr>
          </w:p>
        </w:tc>
        <w:tc>
          <w:tcPr>
            <w:tcW w:w="1102" w:type="dxa"/>
          </w:tcPr>
          <w:p>
            <w:pPr>
              <w:pStyle w:val="TableParagraph"/>
              <w:spacing w:line="377" w:lineRule="exact"/>
              <w:ind w:left="132" w:right="126"/>
              <w:jc w:val="center"/>
              <w:rPr>
                <w:sz w:val="24"/>
              </w:rPr>
            </w:pPr>
            <w:r>
              <w:rPr>
                <w:sz w:val="24"/>
              </w:rPr>
              <w:t>1gm</w:t>
            </w:r>
          </w:p>
        </w:tc>
        <w:tc>
          <w:tcPr>
            <w:tcW w:w="717" w:type="dxa"/>
          </w:tcPr>
          <w:p>
            <w:pPr>
              <w:pStyle w:val="TableParagraph"/>
              <w:rPr>
                <w:rFonts w:ascii="Times New Roman"/>
                <w:sz w:val="22"/>
              </w:rPr>
            </w:pPr>
          </w:p>
        </w:tc>
      </w:tr>
      <w:tr>
        <w:trPr>
          <w:trHeight w:val="395" w:hRule="atLeast"/>
        </w:trPr>
        <w:tc>
          <w:tcPr>
            <w:tcW w:w="1699" w:type="dxa"/>
          </w:tcPr>
          <w:p>
            <w:pPr>
              <w:pStyle w:val="TableParagraph"/>
              <w:spacing w:line="376" w:lineRule="exact"/>
              <w:ind w:left="9"/>
              <w:jc w:val="center"/>
              <w:rPr>
                <w:sz w:val="24"/>
              </w:rPr>
            </w:pPr>
            <w:r>
              <w:rPr>
                <w:sz w:val="24"/>
              </w:rPr>
              <w:t>Levofloxacin</w:t>
            </w:r>
          </w:p>
        </w:tc>
        <w:tc>
          <w:tcPr>
            <w:tcW w:w="722" w:type="dxa"/>
          </w:tcPr>
          <w:p>
            <w:pPr>
              <w:pStyle w:val="TableParagraph"/>
              <w:rPr>
                <w:rFonts w:ascii="Times New Roman"/>
                <w:sz w:val="22"/>
              </w:rPr>
            </w:pPr>
          </w:p>
        </w:tc>
        <w:tc>
          <w:tcPr>
            <w:tcW w:w="876" w:type="dxa"/>
          </w:tcPr>
          <w:p>
            <w:pPr>
              <w:pStyle w:val="TableParagraph"/>
              <w:spacing w:line="376" w:lineRule="exact"/>
              <w:ind w:left="21" w:right="12"/>
              <w:jc w:val="center"/>
              <w:rPr>
                <w:sz w:val="24"/>
              </w:rPr>
            </w:pPr>
            <w:r>
              <w:rPr>
                <w:sz w:val="24"/>
              </w:rPr>
              <w:t>100mg</w:t>
            </w:r>
          </w:p>
        </w:tc>
        <w:tc>
          <w:tcPr>
            <w:tcW w:w="773" w:type="dxa"/>
          </w:tcPr>
          <w:p>
            <w:pPr>
              <w:pStyle w:val="TableParagraph"/>
              <w:rPr>
                <w:rFonts w:ascii="Times New Roman"/>
                <w:sz w:val="22"/>
              </w:rPr>
            </w:pPr>
          </w:p>
        </w:tc>
        <w:tc>
          <w:tcPr>
            <w:tcW w:w="423" w:type="dxa"/>
            <w:vMerge/>
            <w:tcBorders>
              <w:top w:val="nil"/>
              <w:bottom w:val="nil"/>
            </w:tcBorders>
          </w:tcPr>
          <w:p>
            <w:pPr>
              <w:rPr>
                <w:sz w:val="2"/>
                <w:szCs w:val="2"/>
              </w:rPr>
            </w:pPr>
          </w:p>
        </w:tc>
        <w:tc>
          <w:tcPr>
            <w:tcW w:w="1851" w:type="dxa"/>
          </w:tcPr>
          <w:p>
            <w:pPr>
              <w:pStyle w:val="TableParagraph"/>
              <w:spacing w:line="376" w:lineRule="exact"/>
              <w:ind w:left="10"/>
              <w:jc w:val="center"/>
              <w:rPr>
                <w:sz w:val="24"/>
              </w:rPr>
            </w:pPr>
            <w:r>
              <w:rPr>
                <w:color w:val="FF0000"/>
                <w:sz w:val="24"/>
              </w:rPr>
              <w:t>Streptomycim</w:t>
            </w:r>
          </w:p>
        </w:tc>
        <w:tc>
          <w:tcPr>
            <w:tcW w:w="683" w:type="dxa"/>
          </w:tcPr>
          <w:p>
            <w:pPr>
              <w:pStyle w:val="TableParagraph"/>
              <w:rPr>
                <w:rFonts w:ascii="Times New Roman"/>
                <w:sz w:val="22"/>
              </w:rPr>
            </w:pPr>
          </w:p>
        </w:tc>
        <w:tc>
          <w:tcPr>
            <w:tcW w:w="1102" w:type="dxa"/>
          </w:tcPr>
          <w:p>
            <w:pPr>
              <w:pStyle w:val="TableParagraph"/>
              <w:spacing w:line="376" w:lineRule="exact"/>
              <w:ind w:left="132" w:right="126"/>
              <w:jc w:val="center"/>
              <w:rPr>
                <w:sz w:val="24"/>
              </w:rPr>
            </w:pPr>
            <w:r>
              <w:rPr>
                <w:sz w:val="24"/>
              </w:rPr>
              <w:t>1gm</w:t>
            </w:r>
          </w:p>
        </w:tc>
        <w:tc>
          <w:tcPr>
            <w:tcW w:w="717" w:type="dxa"/>
          </w:tcPr>
          <w:p>
            <w:pPr>
              <w:pStyle w:val="TableParagraph"/>
              <w:rPr>
                <w:rFonts w:ascii="Times New Roman"/>
                <w:sz w:val="22"/>
              </w:rPr>
            </w:pPr>
          </w:p>
        </w:tc>
      </w:tr>
      <w:tr>
        <w:trPr>
          <w:trHeight w:val="395" w:hRule="atLeast"/>
        </w:trPr>
        <w:tc>
          <w:tcPr>
            <w:tcW w:w="1699" w:type="dxa"/>
          </w:tcPr>
          <w:p>
            <w:pPr>
              <w:pStyle w:val="TableParagraph"/>
              <w:spacing w:line="376" w:lineRule="exact"/>
              <w:ind w:left="9"/>
              <w:jc w:val="center"/>
              <w:rPr>
                <w:sz w:val="24"/>
              </w:rPr>
            </w:pPr>
            <w:r>
              <w:rPr>
                <w:sz w:val="24"/>
              </w:rPr>
              <w:t>Levofloxacin</w:t>
            </w:r>
          </w:p>
        </w:tc>
        <w:tc>
          <w:tcPr>
            <w:tcW w:w="722" w:type="dxa"/>
          </w:tcPr>
          <w:p>
            <w:pPr>
              <w:pStyle w:val="TableParagraph"/>
              <w:rPr>
                <w:rFonts w:ascii="Times New Roman"/>
                <w:sz w:val="22"/>
              </w:rPr>
            </w:pPr>
          </w:p>
        </w:tc>
        <w:tc>
          <w:tcPr>
            <w:tcW w:w="876" w:type="dxa"/>
          </w:tcPr>
          <w:p>
            <w:pPr>
              <w:pStyle w:val="TableParagraph"/>
              <w:spacing w:line="376" w:lineRule="exact"/>
              <w:ind w:left="21" w:right="12"/>
              <w:jc w:val="center"/>
              <w:rPr>
                <w:sz w:val="24"/>
              </w:rPr>
            </w:pPr>
            <w:r>
              <w:rPr>
                <w:sz w:val="24"/>
              </w:rPr>
              <w:t>500mg</w:t>
            </w:r>
          </w:p>
        </w:tc>
        <w:tc>
          <w:tcPr>
            <w:tcW w:w="773" w:type="dxa"/>
          </w:tcPr>
          <w:p>
            <w:pPr>
              <w:pStyle w:val="TableParagraph"/>
              <w:rPr>
                <w:rFonts w:ascii="Times New Roman"/>
                <w:sz w:val="22"/>
              </w:rPr>
            </w:pPr>
          </w:p>
        </w:tc>
        <w:tc>
          <w:tcPr>
            <w:tcW w:w="423" w:type="dxa"/>
            <w:vMerge/>
            <w:tcBorders>
              <w:top w:val="nil"/>
              <w:bottom w:val="nil"/>
            </w:tcBorders>
          </w:tcPr>
          <w:p>
            <w:pPr>
              <w:rPr>
                <w:sz w:val="2"/>
                <w:szCs w:val="2"/>
              </w:rPr>
            </w:pPr>
          </w:p>
        </w:tc>
        <w:tc>
          <w:tcPr>
            <w:tcW w:w="1851" w:type="dxa"/>
          </w:tcPr>
          <w:p>
            <w:pPr>
              <w:pStyle w:val="TableParagraph"/>
              <w:spacing w:line="376" w:lineRule="exact"/>
              <w:ind w:left="8"/>
              <w:jc w:val="center"/>
              <w:rPr>
                <w:sz w:val="24"/>
              </w:rPr>
            </w:pPr>
            <w:r>
              <w:rPr>
                <w:sz w:val="24"/>
              </w:rPr>
              <w:t>Amikacin</w:t>
            </w:r>
          </w:p>
        </w:tc>
        <w:tc>
          <w:tcPr>
            <w:tcW w:w="683" w:type="dxa"/>
          </w:tcPr>
          <w:p>
            <w:pPr>
              <w:pStyle w:val="TableParagraph"/>
              <w:rPr>
                <w:rFonts w:ascii="Times New Roman"/>
                <w:sz w:val="22"/>
              </w:rPr>
            </w:pPr>
          </w:p>
        </w:tc>
        <w:tc>
          <w:tcPr>
            <w:tcW w:w="1102" w:type="dxa"/>
          </w:tcPr>
          <w:p>
            <w:pPr>
              <w:pStyle w:val="TableParagraph"/>
              <w:spacing w:line="376" w:lineRule="exact"/>
              <w:ind w:left="134" w:right="126"/>
              <w:jc w:val="center"/>
              <w:rPr>
                <w:sz w:val="24"/>
              </w:rPr>
            </w:pPr>
            <w:r>
              <w:rPr>
                <w:sz w:val="24"/>
              </w:rPr>
              <w:t>500mg</w:t>
            </w:r>
          </w:p>
        </w:tc>
        <w:tc>
          <w:tcPr>
            <w:tcW w:w="717" w:type="dxa"/>
          </w:tcPr>
          <w:p>
            <w:pPr>
              <w:pStyle w:val="TableParagraph"/>
              <w:rPr>
                <w:rFonts w:ascii="Times New Roman"/>
                <w:sz w:val="22"/>
              </w:rPr>
            </w:pPr>
          </w:p>
        </w:tc>
      </w:tr>
      <w:tr>
        <w:trPr>
          <w:trHeight w:val="396" w:hRule="atLeast"/>
        </w:trPr>
        <w:tc>
          <w:tcPr>
            <w:tcW w:w="1699" w:type="dxa"/>
          </w:tcPr>
          <w:p>
            <w:pPr>
              <w:pStyle w:val="TableParagraph"/>
              <w:spacing w:line="377" w:lineRule="exact"/>
              <w:ind w:left="9"/>
              <w:jc w:val="center"/>
              <w:rPr>
                <w:sz w:val="24"/>
              </w:rPr>
            </w:pPr>
            <w:r>
              <w:rPr>
                <w:sz w:val="24"/>
              </w:rPr>
              <w:t>Levofloxacin</w:t>
            </w:r>
          </w:p>
        </w:tc>
        <w:tc>
          <w:tcPr>
            <w:tcW w:w="722" w:type="dxa"/>
          </w:tcPr>
          <w:p>
            <w:pPr>
              <w:pStyle w:val="TableParagraph"/>
              <w:rPr>
                <w:rFonts w:ascii="Times New Roman"/>
                <w:sz w:val="22"/>
              </w:rPr>
            </w:pPr>
          </w:p>
        </w:tc>
        <w:tc>
          <w:tcPr>
            <w:tcW w:w="876" w:type="dxa"/>
          </w:tcPr>
          <w:p>
            <w:pPr>
              <w:pStyle w:val="TableParagraph"/>
              <w:spacing w:line="377" w:lineRule="exact"/>
              <w:ind w:left="21" w:right="12"/>
              <w:jc w:val="center"/>
              <w:rPr>
                <w:sz w:val="24"/>
              </w:rPr>
            </w:pPr>
            <w:r>
              <w:rPr>
                <w:sz w:val="24"/>
              </w:rPr>
              <w:t>750mg</w:t>
            </w:r>
          </w:p>
        </w:tc>
        <w:tc>
          <w:tcPr>
            <w:tcW w:w="773" w:type="dxa"/>
          </w:tcPr>
          <w:p>
            <w:pPr>
              <w:pStyle w:val="TableParagraph"/>
              <w:rPr>
                <w:rFonts w:ascii="Times New Roman"/>
                <w:sz w:val="22"/>
              </w:rPr>
            </w:pPr>
          </w:p>
        </w:tc>
        <w:tc>
          <w:tcPr>
            <w:tcW w:w="423" w:type="dxa"/>
            <w:vMerge/>
            <w:tcBorders>
              <w:top w:val="nil"/>
              <w:bottom w:val="nil"/>
            </w:tcBorders>
          </w:tcPr>
          <w:p>
            <w:pPr>
              <w:rPr>
                <w:sz w:val="2"/>
                <w:szCs w:val="2"/>
              </w:rPr>
            </w:pPr>
          </w:p>
        </w:tc>
        <w:tc>
          <w:tcPr>
            <w:tcW w:w="1851" w:type="dxa"/>
          </w:tcPr>
          <w:p>
            <w:pPr>
              <w:pStyle w:val="TableParagraph"/>
              <w:rPr>
                <w:rFonts w:ascii="Times New Roman"/>
                <w:sz w:val="22"/>
              </w:rPr>
            </w:pPr>
          </w:p>
        </w:tc>
        <w:tc>
          <w:tcPr>
            <w:tcW w:w="683" w:type="dxa"/>
          </w:tcPr>
          <w:p>
            <w:pPr>
              <w:pStyle w:val="TableParagraph"/>
              <w:rPr>
                <w:rFonts w:ascii="Times New Roman"/>
                <w:sz w:val="22"/>
              </w:rPr>
            </w:pPr>
          </w:p>
        </w:tc>
        <w:tc>
          <w:tcPr>
            <w:tcW w:w="1102" w:type="dxa"/>
          </w:tcPr>
          <w:p>
            <w:pPr>
              <w:pStyle w:val="TableParagraph"/>
              <w:rPr>
                <w:rFonts w:ascii="Times New Roman"/>
                <w:sz w:val="22"/>
              </w:rPr>
            </w:pPr>
          </w:p>
        </w:tc>
        <w:tc>
          <w:tcPr>
            <w:tcW w:w="717" w:type="dxa"/>
          </w:tcPr>
          <w:p>
            <w:pPr>
              <w:pStyle w:val="TableParagraph"/>
              <w:rPr>
                <w:rFonts w:ascii="Times New Roman"/>
                <w:sz w:val="22"/>
              </w:rPr>
            </w:pPr>
          </w:p>
        </w:tc>
      </w:tr>
      <w:tr>
        <w:trPr>
          <w:trHeight w:val="395" w:hRule="atLeast"/>
        </w:trPr>
        <w:tc>
          <w:tcPr>
            <w:tcW w:w="1699" w:type="dxa"/>
          </w:tcPr>
          <w:p>
            <w:pPr>
              <w:pStyle w:val="TableParagraph"/>
              <w:spacing w:line="376" w:lineRule="exact"/>
              <w:ind w:left="8"/>
              <w:jc w:val="center"/>
              <w:rPr>
                <w:sz w:val="24"/>
              </w:rPr>
            </w:pPr>
            <w:r>
              <w:rPr>
                <w:sz w:val="24"/>
              </w:rPr>
              <w:t>Moxifloxacin</w:t>
            </w:r>
          </w:p>
        </w:tc>
        <w:tc>
          <w:tcPr>
            <w:tcW w:w="722" w:type="dxa"/>
          </w:tcPr>
          <w:p>
            <w:pPr>
              <w:pStyle w:val="TableParagraph"/>
              <w:rPr>
                <w:rFonts w:ascii="Times New Roman"/>
                <w:sz w:val="22"/>
              </w:rPr>
            </w:pPr>
          </w:p>
        </w:tc>
        <w:tc>
          <w:tcPr>
            <w:tcW w:w="876" w:type="dxa"/>
          </w:tcPr>
          <w:p>
            <w:pPr>
              <w:pStyle w:val="TableParagraph"/>
              <w:spacing w:line="376" w:lineRule="exact"/>
              <w:ind w:left="21" w:right="12"/>
              <w:jc w:val="center"/>
              <w:rPr>
                <w:sz w:val="24"/>
              </w:rPr>
            </w:pPr>
            <w:r>
              <w:rPr>
                <w:sz w:val="24"/>
              </w:rPr>
              <w:t>400mg</w:t>
            </w:r>
          </w:p>
        </w:tc>
        <w:tc>
          <w:tcPr>
            <w:tcW w:w="773" w:type="dxa"/>
          </w:tcPr>
          <w:p>
            <w:pPr>
              <w:pStyle w:val="TableParagraph"/>
              <w:rPr>
                <w:rFonts w:ascii="Times New Roman"/>
                <w:sz w:val="22"/>
              </w:rPr>
            </w:pPr>
          </w:p>
        </w:tc>
        <w:tc>
          <w:tcPr>
            <w:tcW w:w="423" w:type="dxa"/>
            <w:vMerge/>
            <w:tcBorders>
              <w:top w:val="nil"/>
              <w:bottom w:val="nil"/>
            </w:tcBorders>
          </w:tcPr>
          <w:p>
            <w:pPr>
              <w:rPr>
                <w:sz w:val="2"/>
                <w:szCs w:val="2"/>
              </w:rPr>
            </w:pPr>
          </w:p>
        </w:tc>
        <w:tc>
          <w:tcPr>
            <w:tcW w:w="1851" w:type="dxa"/>
          </w:tcPr>
          <w:p>
            <w:pPr>
              <w:pStyle w:val="TableParagraph"/>
              <w:rPr>
                <w:rFonts w:ascii="Times New Roman"/>
                <w:sz w:val="22"/>
              </w:rPr>
            </w:pPr>
          </w:p>
        </w:tc>
        <w:tc>
          <w:tcPr>
            <w:tcW w:w="683" w:type="dxa"/>
          </w:tcPr>
          <w:p>
            <w:pPr>
              <w:pStyle w:val="TableParagraph"/>
              <w:rPr>
                <w:rFonts w:ascii="Times New Roman"/>
                <w:sz w:val="22"/>
              </w:rPr>
            </w:pPr>
          </w:p>
        </w:tc>
        <w:tc>
          <w:tcPr>
            <w:tcW w:w="1102" w:type="dxa"/>
          </w:tcPr>
          <w:p>
            <w:pPr>
              <w:pStyle w:val="TableParagraph"/>
              <w:rPr>
                <w:rFonts w:ascii="Times New Roman"/>
                <w:sz w:val="22"/>
              </w:rPr>
            </w:pPr>
          </w:p>
        </w:tc>
        <w:tc>
          <w:tcPr>
            <w:tcW w:w="717" w:type="dxa"/>
          </w:tcPr>
          <w:p>
            <w:pPr>
              <w:pStyle w:val="TableParagraph"/>
              <w:rPr>
                <w:rFonts w:ascii="Times New Roman"/>
                <w:sz w:val="22"/>
              </w:rPr>
            </w:pPr>
          </w:p>
        </w:tc>
      </w:tr>
      <w:tr>
        <w:trPr>
          <w:trHeight w:val="398" w:hRule="atLeast"/>
        </w:trPr>
        <w:tc>
          <w:tcPr>
            <w:tcW w:w="1699" w:type="dxa"/>
          </w:tcPr>
          <w:p>
            <w:pPr>
              <w:pStyle w:val="TableParagraph"/>
              <w:spacing w:line="377" w:lineRule="exact"/>
              <w:ind w:left="9"/>
              <w:jc w:val="center"/>
              <w:rPr>
                <w:sz w:val="24"/>
              </w:rPr>
            </w:pPr>
            <w:r>
              <w:rPr>
                <w:sz w:val="24"/>
              </w:rPr>
              <w:t>Cycloserine</w:t>
            </w:r>
          </w:p>
        </w:tc>
        <w:tc>
          <w:tcPr>
            <w:tcW w:w="722" w:type="dxa"/>
          </w:tcPr>
          <w:p>
            <w:pPr>
              <w:pStyle w:val="TableParagraph"/>
              <w:rPr>
                <w:rFonts w:ascii="Times New Roman"/>
                <w:sz w:val="22"/>
              </w:rPr>
            </w:pPr>
          </w:p>
        </w:tc>
        <w:tc>
          <w:tcPr>
            <w:tcW w:w="876" w:type="dxa"/>
          </w:tcPr>
          <w:p>
            <w:pPr>
              <w:pStyle w:val="TableParagraph"/>
              <w:spacing w:line="377" w:lineRule="exact"/>
              <w:ind w:left="21" w:right="12"/>
              <w:jc w:val="center"/>
              <w:rPr>
                <w:sz w:val="24"/>
              </w:rPr>
            </w:pPr>
            <w:r>
              <w:rPr>
                <w:sz w:val="24"/>
              </w:rPr>
              <w:t>250mg</w:t>
            </w:r>
          </w:p>
        </w:tc>
        <w:tc>
          <w:tcPr>
            <w:tcW w:w="773" w:type="dxa"/>
          </w:tcPr>
          <w:p>
            <w:pPr>
              <w:pStyle w:val="TableParagraph"/>
              <w:rPr>
                <w:rFonts w:ascii="Times New Roman"/>
                <w:sz w:val="22"/>
              </w:rPr>
            </w:pPr>
          </w:p>
        </w:tc>
        <w:tc>
          <w:tcPr>
            <w:tcW w:w="423" w:type="dxa"/>
            <w:vMerge/>
            <w:tcBorders>
              <w:top w:val="nil"/>
              <w:bottom w:val="nil"/>
            </w:tcBorders>
          </w:tcPr>
          <w:p>
            <w:pPr>
              <w:rPr>
                <w:sz w:val="2"/>
                <w:szCs w:val="2"/>
              </w:rPr>
            </w:pPr>
          </w:p>
        </w:tc>
        <w:tc>
          <w:tcPr>
            <w:tcW w:w="1851" w:type="dxa"/>
          </w:tcPr>
          <w:p>
            <w:pPr>
              <w:pStyle w:val="TableParagraph"/>
              <w:rPr>
                <w:rFonts w:ascii="Times New Roman"/>
                <w:sz w:val="22"/>
              </w:rPr>
            </w:pPr>
          </w:p>
        </w:tc>
        <w:tc>
          <w:tcPr>
            <w:tcW w:w="683" w:type="dxa"/>
          </w:tcPr>
          <w:p>
            <w:pPr>
              <w:pStyle w:val="TableParagraph"/>
              <w:rPr>
                <w:rFonts w:ascii="Times New Roman"/>
                <w:sz w:val="22"/>
              </w:rPr>
            </w:pPr>
          </w:p>
        </w:tc>
        <w:tc>
          <w:tcPr>
            <w:tcW w:w="1102" w:type="dxa"/>
          </w:tcPr>
          <w:p>
            <w:pPr>
              <w:pStyle w:val="TableParagraph"/>
              <w:rPr>
                <w:rFonts w:ascii="Times New Roman"/>
                <w:sz w:val="22"/>
              </w:rPr>
            </w:pPr>
          </w:p>
        </w:tc>
        <w:tc>
          <w:tcPr>
            <w:tcW w:w="717" w:type="dxa"/>
          </w:tcPr>
          <w:p>
            <w:pPr>
              <w:pStyle w:val="TableParagraph"/>
              <w:rPr>
                <w:rFonts w:ascii="Times New Roman"/>
                <w:sz w:val="22"/>
              </w:rPr>
            </w:pPr>
          </w:p>
        </w:tc>
      </w:tr>
    </w:tbl>
    <w:p>
      <w:pPr>
        <w:pStyle w:val="BodyText"/>
        <w:spacing w:before="11"/>
        <w:rPr>
          <w:sz w:val="17"/>
        </w:rPr>
      </w:pPr>
    </w:p>
    <w:p>
      <w:pPr>
        <w:pStyle w:val="Heading7"/>
        <w:spacing w:after="47"/>
        <w:ind w:left="280"/>
        <w:jc w:val="left"/>
      </w:pPr>
      <w:r>
        <w:rPr/>
        <w:t>五、藥物敏感試驗</w:t>
      </w:r>
    </w:p>
    <w:tbl>
      <w:tblPr>
        <w:tblW w:w="0" w:type="auto"/>
        <w:jc w:val="left"/>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6"/>
        <w:gridCol w:w="1450"/>
        <w:gridCol w:w="1449"/>
        <w:gridCol w:w="1450"/>
        <w:gridCol w:w="1448"/>
        <w:gridCol w:w="1365"/>
      </w:tblGrid>
      <w:tr>
        <w:trPr>
          <w:trHeight w:val="359" w:hRule="atLeast"/>
        </w:trPr>
        <w:tc>
          <w:tcPr>
            <w:tcW w:w="1686" w:type="dxa"/>
          </w:tcPr>
          <w:p>
            <w:pPr>
              <w:pStyle w:val="TableParagraph"/>
              <w:tabs>
                <w:tab w:pos="630" w:val="left" w:leader="none"/>
              </w:tabs>
              <w:spacing w:line="340" w:lineRule="exact"/>
              <w:ind w:left="48"/>
              <w:jc w:val="center"/>
              <w:rPr>
                <w:sz w:val="24"/>
              </w:rPr>
            </w:pPr>
            <w:r>
              <w:rPr>
                <w:sz w:val="24"/>
              </w:rPr>
              <w:t>日</w:t>
              <w:tab/>
              <w:t>期</w:t>
            </w:r>
          </w:p>
        </w:tc>
        <w:tc>
          <w:tcPr>
            <w:tcW w:w="1450" w:type="dxa"/>
          </w:tcPr>
          <w:p>
            <w:pPr>
              <w:pStyle w:val="TableParagraph"/>
              <w:rPr>
                <w:rFonts w:ascii="Times New Roman"/>
                <w:sz w:val="22"/>
              </w:rPr>
            </w:pPr>
          </w:p>
        </w:tc>
        <w:tc>
          <w:tcPr>
            <w:tcW w:w="1449" w:type="dxa"/>
          </w:tcPr>
          <w:p>
            <w:pPr>
              <w:pStyle w:val="TableParagraph"/>
              <w:rPr>
                <w:rFonts w:ascii="Times New Roman"/>
                <w:sz w:val="22"/>
              </w:rPr>
            </w:pPr>
          </w:p>
        </w:tc>
        <w:tc>
          <w:tcPr>
            <w:tcW w:w="1450" w:type="dxa"/>
          </w:tcPr>
          <w:p>
            <w:pPr>
              <w:pStyle w:val="TableParagraph"/>
              <w:rPr>
                <w:rFonts w:ascii="Times New Roman"/>
                <w:sz w:val="22"/>
              </w:rPr>
            </w:pPr>
          </w:p>
        </w:tc>
        <w:tc>
          <w:tcPr>
            <w:tcW w:w="1448" w:type="dxa"/>
          </w:tcPr>
          <w:p>
            <w:pPr>
              <w:pStyle w:val="TableParagraph"/>
              <w:rPr>
                <w:rFonts w:ascii="Times New Roman"/>
                <w:sz w:val="22"/>
              </w:rPr>
            </w:pPr>
          </w:p>
        </w:tc>
        <w:tc>
          <w:tcPr>
            <w:tcW w:w="1365" w:type="dxa"/>
          </w:tcPr>
          <w:p>
            <w:pPr>
              <w:pStyle w:val="TableParagraph"/>
              <w:rPr>
                <w:rFonts w:ascii="Times New Roman"/>
                <w:sz w:val="22"/>
              </w:rPr>
            </w:pPr>
          </w:p>
        </w:tc>
      </w:tr>
      <w:tr>
        <w:trPr>
          <w:trHeight w:val="359" w:hRule="atLeast"/>
        </w:trPr>
        <w:tc>
          <w:tcPr>
            <w:tcW w:w="1686" w:type="dxa"/>
          </w:tcPr>
          <w:p>
            <w:pPr>
              <w:pStyle w:val="TableParagraph"/>
              <w:spacing w:line="340" w:lineRule="exact"/>
              <w:ind w:left="10"/>
              <w:jc w:val="center"/>
              <w:rPr>
                <w:sz w:val="24"/>
              </w:rPr>
            </w:pPr>
            <w:r>
              <w:rPr>
                <w:sz w:val="24"/>
              </w:rPr>
              <w:t>檢驗單位</w:t>
            </w:r>
          </w:p>
        </w:tc>
        <w:tc>
          <w:tcPr>
            <w:tcW w:w="1450" w:type="dxa"/>
          </w:tcPr>
          <w:p>
            <w:pPr>
              <w:pStyle w:val="TableParagraph"/>
              <w:rPr>
                <w:rFonts w:ascii="Times New Roman"/>
                <w:sz w:val="22"/>
              </w:rPr>
            </w:pPr>
          </w:p>
        </w:tc>
        <w:tc>
          <w:tcPr>
            <w:tcW w:w="1449" w:type="dxa"/>
          </w:tcPr>
          <w:p>
            <w:pPr>
              <w:pStyle w:val="TableParagraph"/>
              <w:rPr>
                <w:rFonts w:ascii="Times New Roman"/>
                <w:sz w:val="22"/>
              </w:rPr>
            </w:pPr>
          </w:p>
        </w:tc>
        <w:tc>
          <w:tcPr>
            <w:tcW w:w="1450" w:type="dxa"/>
          </w:tcPr>
          <w:p>
            <w:pPr>
              <w:pStyle w:val="TableParagraph"/>
              <w:rPr>
                <w:rFonts w:ascii="Times New Roman"/>
                <w:sz w:val="22"/>
              </w:rPr>
            </w:pPr>
          </w:p>
        </w:tc>
        <w:tc>
          <w:tcPr>
            <w:tcW w:w="1448" w:type="dxa"/>
          </w:tcPr>
          <w:p>
            <w:pPr>
              <w:pStyle w:val="TableParagraph"/>
              <w:rPr>
                <w:rFonts w:ascii="Times New Roman"/>
                <w:sz w:val="22"/>
              </w:rPr>
            </w:pPr>
          </w:p>
        </w:tc>
        <w:tc>
          <w:tcPr>
            <w:tcW w:w="1365" w:type="dxa"/>
          </w:tcPr>
          <w:p>
            <w:pPr>
              <w:pStyle w:val="TableParagraph"/>
              <w:rPr>
                <w:rFonts w:ascii="Times New Roman"/>
                <w:sz w:val="22"/>
              </w:rPr>
            </w:pPr>
          </w:p>
        </w:tc>
      </w:tr>
      <w:tr>
        <w:trPr>
          <w:trHeight w:val="2520" w:hRule="atLeast"/>
        </w:trPr>
        <w:tc>
          <w:tcPr>
            <w:tcW w:w="1686" w:type="dxa"/>
          </w:tcPr>
          <w:p>
            <w:pPr>
              <w:pStyle w:val="TableParagraph"/>
              <w:rPr>
                <w:b/>
                <w:sz w:val="32"/>
              </w:rPr>
            </w:pPr>
          </w:p>
          <w:p>
            <w:pPr>
              <w:pStyle w:val="TableParagraph"/>
              <w:spacing w:before="1"/>
              <w:rPr>
                <w:b/>
                <w:sz w:val="25"/>
              </w:rPr>
            </w:pPr>
          </w:p>
          <w:p>
            <w:pPr>
              <w:pStyle w:val="TableParagraph"/>
              <w:ind w:left="10"/>
              <w:jc w:val="center"/>
              <w:rPr>
                <w:sz w:val="24"/>
              </w:rPr>
            </w:pPr>
            <w:r>
              <w:rPr>
                <w:sz w:val="24"/>
              </w:rPr>
              <w:t>藥物敏感試驗</w:t>
            </w:r>
          </w:p>
        </w:tc>
        <w:tc>
          <w:tcPr>
            <w:tcW w:w="1450" w:type="dxa"/>
          </w:tcPr>
          <w:p>
            <w:pPr>
              <w:pStyle w:val="TableParagraph"/>
              <w:spacing w:line="196" w:lineRule="auto" w:before="27"/>
              <w:ind w:left="178" w:right="166" w:firstLine="50"/>
              <w:jc w:val="both"/>
              <w:rPr>
                <w:sz w:val="24"/>
              </w:rPr>
            </w:pPr>
            <w:r>
              <w:rPr>
                <w:sz w:val="24"/>
              </w:rPr>
              <w:t>INH : S/R EMB : S/R RMP : </w:t>
            </w:r>
            <w:r>
              <w:rPr>
                <w:spacing w:val="-6"/>
                <w:sz w:val="24"/>
              </w:rPr>
              <w:t>S/R </w:t>
            </w:r>
            <w:r>
              <w:rPr>
                <w:sz w:val="24"/>
              </w:rPr>
              <w:t>PZA : S/R SM : S/R</w:t>
            </w:r>
          </w:p>
        </w:tc>
        <w:tc>
          <w:tcPr>
            <w:tcW w:w="1449" w:type="dxa"/>
          </w:tcPr>
          <w:p>
            <w:pPr>
              <w:pStyle w:val="TableParagraph"/>
              <w:rPr>
                <w:rFonts w:ascii="Times New Roman"/>
                <w:sz w:val="22"/>
              </w:rPr>
            </w:pPr>
          </w:p>
        </w:tc>
        <w:tc>
          <w:tcPr>
            <w:tcW w:w="1450" w:type="dxa"/>
          </w:tcPr>
          <w:p>
            <w:pPr>
              <w:pStyle w:val="TableParagraph"/>
              <w:rPr>
                <w:rFonts w:ascii="Times New Roman"/>
                <w:sz w:val="22"/>
              </w:rPr>
            </w:pPr>
          </w:p>
        </w:tc>
        <w:tc>
          <w:tcPr>
            <w:tcW w:w="1448" w:type="dxa"/>
          </w:tcPr>
          <w:p>
            <w:pPr>
              <w:pStyle w:val="TableParagraph"/>
              <w:rPr>
                <w:rFonts w:ascii="Times New Roman"/>
                <w:sz w:val="22"/>
              </w:rPr>
            </w:pPr>
          </w:p>
        </w:tc>
        <w:tc>
          <w:tcPr>
            <w:tcW w:w="1365" w:type="dxa"/>
          </w:tcPr>
          <w:p>
            <w:pPr>
              <w:pStyle w:val="TableParagraph"/>
              <w:rPr>
                <w:rFonts w:ascii="Times New Roman"/>
                <w:sz w:val="22"/>
              </w:rPr>
            </w:pPr>
          </w:p>
        </w:tc>
      </w:tr>
    </w:tbl>
    <w:p>
      <w:pPr>
        <w:spacing w:after="0"/>
        <w:rPr>
          <w:rFonts w:ascii="Times New Roman"/>
          <w:sz w:val="22"/>
        </w:rPr>
        <w:sectPr>
          <w:pgSz w:w="12250" w:h="17190"/>
          <w:pgMar w:header="0" w:footer="828" w:top="1440" w:bottom="1020" w:left="1080" w:right="0"/>
        </w:sectPr>
      </w:pPr>
    </w:p>
    <w:p>
      <w:pPr>
        <w:spacing w:before="22"/>
        <w:ind w:left="280" w:right="0" w:firstLine="0"/>
        <w:jc w:val="left"/>
        <w:rPr>
          <w:b/>
          <w:sz w:val="24"/>
        </w:rPr>
      </w:pPr>
      <w:r>
        <w:rPr/>
        <w:pict>
          <v:group style="position:absolute;margin-left:571.5pt;margin-top:2.630518pt;width:40.9pt;height:317.45pt;mso-position-horizontal-relative:page;mso-position-vertical-relative:paragraph;z-index:251801600" coordorigin="11430,53" coordsize="818,6349">
            <v:shape style="position:absolute;left:11430;top:52;width:818;height:6349" coordorigin="11430,53" coordsize="818,6349" path="m12247,53l11595,53,11531,66,11478,101,11443,154,11430,218,11430,6236,11443,6301,11478,6353,11531,6389,11595,6402,12247,6402,12247,53xe" filled="true" fillcolor="#a6a6a6" stroked="false">
              <v:path arrowok="t"/>
              <v:fill type="solid"/>
            </v:shape>
            <v:shape style="position:absolute;left:11430;top:52;width:818;height:6349" type="#_x0000_t202" filled="false" stroked="false">
              <v:textbox inset="0,0,0,0">
                <w:txbxContent>
                  <w:p>
                    <w:pPr>
                      <w:spacing w:line="146" w:lineRule="auto" w:before="127"/>
                      <w:ind w:left="136" w:right="458" w:firstLine="0"/>
                      <w:jc w:val="both"/>
                      <w:rPr>
                        <w:sz w:val="22"/>
                      </w:rPr>
                    </w:pPr>
                    <w:r>
                      <w:rPr>
                        <w:sz w:val="22"/>
                      </w:rPr>
                      <w:t>第六章</w:t>
                    </w:r>
                  </w:p>
                  <w:p>
                    <w:pPr>
                      <w:spacing w:line="141" w:lineRule="auto" w:before="175"/>
                      <w:ind w:left="136" w:right="458" w:firstLine="0"/>
                      <w:jc w:val="both"/>
                      <w:rPr>
                        <w:sz w:val="22"/>
                      </w:rPr>
                    </w:pPr>
                    <w:r>
                      <w:rPr>
                        <w:sz w:val="22"/>
                      </w:rPr>
                      <w:t>結核病的藥物及藥物交互作用</w:t>
                    </w:r>
                  </w:p>
                  <w:p>
                    <w:pPr>
                      <w:spacing w:line="240" w:lineRule="auto" w:before="18"/>
                      <w:rPr>
                        <w:sz w:val="13"/>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b/>
          <w:sz w:val="24"/>
        </w:rPr>
        <w:t>六、痰塗片檢查結果(至少每三個月檢查一次)</w:t>
      </w:r>
    </w:p>
    <w:p>
      <w:pPr>
        <w:pStyle w:val="BodyText"/>
        <w:spacing w:before="3"/>
        <w:rPr>
          <w:b/>
          <w:sz w:val="8"/>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0"/>
        <w:gridCol w:w="1426"/>
        <w:gridCol w:w="1426"/>
        <w:gridCol w:w="1427"/>
        <w:gridCol w:w="1426"/>
        <w:gridCol w:w="1426"/>
      </w:tblGrid>
      <w:tr>
        <w:trPr>
          <w:trHeight w:val="369" w:hRule="atLeast"/>
        </w:trPr>
        <w:tc>
          <w:tcPr>
            <w:tcW w:w="1720" w:type="dxa"/>
          </w:tcPr>
          <w:p>
            <w:pPr>
              <w:pStyle w:val="TableParagraph"/>
              <w:spacing w:line="349" w:lineRule="exact"/>
              <w:ind w:left="239" w:right="231"/>
              <w:jc w:val="center"/>
              <w:rPr>
                <w:sz w:val="24"/>
              </w:rPr>
            </w:pPr>
            <w:r>
              <w:rPr>
                <w:sz w:val="24"/>
              </w:rPr>
              <w:t>檢查日期</w:t>
            </w:r>
          </w:p>
        </w:tc>
        <w:tc>
          <w:tcPr>
            <w:tcW w:w="1426" w:type="dxa"/>
          </w:tcPr>
          <w:p>
            <w:pPr>
              <w:pStyle w:val="TableParagraph"/>
              <w:rPr>
                <w:rFonts w:ascii="Times New Roman"/>
                <w:sz w:val="22"/>
              </w:rPr>
            </w:pPr>
          </w:p>
        </w:tc>
        <w:tc>
          <w:tcPr>
            <w:tcW w:w="1426" w:type="dxa"/>
          </w:tcPr>
          <w:p>
            <w:pPr>
              <w:pStyle w:val="TableParagraph"/>
              <w:rPr>
                <w:rFonts w:ascii="Times New Roman"/>
                <w:sz w:val="22"/>
              </w:rPr>
            </w:pPr>
          </w:p>
        </w:tc>
        <w:tc>
          <w:tcPr>
            <w:tcW w:w="1427" w:type="dxa"/>
          </w:tcPr>
          <w:p>
            <w:pPr>
              <w:pStyle w:val="TableParagraph"/>
              <w:rPr>
                <w:rFonts w:ascii="Times New Roman"/>
                <w:sz w:val="22"/>
              </w:rPr>
            </w:pPr>
          </w:p>
        </w:tc>
        <w:tc>
          <w:tcPr>
            <w:tcW w:w="1426" w:type="dxa"/>
          </w:tcPr>
          <w:p>
            <w:pPr>
              <w:pStyle w:val="TableParagraph"/>
              <w:rPr>
                <w:rFonts w:ascii="Times New Roman"/>
                <w:sz w:val="22"/>
              </w:rPr>
            </w:pPr>
          </w:p>
        </w:tc>
        <w:tc>
          <w:tcPr>
            <w:tcW w:w="1426" w:type="dxa"/>
          </w:tcPr>
          <w:p>
            <w:pPr>
              <w:pStyle w:val="TableParagraph"/>
              <w:rPr>
                <w:rFonts w:ascii="Times New Roman"/>
                <w:sz w:val="22"/>
              </w:rPr>
            </w:pPr>
          </w:p>
        </w:tc>
      </w:tr>
      <w:tr>
        <w:trPr>
          <w:trHeight w:val="369" w:hRule="atLeast"/>
        </w:trPr>
        <w:tc>
          <w:tcPr>
            <w:tcW w:w="1720" w:type="dxa"/>
          </w:tcPr>
          <w:p>
            <w:pPr>
              <w:pStyle w:val="TableParagraph"/>
              <w:spacing w:line="349" w:lineRule="exact"/>
              <w:ind w:left="239" w:right="231"/>
              <w:jc w:val="center"/>
              <w:rPr>
                <w:sz w:val="24"/>
              </w:rPr>
            </w:pPr>
            <w:r>
              <w:rPr>
                <w:sz w:val="24"/>
              </w:rPr>
              <w:t>痰塗片檢查</w:t>
            </w:r>
          </w:p>
        </w:tc>
        <w:tc>
          <w:tcPr>
            <w:tcW w:w="1426" w:type="dxa"/>
          </w:tcPr>
          <w:p>
            <w:pPr>
              <w:pStyle w:val="TableParagraph"/>
              <w:spacing w:line="349" w:lineRule="exact"/>
              <w:ind w:left="192"/>
              <w:rPr>
                <w:sz w:val="24"/>
              </w:rPr>
            </w:pPr>
            <w:r>
              <w:rPr>
                <w:sz w:val="24"/>
              </w:rPr>
              <w:t>陰性/陽性</w:t>
            </w:r>
          </w:p>
        </w:tc>
        <w:tc>
          <w:tcPr>
            <w:tcW w:w="1426" w:type="dxa"/>
          </w:tcPr>
          <w:p>
            <w:pPr>
              <w:pStyle w:val="TableParagraph"/>
              <w:spacing w:line="349" w:lineRule="exact"/>
              <w:ind w:left="192"/>
              <w:rPr>
                <w:sz w:val="24"/>
              </w:rPr>
            </w:pPr>
            <w:r>
              <w:rPr>
                <w:sz w:val="24"/>
              </w:rPr>
              <w:t>陰性/陽性</w:t>
            </w:r>
          </w:p>
        </w:tc>
        <w:tc>
          <w:tcPr>
            <w:tcW w:w="1427" w:type="dxa"/>
          </w:tcPr>
          <w:p>
            <w:pPr>
              <w:pStyle w:val="TableParagraph"/>
              <w:spacing w:line="349" w:lineRule="exact"/>
              <w:ind w:left="191"/>
              <w:rPr>
                <w:sz w:val="24"/>
              </w:rPr>
            </w:pPr>
            <w:r>
              <w:rPr>
                <w:sz w:val="24"/>
              </w:rPr>
              <w:t>陰性/陽性</w:t>
            </w:r>
          </w:p>
        </w:tc>
        <w:tc>
          <w:tcPr>
            <w:tcW w:w="1426" w:type="dxa"/>
          </w:tcPr>
          <w:p>
            <w:pPr>
              <w:pStyle w:val="TableParagraph"/>
              <w:spacing w:line="349" w:lineRule="exact"/>
              <w:ind w:left="191"/>
              <w:rPr>
                <w:sz w:val="24"/>
              </w:rPr>
            </w:pPr>
            <w:r>
              <w:rPr>
                <w:sz w:val="24"/>
              </w:rPr>
              <w:t>陰性/陽性</w:t>
            </w:r>
          </w:p>
        </w:tc>
        <w:tc>
          <w:tcPr>
            <w:tcW w:w="1426" w:type="dxa"/>
          </w:tcPr>
          <w:p>
            <w:pPr>
              <w:pStyle w:val="TableParagraph"/>
              <w:spacing w:line="349" w:lineRule="exact"/>
              <w:ind w:left="190"/>
              <w:rPr>
                <w:sz w:val="24"/>
              </w:rPr>
            </w:pPr>
            <w:r>
              <w:rPr>
                <w:sz w:val="24"/>
              </w:rPr>
              <w:t>陰性/陽性</w:t>
            </w:r>
          </w:p>
        </w:tc>
      </w:tr>
    </w:tbl>
    <w:p>
      <w:pPr>
        <w:pStyle w:val="BodyText"/>
        <w:spacing w:before="16"/>
        <w:rPr>
          <w:b/>
          <w:sz w:val="17"/>
        </w:rPr>
      </w:pPr>
    </w:p>
    <w:p>
      <w:pPr>
        <w:spacing w:before="0"/>
        <w:ind w:left="280" w:right="0" w:firstLine="0"/>
        <w:jc w:val="left"/>
        <w:rPr>
          <w:b/>
          <w:sz w:val="24"/>
        </w:rPr>
      </w:pPr>
      <w:r>
        <w:rPr>
          <w:b/>
          <w:sz w:val="24"/>
        </w:rPr>
        <w:t>七、痰培養追蹤檢查結果(至少每三個月檢查一次)</w:t>
      </w:r>
    </w:p>
    <w:p>
      <w:pPr>
        <w:pStyle w:val="BodyText"/>
        <w:spacing w:before="3"/>
        <w:rPr>
          <w:b/>
          <w:sz w:val="8"/>
        </w:r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7"/>
        <w:gridCol w:w="1443"/>
        <w:gridCol w:w="1443"/>
        <w:gridCol w:w="1443"/>
        <w:gridCol w:w="1443"/>
        <w:gridCol w:w="1443"/>
      </w:tblGrid>
      <w:tr>
        <w:trPr>
          <w:trHeight w:val="367" w:hRule="atLeast"/>
        </w:trPr>
        <w:tc>
          <w:tcPr>
            <w:tcW w:w="1637" w:type="dxa"/>
          </w:tcPr>
          <w:p>
            <w:pPr>
              <w:pStyle w:val="TableParagraph"/>
              <w:spacing w:line="348" w:lineRule="exact"/>
              <w:ind w:left="198" w:right="189"/>
              <w:jc w:val="center"/>
              <w:rPr>
                <w:sz w:val="24"/>
              </w:rPr>
            </w:pPr>
            <w:r>
              <w:rPr>
                <w:sz w:val="24"/>
              </w:rPr>
              <w:t>檢查日期</w:t>
            </w:r>
          </w:p>
        </w:tc>
        <w:tc>
          <w:tcPr>
            <w:tcW w:w="1443" w:type="dxa"/>
          </w:tcPr>
          <w:p>
            <w:pPr>
              <w:pStyle w:val="TableParagraph"/>
              <w:rPr>
                <w:rFonts w:ascii="Times New Roman"/>
                <w:sz w:val="22"/>
              </w:rPr>
            </w:pPr>
          </w:p>
        </w:tc>
        <w:tc>
          <w:tcPr>
            <w:tcW w:w="1443" w:type="dxa"/>
          </w:tcPr>
          <w:p>
            <w:pPr>
              <w:pStyle w:val="TableParagraph"/>
              <w:rPr>
                <w:rFonts w:ascii="Times New Roman"/>
                <w:sz w:val="22"/>
              </w:rPr>
            </w:pPr>
          </w:p>
        </w:tc>
        <w:tc>
          <w:tcPr>
            <w:tcW w:w="1443" w:type="dxa"/>
          </w:tcPr>
          <w:p>
            <w:pPr>
              <w:pStyle w:val="TableParagraph"/>
              <w:rPr>
                <w:rFonts w:ascii="Times New Roman"/>
                <w:sz w:val="22"/>
              </w:rPr>
            </w:pPr>
          </w:p>
        </w:tc>
        <w:tc>
          <w:tcPr>
            <w:tcW w:w="1443" w:type="dxa"/>
          </w:tcPr>
          <w:p>
            <w:pPr>
              <w:pStyle w:val="TableParagraph"/>
              <w:rPr>
                <w:rFonts w:ascii="Times New Roman"/>
                <w:sz w:val="22"/>
              </w:rPr>
            </w:pPr>
          </w:p>
        </w:tc>
        <w:tc>
          <w:tcPr>
            <w:tcW w:w="1443" w:type="dxa"/>
          </w:tcPr>
          <w:p>
            <w:pPr>
              <w:pStyle w:val="TableParagraph"/>
              <w:rPr>
                <w:rFonts w:ascii="Times New Roman"/>
                <w:sz w:val="22"/>
              </w:rPr>
            </w:pPr>
          </w:p>
        </w:tc>
      </w:tr>
      <w:tr>
        <w:trPr>
          <w:trHeight w:val="370" w:hRule="atLeast"/>
        </w:trPr>
        <w:tc>
          <w:tcPr>
            <w:tcW w:w="1637" w:type="dxa"/>
          </w:tcPr>
          <w:p>
            <w:pPr>
              <w:pStyle w:val="TableParagraph"/>
              <w:spacing w:line="350" w:lineRule="exact"/>
              <w:ind w:left="198" w:right="189"/>
              <w:jc w:val="center"/>
              <w:rPr>
                <w:sz w:val="24"/>
              </w:rPr>
            </w:pPr>
            <w:r>
              <w:rPr>
                <w:sz w:val="24"/>
              </w:rPr>
              <w:t>痰培養檢查</w:t>
            </w:r>
          </w:p>
        </w:tc>
        <w:tc>
          <w:tcPr>
            <w:tcW w:w="1443" w:type="dxa"/>
          </w:tcPr>
          <w:p>
            <w:pPr>
              <w:pStyle w:val="TableParagraph"/>
              <w:spacing w:line="350" w:lineRule="exact"/>
              <w:ind w:left="202"/>
              <w:rPr>
                <w:sz w:val="24"/>
              </w:rPr>
            </w:pPr>
            <w:r>
              <w:rPr>
                <w:sz w:val="24"/>
              </w:rPr>
              <w:t>陰性/陽性</w:t>
            </w:r>
          </w:p>
        </w:tc>
        <w:tc>
          <w:tcPr>
            <w:tcW w:w="1443" w:type="dxa"/>
          </w:tcPr>
          <w:p>
            <w:pPr>
              <w:pStyle w:val="TableParagraph"/>
              <w:spacing w:line="350" w:lineRule="exact"/>
              <w:ind w:left="200"/>
              <w:rPr>
                <w:sz w:val="24"/>
              </w:rPr>
            </w:pPr>
            <w:r>
              <w:rPr>
                <w:sz w:val="24"/>
              </w:rPr>
              <w:t>陰性/陽性</w:t>
            </w:r>
          </w:p>
        </w:tc>
        <w:tc>
          <w:tcPr>
            <w:tcW w:w="1443" w:type="dxa"/>
          </w:tcPr>
          <w:p>
            <w:pPr>
              <w:pStyle w:val="TableParagraph"/>
              <w:spacing w:line="350" w:lineRule="exact"/>
              <w:ind w:left="201"/>
              <w:rPr>
                <w:sz w:val="24"/>
              </w:rPr>
            </w:pPr>
            <w:r>
              <w:rPr>
                <w:sz w:val="24"/>
              </w:rPr>
              <w:t>陰性/陽性</w:t>
            </w:r>
          </w:p>
        </w:tc>
        <w:tc>
          <w:tcPr>
            <w:tcW w:w="1443" w:type="dxa"/>
          </w:tcPr>
          <w:p>
            <w:pPr>
              <w:pStyle w:val="TableParagraph"/>
              <w:spacing w:line="350" w:lineRule="exact"/>
              <w:ind w:left="199"/>
              <w:rPr>
                <w:sz w:val="24"/>
              </w:rPr>
            </w:pPr>
            <w:r>
              <w:rPr>
                <w:sz w:val="24"/>
              </w:rPr>
              <w:t>陰性/陽性</w:t>
            </w:r>
          </w:p>
        </w:tc>
        <w:tc>
          <w:tcPr>
            <w:tcW w:w="1443" w:type="dxa"/>
          </w:tcPr>
          <w:p>
            <w:pPr>
              <w:pStyle w:val="TableParagraph"/>
              <w:spacing w:line="350" w:lineRule="exact"/>
              <w:ind w:left="200"/>
              <w:rPr>
                <w:sz w:val="24"/>
              </w:rPr>
            </w:pPr>
            <w:r>
              <w:rPr>
                <w:sz w:val="24"/>
              </w:rPr>
              <w:t>陰性/陽性</w:t>
            </w:r>
          </w:p>
        </w:tc>
      </w:tr>
    </w:tbl>
    <w:p>
      <w:pPr>
        <w:pStyle w:val="BodyText"/>
        <w:spacing w:before="16"/>
        <w:rPr>
          <w:b/>
          <w:sz w:val="17"/>
        </w:rPr>
      </w:pPr>
    </w:p>
    <w:p>
      <w:pPr>
        <w:spacing w:before="0"/>
        <w:ind w:left="280" w:right="0" w:firstLine="0"/>
        <w:jc w:val="left"/>
        <w:rPr>
          <w:b/>
          <w:sz w:val="24"/>
        </w:rPr>
      </w:pPr>
      <w:r>
        <w:rPr/>
        <w:pict>
          <v:shape style="position:absolute;margin-left:574.289001pt;margin-top:42.15852pt;width:16.650pt;height:5.55pt;mso-position-horizontal-relative:page;mso-position-vertical-relative:paragraph;z-index:251803648"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b/>
          <w:sz w:val="24"/>
        </w:rPr>
        <w:t>八、生化檢查結果 (至少每三個月檢查一次)</w:t>
      </w:r>
    </w:p>
    <w:p>
      <w:pPr>
        <w:pStyle w:val="BodyText"/>
        <w:spacing w:before="2"/>
        <w:rPr>
          <w:b/>
          <w:sz w:val="8"/>
        </w:rPr>
      </w:pPr>
    </w:p>
    <w:tbl>
      <w:tblPr>
        <w:tblW w:w="0" w:type="auto"/>
        <w:jc w:val="left"/>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3"/>
        <w:gridCol w:w="1425"/>
        <w:gridCol w:w="1423"/>
        <w:gridCol w:w="1424"/>
        <w:gridCol w:w="1424"/>
        <w:gridCol w:w="1424"/>
      </w:tblGrid>
      <w:tr>
        <w:trPr>
          <w:trHeight w:val="369" w:hRule="atLeast"/>
        </w:trPr>
        <w:tc>
          <w:tcPr>
            <w:tcW w:w="1733" w:type="dxa"/>
          </w:tcPr>
          <w:p>
            <w:pPr>
              <w:pStyle w:val="TableParagraph"/>
              <w:spacing w:line="349" w:lineRule="exact"/>
              <w:ind w:left="268" w:right="259"/>
              <w:jc w:val="center"/>
              <w:rPr>
                <w:sz w:val="24"/>
              </w:rPr>
            </w:pPr>
            <w:r>
              <w:rPr>
                <w:sz w:val="24"/>
              </w:rPr>
              <w:t>檢查日期</w:t>
            </w:r>
          </w:p>
        </w:tc>
        <w:tc>
          <w:tcPr>
            <w:tcW w:w="1425" w:type="dxa"/>
          </w:tcPr>
          <w:p>
            <w:pPr>
              <w:pStyle w:val="TableParagraph"/>
              <w:rPr>
                <w:rFonts w:ascii="Times New Roman"/>
                <w:sz w:val="22"/>
              </w:rPr>
            </w:pPr>
          </w:p>
        </w:tc>
        <w:tc>
          <w:tcPr>
            <w:tcW w:w="1423"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r>
      <w:tr>
        <w:trPr>
          <w:trHeight w:val="369" w:hRule="atLeast"/>
        </w:trPr>
        <w:tc>
          <w:tcPr>
            <w:tcW w:w="1733" w:type="dxa"/>
          </w:tcPr>
          <w:p>
            <w:pPr>
              <w:pStyle w:val="TableParagraph"/>
              <w:spacing w:line="349" w:lineRule="exact"/>
              <w:ind w:left="268" w:right="259"/>
              <w:jc w:val="center"/>
              <w:rPr>
                <w:sz w:val="24"/>
              </w:rPr>
            </w:pPr>
            <w:r>
              <w:rPr>
                <w:sz w:val="24"/>
              </w:rPr>
              <w:t>AST</w:t>
            </w:r>
          </w:p>
        </w:tc>
        <w:tc>
          <w:tcPr>
            <w:tcW w:w="1425" w:type="dxa"/>
          </w:tcPr>
          <w:p>
            <w:pPr>
              <w:pStyle w:val="TableParagraph"/>
              <w:rPr>
                <w:rFonts w:ascii="Times New Roman"/>
                <w:sz w:val="22"/>
              </w:rPr>
            </w:pPr>
          </w:p>
        </w:tc>
        <w:tc>
          <w:tcPr>
            <w:tcW w:w="1423"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r>
      <w:tr>
        <w:trPr>
          <w:trHeight w:val="369" w:hRule="atLeast"/>
        </w:trPr>
        <w:tc>
          <w:tcPr>
            <w:tcW w:w="1733" w:type="dxa"/>
          </w:tcPr>
          <w:p>
            <w:pPr>
              <w:pStyle w:val="TableParagraph"/>
              <w:spacing w:line="349" w:lineRule="exact"/>
              <w:ind w:left="267" w:right="259"/>
              <w:jc w:val="center"/>
              <w:rPr>
                <w:sz w:val="24"/>
              </w:rPr>
            </w:pPr>
            <w:r>
              <w:rPr>
                <w:sz w:val="24"/>
              </w:rPr>
              <w:t>ALT</w:t>
            </w:r>
          </w:p>
        </w:tc>
        <w:tc>
          <w:tcPr>
            <w:tcW w:w="1425" w:type="dxa"/>
          </w:tcPr>
          <w:p>
            <w:pPr>
              <w:pStyle w:val="TableParagraph"/>
              <w:rPr>
                <w:rFonts w:ascii="Times New Roman"/>
                <w:sz w:val="22"/>
              </w:rPr>
            </w:pPr>
          </w:p>
        </w:tc>
        <w:tc>
          <w:tcPr>
            <w:tcW w:w="1423"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r>
      <w:tr>
        <w:trPr>
          <w:trHeight w:val="369" w:hRule="atLeast"/>
        </w:trPr>
        <w:tc>
          <w:tcPr>
            <w:tcW w:w="1733" w:type="dxa"/>
          </w:tcPr>
          <w:p>
            <w:pPr>
              <w:pStyle w:val="TableParagraph"/>
              <w:spacing w:line="349" w:lineRule="exact"/>
              <w:ind w:left="268" w:right="259"/>
              <w:jc w:val="center"/>
              <w:rPr>
                <w:sz w:val="24"/>
              </w:rPr>
            </w:pPr>
            <w:r>
              <w:rPr>
                <w:sz w:val="24"/>
              </w:rPr>
              <w:t>BUN</w:t>
            </w:r>
          </w:p>
        </w:tc>
        <w:tc>
          <w:tcPr>
            <w:tcW w:w="1425" w:type="dxa"/>
          </w:tcPr>
          <w:p>
            <w:pPr>
              <w:pStyle w:val="TableParagraph"/>
              <w:rPr>
                <w:rFonts w:ascii="Times New Roman"/>
                <w:sz w:val="22"/>
              </w:rPr>
            </w:pPr>
          </w:p>
        </w:tc>
        <w:tc>
          <w:tcPr>
            <w:tcW w:w="1423"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r>
      <w:tr>
        <w:trPr>
          <w:trHeight w:val="365" w:hRule="atLeast"/>
        </w:trPr>
        <w:tc>
          <w:tcPr>
            <w:tcW w:w="1733" w:type="dxa"/>
          </w:tcPr>
          <w:p>
            <w:pPr>
              <w:pStyle w:val="TableParagraph"/>
              <w:spacing w:line="346" w:lineRule="exact"/>
              <w:ind w:left="269" w:right="259"/>
              <w:jc w:val="center"/>
              <w:rPr>
                <w:sz w:val="24"/>
              </w:rPr>
            </w:pPr>
            <w:r>
              <w:rPr>
                <w:sz w:val="24"/>
              </w:rPr>
              <w:t>Creatinine</w:t>
            </w:r>
          </w:p>
        </w:tc>
        <w:tc>
          <w:tcPr>
            <w:tcW w:w="1425" w:type="dxa"/>
          </w:tcPr>
          <w:p>
            <w:pPr>
              <w:pStyle w:val="TableParagraph"/>
              <w:rPr>
                <w:rFonts w:ascii="Times New Roman"/>
                <w:sz w:val="22"/>
              </w:rPr>
            </w:pPr>
          </w:p>
        </w:tc>
        <w:tc>
          <w:tcPr>
            <w:tcW w:w="1423"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r>
      <w:tr>
        <w:trPr>
          <w:trHeight w:val="360" w:hRule="atLeast"/>
        </w:trPr>
        <w:tc>
          <w:tcPr>
            <w:tcW w:w="1733" w:type="dxa"/>
          </w:tcPr>
          <w:p>
            <w:pPr>
              <w:pStyle w:val="TableParagraph"/>
              <w:spacing w:line="341" w:lineRule="exact"/>
              <w:ind w:left="268" w:right="259"/>
              <w:jc w:val="center"/>
              <w:rPr>
                <w:sz w:val="24"/>
              </w:rPr>
            </w:pPr>
            <w:r>
              <w:rPr>
                <w:sz w:val="24"/>
              </w:rPr>
              <w:t>Uric acid</w:t>
            </w:r>
          </w:p>
        </w:tc>
        <w:tc>
          <w:tcPr>
            <w:tcW w:w="1425" w:type="dxa"/>
          </w:tcPr>
          <w:p>
            <w:pPr>
              <w:pStyle w:val="TableParagraph"/>
              <w:rPr>
                <w:rFonts w:ascii="Times New Roman"/>
                <w:sz w:val="22"/>
              </w:rPr>
            </w:pPr>
          </w:p>
        </w:tc>
        <w:tc>
          <w:tcPr>
            <w:tcW w:w="1423"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c>
          <w:tcPr>
            <w:tcW w:w="1424" w:type="dxa"/>
          </w:tcPr>
          <w:p>
            <w:pPr>
              <w:pStyle w:val="TableParagraph"/>
              <w:rPr>
                <w:rFonts w:ascii="Times New Roman"/>
                <w:sz w:val="22"/>
              </w:rPr>
            </w:pPr>
          </w:p>
        </w:tc>
      </w:tr>
    </w:tbl>
    <w:p>
      <w:pPr>
        <w:pStyle w:val="BodyText"/>
        <w:spacing w:before="16"/>
        <w:rPr>
          <w:b/>
          <w:sz w:val="17"/>
        </w:rPr>
      </w:pPr>
    </w:p>
    <w:p>
      <w:pPr>
        <w:spacing w:before="0"/>
        <w:ind w:left="280" w:right="0" w:firstLine="0"/>
        <w:jc w:val="left"/>
        <w:rPr>
          <w:b/>
          <w:sz w:val="24"/>
        </w:rPr>
      </w:pPr>
      <w:r>
        <w:rPr/>
        <w:pict>
          <v:shape style="position:absolute;margin-left:574.289001pt;margin-top:-21.441456pt;width:16.650pt;height:5.55pt;mso-position-horizontal-relative:page;mso-position-vertical-relative:paragraph;z-index:251802624"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b/>
          <w:sz w:val="24"/>
        </w:rPr>
        <w:t>九、CXR的治療結果 (至少每三個月檢查一次)</w:t>
      </w:r>
    </w:p>
    <w:p>
      <w:pPr>
        <w:pStyle w:val="BodyText"/>
        <w:spacing w:before="1"/>
        <w:rPr>
          <w:b/>
          <w:sz w:val="7"/>
        </w:rPr>
      </w:pPr>
    </w:p>
    <w:tbl>
      <w:tblPr>
        <w:tblW w:w="0" w:type="auto"/>
        <w:jc w:val="left"/>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1"/>
        <w:gridCol w:w="1770"/>
        <w:gridCol w:w="1769"/>
        <w:gridCol w:w="1769"/>
        <w:gridCol w:w="1770"/>
      </w:tblGrid>
      <w:tr>
        <w:trPr>
          <w:trHeight w:val="313" w:hRule="atLeast"/>
        </w:trPr>
        <w:tc>
          <w:tcPr>
            <w:tcW w:w="1771" w:type="dxa"/>
          </w:tcPr>
          <w:p>
            <w:pPr>
              <w:pStyle w:val="TableParagraph"/>
              <w:spacing w:line="294" w:lineRule="exact"/>
              <w:ind w:left="107"/>
              <w:rPr>
                <w:rFonts w:ascii="標楷體" w:eastAsia="標楷體" w:hint="eastAsia"/>
                <w:sz w:val="24"/>
              </w:rPr>
            </w:pPr>
            <w:r>
              <w:rPr>
                <w:rFonts w:ascii="標楷體" w:eastAsia="標楷體" w:hint="eastAsia"/>
                <w:sz w:val="24"/>
              </w:rPr>
              <w:t>日期:</w:t>
            </w:r>
          </w:p>
        </w:tc>
        <w:tc>
          <w:tcPr>
            <w:tcW w:w="1770" w:type="dxa"/>
          </w:tcPr>
          <w:p>
            <w:pPr>
              <w:pStyle w:val="TableParagraph"/>
              <w:rPr>
                <w:rFonts w:ascii="Times New Roman"/>
                <w:sz w:val="22"/>
              </w:rPr>
            </w:pPr>
          </w:p>
        </w:tc>
        <w:tc>
          <w:tcPr>
            <w:tcW w:w="1769" w:type="dxa"/>
          </w:tcPr>
          <w:p>
            <w:pPr>
              <w:pStyle w:val="TableParagraph"/>
              <w:rPr>
                <w:rFonts w:ascii="Times New Roman"/>
                <w:sz w:val="22"/>
              </w:rPr>
            </w:pPr>
          </w:p>
        </w:tc>
        <w:tc>
          <w:tcPr>
            <w:tcW w:w="1769" w:type="dxa"/>
          </w:tcPr>
          <w:p>
            <w:pPr>
              <w:pStyle w:val="TableParagraph"/>
              <w:rPr>
                <w:rFonts w:ascii="Times New Roman"/>
                <w:sz w:val="22"/>
              </w:rPr>
            </w:pPr>
          </w:p>
        </w:tc>
        <w:tc>
          <w:tcPr>
            <w:tcW w:w="1770" w:type="dxa"/>
          </w:tcPr>
          <w:p>
            <w:pPr>
              <w:pStyle w:val="TableParagraph"/>
              <w:rPr>
                <w:rFonts w:ascii="Times New Roman"/>
                <w:sz w:val="22"/>
              </w:rPr>
            </w:pPr>
          </w:p>
        </w:tc>
      </w:tr>
      <w:tr>
        <w:trPr>
          <w:trHeight w:val="2663" w:hRule="atLeast"/>
        </w:trPr>
        <w:tc>
          <w:tcPr>
            <w:tcW w:w="1771" w:type="dxa"/>
          </w:tcPr>
          <w:p>
            <w:pPr>
              <w:pStyle w:val="TableParagraph"/>
              <w:spacing w:before="6"/>
              <w:rPr>
                <w:b/>
                <w:sz w:val="9"/>
              </w:rPr>
            </w:pPr>
          </w:p>
          <w:p>
            <w:pPr>
              <w:pStyle w:val="TableParagraph"/>
              <w:ind w:left="244"/>
              <w:rPr>
                <w:sz w:val="20"/>
              </w:rPr>
            </w:pPr>
            <w:r>
              <w:rPr>
                <w:sz w:val="20"/>
              </w:rPr>
              <w:drawing>
                <wp:inline distT="0" distB="0" distL="0" distR="0">
                  <wp:extent cx="708425" cy="804672"/>
                  <wp:effectExtent l="0" t="0" r="0" b="0"/>
                  <wp:docPr id="9" name="image7.png" descr="lung"/>
                  <wp:cNvGraphicFramePr>
                    <a:graphicFrameLocks noChangeAspect="1"/>
                  </wp:cNvGraphicFramePr>
                  <a:graphic>
                    <a:graphicData uri="http://schemas.openxmlformats.org/drawingml/2006/picture">
                      <pic:pic>
                        <pic:nvPicPr>
                          <pic:cNvPr id="10" name="image7.png"/>
                          <pic:cNvPicPr/>
                        </pic:nvPicPr>
                        <pic:blipFill>
                          <a:blip r:embed="rId49" cstate="print"/>
                          <a:stretch>
                            <a:fillRect/>
                          </a:stretch>
                        </pic:blipFill>
                        <pic:spPr>
                          <a:xfrm>
                            <a:off x="0" y="0"/>
                            <a:ext cx="708425" cy="804672"/>
                          </a:xfrm>
                          <a:prstGeom prst="rect">
                            <a:avLst/>
                          </a:prstGeom>
                        </pic:spPr>
                      </pic:pic>
                    </a:graphicData>
                  </a:graphic>
                </wp:inline>
              </w:drawing>
            </w:r>
            <w:r>
              <w:rPr>
                <w:sz w:val="20"/>
              </w:rPr>
            </w:r>
          </w:p>
        </w:tc>
        <w:tc>
          <w:tcPr>
            <w:tcW w:w="1770" w:type="dxa"/>
          </w:tcPr>
          <w:p>
            <w:pPr>
              <w:pStyle w:val="TableParagraph"/>
              <w:spacing w:before="6"/>
              <w:rPr>
                <w:b/>
                <w:sz w:val="9"/>
              </w:rPr>
            </w:pPr>
          </w:p>
          <w:p>
            <w:pPr>
              <w:pStyle w:val="TableParagraph"/>
              <w:ind w:left="244"/>
              <w:rPr>
                <w:sz w:val="20"/>
              </w:rPr>
            </w:pPr>
            <w:r>
              <w:rPr>
                <w:sz w:val="20"/>
              </w:rPr>
              <w:drawing>
                <wp:inline distT="0" distB="0" distL="0" distR="0">
                  <wp:extent cx="708423" cy="804672"/>
                  <wp:effectExtent l="0" t="0" r="0" b="0"/>
                  <wp:docPr id="11" name="image7.png" descr="lung"/>
                  <wp:cNvGraphicFramePr>
                    <a:graphicFrameLocks noChangeAspect="1"/>
                  </wp:cNvGraphicFramePr>
                  <a:graphic>
                    <a:graphicData uri="http://schemas.openxmlformats.org/drawingml/2006/picture">
                      <pic:pic>
                        <pic:nvPicPr>
                          <pic:cNvPr id="12" name="image7.png"/>
                          <pic:cNvPicPr/>
                        </pic:nvPicPr>
                        <pic:blipFill>
                          <a:blip r:embed="rId49" cstate="print"/>
                          <a:stretch>
                            <a:fillRect/>
                          </a:stretch>
                        </pic:blipFill>
                        <pic:spPr>
                          <a:xfrm>
                            <a:off x="0" y="0"/>
                            <a:ext cx="708423" cy="804672"/>
                          </a:xfrm>
                          <a:prstGeom prst="rect">
                            <a:avLst/>
                          </a:prstGeom>
                        </pic:spPr>
                      </pic:pic>
                    </a:graphicData>
                  </a:graphic>
                </wp:inline>
              </w:drawing>
            </w:r>
            <w:r>
              <w:rPr>
                <w:sz w:val="20"/>
              </w:rPr>
            </w:r>
          </w:p>
        </w:tc>
        <w:tc>
          <w:tcPr>
            <w:tcW w:w="1769" w:type="dxa"/>
          </w:tcPr>
          <w:p>
            <w:pPr>
              <w:pStyle w:val="TableParagraph"/>
              <w:spacing w:before="6"/>
              <w:rPr>
                <w:b/>
                <w:sz w:val="9"/>
              </w:rPr>
            </w:pPr>
          </w:p>
          <w:p>
            <w:pPr>
              <w:pStyle w:val="TableParagraph"/>
              <w:ind w:left="244"/>
              <w:rPr>
                <w:sz w:val="20"/>
              </w:rPr>
            </w:pPr>
            <w:r>
              <w:rPr>
                <w:sz w:val="20"/>
              </w:rPr>
              <w:drawing>
                <wp:inline distT="0" distB="0" distL="0" distR="0">
                  <wp:extent cx="708423" cy="804672"/>
                  <wp:effectExtent l="0" t="0" r="0" b="0"/>
                  <wp:docPr id="13" name="image7.png" descr="lung"/>
                  <wp:cNvGraphicFramePr>
                    <a:graphicFrameLocks noChangeAspect="1"/>
                  </wp:cNvGraphicFramePr>
                  <a:graphic>
                    <a:graphicData uri="http://schemas.openxmlformats.org/drawingml/2006/picture">
                      <pic:pic>
                        <pic:nvPicPr>
                          <pic:cNvPr id="14" name="image7.png"/>
                          <pic:cNvPicPr/>
                        </pic:nvPicPr>
                        <pic:blipFill>
                          <a:blip r:embed="rId49" cstate="print"/>
                          <a:stretch>
                            <a:fillRect/>
                          </a:stretch>
                        </pic:blipFill>
                        <pic:spPr>
                          <a:xfrm>
                            <a:off x="0" y="0"/>
                            <a:ext cx="708423" cy="804672"/>
                          </a:xfrm>
                          <a:prstGeom prst="rect">
                            <a:avLst/>
                          </a:prstGeom>
                        </pic:spPr>
                      </pic:pic>
                    </a:graphicData>
                  </a:graphic>
                </wp:inline>
              </w:drawing>
            </w:r>
            <w:r>
              <w:rPr>
                <w:sz w:val="20"/>
              </w:rPr>
            </w:r>
          </w:p>
        </w:tc>
        <w:tc>
          <w:tcPr>
            <w:tcW w:w="1769" w:type="dxa"/>
          </w:tcPr>
          <w:p>
            <w:pPr>
              <w:pStyle w:val="TableParagraph"/>
              <w:spacing w:before="6"/>
              <w:rPr>
                <w:b/>
                <w:sz w:val="9"/>
              </w:rPr>
            </w:pPr>
          </w:p>
          <w:p>
            <w:pPr>
              <w:pStyle w:val="TableParagraph"/>
              <w:ind w:left="244"/>
              <w:rPr>
                <w:sz w:val="20"/>
              </w:rPr>
            </w:pPr>
            <w:r>
              <w:rPr>
                <w:sz w:val="20"/>
              </w:rPr>
              <w:drawing>
                <wp:inline distT="0" distB="0" distL="0" distR="0">
                  <wp:extent cx="708425" cy="804672"/>
                  <wp:effectExtent l="0" t="0" r="0" b="0"/>
                  <wp:docPr id="15" name="image7.png" descr="lung"/>
                  <wp:cNvGraphicFramePr>
                    <a:graphicFrameLocks noChangeAspect="1"/>
                  </wp:cNvGraphicFramePr>
                  <a:graphic>
                    <a:graphicData uri="http://schemas.openxmlformats.org/drawingml/2006/picture">
                      <pic:pic>
                        <pic:nvPicPr>
                          <pic:cNvPr id="16" name="image7.png"/>
                          <pic:cNvPicPr/>
                        </pic:nvPicPr>
                        <pic:blipFill>
                          <a:blip r:embed="rId49" cstate="print"/>
                          <a:stretch>
                            <a:fillRect/>
                          </a:stretch>
                        </pic:blipFill>
                        <pic:spPr>
                          <a:xfrm>
                            <a:off x="0" y="0"/>
                            <a:ext cx="708425" cy="804672"/>
                          </a:xfrm>
                          <a:prstGeom prst="rect">
                            <a:avLst/>
                          </a:prstGeom>
                        </pic:spPr>
                      </pic:pic>
                    </a:graphicData>
                  </a:graphic>
                </wp:inline>
              </w:drawing>
            </w:r>
            <w:r>
              <w:rPr>
                <w:sz w:val="20"/>
              </w:rPr>
            </w:r>
          </w:p>
        </w:tc>
        <w:tc>
          <w:tcPr>
            <w:tcW w:w="1770" w:type="dxa"/>
          </w:tcPr>
          <w:p>
            <w:pPr>
              <w:pStyle w:val="TableParagraph"/>
              <w:spacing w:before="6"/>
              <w:rPr>
                <w:b/>
                <w:sz w:val="9"/>
              </w:rPr>
            </w:pPr>
          </w:p>
          <w:p>
            <w:pPr>
              <w:pStyle w:val="TableParagraph"/>
              <w:ind w:left="244"/>
              <w:rPr>
                <w:sz w:val="20"/>
              </w:rPr>
            </w:pPr>
            <w:r>
              <w:rPr>
                <w:sz w:val="20"/>
              </w:rPr>
              <w:drawing>
                <wp:inline distT="0" distB="0" distL="0" distR="0">
                  <wp:extent cx="708425" cy="804672"/>
                  <wp:effectExtent l="0" t="0" r="0" b="0"/>
                  <wp:docPr id="17" name="image7.png" descr="lung"/>
                  <wp:cNvGraphicFramePr>
                    <a:graphicFrameLocks noChangeAspect="1"/>
                  </wp:cNvGraphicFramePr>
                  <a:graphic>
                    <a:graphicData uri="http://schemas.openxmlformats.org/drawingml/2006/picture">
                      <pic:pic>
                        <pic:nvPicPr>
                          <pic:cNvPr id="18" name="image7.png"/>
                          <pic:cNvPicPr/>
                        </pic:nvPicPr>
                        <pic:blipFill>
                          <a:blip r:embed="rId49" cstate="print"/>
                          <a:stretch>
                            <a:fillRect/>
                          </a:stretch>
                        </pic:blipFill>
                        <pic:spPr>
                          <a:xfrm>
                            <a:off x="0" y="0"/>
                            <a:ext cx="708425" cy="804672"/>
                          </a:xfrm>
                          <a:prstGeom prst="rect">
                            <a:avLst/>
                          </a:prstGeom>
                        </pic:spPr>
                      </pic:pic>
                    </a:graphicData>
                  </a:graphic>
                </wp:inline>
              </w:drawing>
            </w:r>
            <w:r>
              <w:rPr>
                <w:sz w:val="20"/>
              </w:rPr>
            </w:r>
          </w:p>
        </w:tc>
      </w:tr>
    </w:tbl>
    <w:p>
      <w:pPr>
        <w:pStyle w:val="BodyText"/>
        <w:spacing w:before="16"/>
        <w:rPr>
          <w:b/>
          <w:sz w:val="18"/>
        </w:rPr>
      </w:pPr>
    </w:p>
    <w:p>
      <w:pPr>
        <w:spacing w:before="1"/>
        <w:ind w:left="280" w:right="0" w:firstLine="0"/>
        <w:jc w:val="left"/>
        <w:rPr>
          <w:b/>
          <w:sz w:val="24"/>
        </w:rPr>
      </w:pPr>
      <w:r>
        <w:rPr>
          <w:b/>
          <w:sz w:val="24"/>
        </w:rPr>
        <w:t>十、病程摘要</w:t>
      </w:r>
    </w:p>
    <w:p>
      <w:pPr>
        <w:spacing w:after="0"/>
        <w:jc w:val="left"/>
        <w:rPr>
          <w:sz w:val="24"/>
        </w:rPr>
        <w:sectPr>
          <w:pgSz w:w="12250" w:h="17190"/>
          <w:pgMar w:header="0" w:footer="828" w:top="1420" w:bottom="1020" w:left="1080" w:right="0"/>
        </w:sectPr>
      </w:pPr>
    </w:p>
    <w:p>
      <w:pPr>
        <w:spacing w:before="22"/>
        <w:ind w:left="280" w:right="0" w:firstLine="0"/>
        <w:jc w:val="left"/>
        <w:rPr>
          <w:b/>
          <w:sz w:val="24"/>
        </w:rPr>
      </w:pPr>
      <w:r>
        <w:rPr/>
        <w:pict>
          <v:rect style="position:absolute;margin-left:69.650002pt;margin-top:29.180819pt;width:467.1pt;height:675.6pt;mso-position-horizontal-relative:page;mso-position-vertical-relative:paragraph;z-index:-251511808;mso-wrap-distance-left:0;mso-wrap-distance-right:0" filled="false" stroked="true" strokeweight=".75pt" strokecolor="#000000">
            <v:stroke dashstyle="solid"/>
            <w10:wrap type="topAndBottom"/>
          </v:rect>
        </w:pict>
      </w:r>
      <w:r>
        <w:rPr>
          <w:b/>
          <w:sz w:val="24"/>
        </w:rPr>
        <w:t>十一、歷次CXR</w:t>
      </w:r>
    </w:p>
    <w:p>
      <w:pPr>
        <w:spacing w:after="0"/>
        <w:jc w:val="left"/>
        <w:rPr>
          <w:sz w:val="24"/>
        </w:rPr>
        <w:sectPr>
          <w:pgSz w:w="12250" w:h="17190"/>
          <w:pgMar w:header="0" w:footer="828" w:top="1420" w:bottom="1020" w:left="1080" w:right="0"/>
        </w:sectPr>
      </w:pPr>
    </w:p>
    <w:p>
      <w:pPr>
        <w:spacing w:before="18"/>
        <w:ind w:left="280" w:right="0" w:firstLine="0"/>
        <w:jc w:val="left"/>
        <w:rPr>
          <w:b/>
          <w:sz w:val="24"/>
        </w:rPr>
      </w:pPr>
      <w:r>
        <w:rPr/>
        <w:pict>
          <v:group style="position:absolute;margin-left:571.5pt;margin-top:5.61051pt;width:40.9pt;height:317.45pt;mso-position-horizontal-relative:page;mso-position-vertical-relative:paragraph;z-index:251806720" coordorigin="11430,112" coordsize="818,6349">
            <v:shape style="position:absolute;left:11430;top:112;width:818;height:6349" coordorigin="11430,112" coordsize="818,6349" path="m12247,112l11595,112,11531,125,11478,161,11443,213,11430,278,11430,6296,11443,6360,11478,6413,11531,6448,11595,6461,12247,6461,12247,112xe" filled="true" fillcolor="#a6a6a6" stroked="false">
              <v:path arrowok="t"/>
              <v:fill type="solid"/>
            </v:shape>
            <v:shape style="position:absolute;left:11430;top:112;width:818;height:6349" type="#_x0000_t202" filled="false" stroked="false">
              <v:textbox inset="0,0,0,0">
                <w:txbxContent>
                  <w:p>
                    <w:pPr>
                      <w:spacing w:line="146" w:lineRule="auto" w:before="127"/>
                      <w:ind w:left="136" w:right="458" w:firstLine="0"/>
                      <w:jc w:val="both"/>
                      <w:rPr>
                        <w:sz w:val="22"/>
                      </w:rPr>
                    </w:pPr>
                    <w:r>
                      <w:rPr>
                        <w:sz w:val="22"/>
                      </w:rPr>
                      <w:t>第六章</w:t>
                    </w:r>
                  </w:p>
                  <w:p>
                    <w:pPr>
                      <w:spacing w:line="141" w:lineRule="auto" w:before="175"/>
                      <w:ind w:left="136" w:right="458" w:firstLine="0"/>
                      <w:jc w:val="both"/>
                      <w:rPr>
                        <w:sz w:val="22"/>
                      </w:rPr>
                    </w:pPr>
                    <w:r>
                      <w:rPr>
                        <w:sz w:val="22"/>
                      </w:rPr>
                      <w:t>結核病的藥物及藥物交互作用</w:t>
                    </w:r>
                  </w:p>
                  <w:p>
                    <w:pPr>
                      <w:spacing w:line="240" w:lineRule="auto" w:before="18"/>
                      <w:rPr>
                        <w:sz w:val="13"/>
                      </w:rPr>
                    </w:pPr>
                  </w:p>
                  <w:p>
                    <w:pPr>
                      <w:spacing w:line="141" w:lineRule="auto" w:before="0"/>
                      <w:ind w:left="136" w:right="458" w:firstLine="0"/>
                      <w:jc w:val="both"/>
                      <w:rPr>
                        <w:sz w:val="22"/>
                      </w:rPr>
                    </w:pPr>
                    <w:r>
                      <w:rPr>
                        <w:sz w:val="22"/>
                      </w:rPr>
                      <w:t>含公費藥物申請</w:t>
                    </w:r>
                  </w:p>
                </w:txbxContent>
              </v:textbox>
              <w10:wrap type="none"/>
            </v:shape>
            <w10:wrap type="none"/>
          </v:group>
        </w:pict>
      </w:r>
      <w:r>
        <w:rPr/>
        <w:pict>
          <v:shape style="position:absolute;margin-left:574.289001pt;margin-top:379.117615pt;width:16.650pt;height:5.55pt;mso-position-horizontal-relative:page;mso-position-vertical-relative:page;z-index:251807744"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pict>
          <v:shape style="position:absolute;margin-left:574.289001pt;margin-top:283.117615pt;width:16.650pt;height:5.55pt;mso-position-horizontal-relative:page;mso-position-vertical-relative:page;z-index:251808768" type="#_x0000_t202" filled="false" stroked="false">
            <v:textbox inset="0,0,0,0" style="layout-flow:vertical;mso-layout-flow-alt:bottom-to-top">
              <w:txbxContent>
                <w:p>
                  <w:pPr>
                    <w:spacing w:line="332" w:lineRule="exact" w:before="0"/>
                    <w:ind w:left="20" w:right="0" w:firstLine="0"/>
                    <w:jc w:val="left"/>
                    <w:rPr>
                      <w:sz w:val="22"/>
                    </w:rPr>
                  </w:pPr>
                  <w:r>
                    <w:rPr>
                      <w:w w:val="99"/>
                      <w:sz w:val="22"/>
                    </w:rPr>
                    <w:t>)</w:t>
                  </w:r>
                </w:p>
              </w:txbxContent>
            </v:textbox>
            <w10:wrap type="none"/>
          </v:shape>
        </w:pict>
      </w:r>
      <w:r>
        <w:rPr>
          <w:b/>
          <w:sz w:val="24"/>
        </w:rPr>
        <w:t>十二、結核病個案治療紀錄卡</w:t>
      </w:r>
    </w:p>
    <w:p>
      <w:pPr>
        <w:pStyle w:val="BodyText"/>
        <w:spacing w:before="11"/>
        <w:rPr>
          <w:b/>
          <w:sz w:val="7"/>
        </w:rPr>
      </w:pPr>
    </w:p>
    <w:tbl>
      <w:tblPr>
        <w:tblW w:w="0" w:type="auto"/>
        <w:jc w:val="left"/>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96"/>
        <w:gridCol w:w="513"/>
        <w:gridCol w:w="514"/>
        <w:gridCol w:w="513"/>
        <w:gridCol w:w="513"/>
        <w:gridCol w:w="515"/>
        <w:gridCol w:w="514"/>
        <w:gridCol w:w="514"/>
        <w:gridCol w:w="514"/>
        <w:gridCol w:w="514"/>
        <w:gridCol w:w="514"/>
        <w:gridCol w:w="515"/>
        <w:gridCol w:w="514"/>
        <w:gridCol w:w="636"/>
      </w:tblGrid>
      <w:tr>
        <w:trPr>
          <w:trHeight w:val="480" w:hRule="atLeast"/>
        </w:trPr>
        <w:tc>
          <w:tcPr>
            <w:tcW w:w="9799" w:type="dxa"/>
            <w:gridSpan w:val="14"/>
            <w:tcBorders>
              <w:bottom w:val="single" w:sz="4" w:space="0" w:color="000000"/>
            </w:tcBorders>
          </w:tcPr>
          <w:p>
            <w:pPr>
              <w:pStyle w:val="TableParagraph"/>
              <w:tabs>
                <w:tab w:pos="2117" w:val="left" w:leader="none"/>
                <w:tab w:pos="4402" w:val="left" w:leader="none"/>
                <w:tab w:pos="7102" w:val="left" w:leader="none"/>
                <w:tab w:pos="8467" w:val="left" w:leader="none"/>
                <w:tab w:pos="8985" w:val="left" w:leader="none"/>
                <w:tab w:pos="9503" w:val="left" w:leader="none"/>
              </w:tabs>
              <w:spacing w:before="56"/>
              <w:ind w:left="53"/>
              <w:rPr>
                <w:sz w:val="22"/>
              </w:rPr>
            </w:pPr>
            <w:r>
              <w:rPr>
                <w:spacing w:val="-8"/>
                <w:sz w:val="22"/>
              </w:rPr>
              <w:t>姓名</w:t>
            </w:r>
            <w:r>
              <w:rPr>
                <w:sz w:val="22"/>
              </w:rPr>
              <w:t>：</w:t>
              <w:tab/>
            </w:r>
            <w:r>
              <w:rPr>
                <w:spacing w:val="-8"/>
                <w:sz w:val="22"/>
              </w:rPr>
              <w:t>病歷號碼</w:t>
            </w:r>
            <w:r>
              <w:rPr>
                <w:sz w:val="22"/>
              </w:rPr>
              <w:t>：</w:t>
              <w:tab/>
            </w:r>
            <w:r>
              <w:rPr>
                <w:spacing w:val="-8"/>
                <w:sz w:val="22"/>
              </w:rPr>
              <w:t>身分證字</w:t>
            </w:r>
            <w:r>
              <w:rPr>
                <w:spacing w:val="-9"/>
                <w:sz w:val="22"/>
              </w:rPr>
              <w:t>號</w:t>
            </w:r>
            <w:r>
              <w:rPr>
                <w:sz w:val="22"/>
              </w:rPr>
              <w:t>：</w:t>
              <w:tab/>
            </w:r>
            <w:r>
              <w:rPr>
                <w:spacing w:val="-8"/>
                <w:sz w:val="22"/>
              </w:rPr>
              <w:t>出生日</w:t>
            </w:r>
            <w:r>
              <w:rPr>
                <w:spacing w:val="-9"/>
                <w:sz w:val="22"/>
              </w:rPr>
              <w:t>期</w:t>
            </w:r>
            <w:r>
              <w:rPr>
                <w:sz w:val="22"/>
              </w:rPr>
              <w:t>：</w:t>
              <w:tab/>
              <w:t>年</w:t>
              <w:tab/>
              <w:t>月</w:t>
              <w:tab/>
              <w:t>日</w:t>
            </w: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1259" w:right="1239"/>
              <w:jc w:val="center"/>
              <w:rPr>
                <w:sz w:val="22"/>
              </w:rPr>
            </w:pPr>
            <w:r>
              <w:rPr>
                <w:sz w:val="22"/>
              </w:rPr>
              <w:t>日期</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1" w:hRule="atLeast"/>
        </w:trPr>
        <w:tc>
          <w:tcPr>
            <w:tcW w:w="2996" w:type="dxa"/>
            <w:tcBorders>
              <w:top w:val="single" w:sz="4" w:space="0" w:color="000000"/>
              <w:bottom w:val="single" w:sz="4" w:space="0" w:color="000000"/>
              <w:right w:val="single" w:sz="6" w:space="0" w:color="000000"/>
            </w:tcBorders>
          </w:tcPr>
          <w:p>
            <w:pPr>
              <w:pStyle w:val="TableParagraph"/>
              <w:spacing w:line="361" w:lineRule="exact"/>
              <w:ind w:left="53"/>
              <w:rPr>
                <w:sz w:val="22"/>
              </w:rPr>
            </w:pPr>
            <w:r>
              <w:rPr>
                <w:sz w:val="22"/>
              </w:rPr>
              <w:t>藥物種類劑量/用藥天數</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INH</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1" w:hRule="atLeast"/>
        </w:trPr>
        <w:tc>
          <w:tcPr>
            <w:tcW w:w="2996" w:type="dxa"/>
            <w:tcBorders>
              <w:top w:val="single" w:sz="4" w:space="0" w:color="000000"/>
              <w:bottom w:val="single" w:sz="4" w:space="0" w:color="000000"/>
              <w:right w:val="single" w:sz="6" w:space="0" w:color="000000"/>
            </w:tcBorders>
          </w:tcPr>
          <w:p>
            <w:pPr>
              <w:pStyle w:val="TableParagraph"/>
              <w:spacing w:line="361" w:lineRule="exact"/>
              <w:ind w:left="53"/>
              <w:rPr>
                <w:sz w:val="22"/>
              </w:rPr>
            </w:pPr>
            <w:r>
              <w:rPr>
                <w:sz w:val="22"/>
              </w:rPr>
              <w:t>EMB 400mg</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RMP</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79"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PZA 500mg</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1" w:hRule="atLeast"/>
        </w:trPr>
        <w:tc>
          <w:tcPr>
            <w:tcW w:w="2996" w:type="dxa"/>
            <w:tcBorders>
              <w:top w:val="single" w:sz="4" w:space="0" w:color="000000"/>
              <w:bottom w:val="single" w:sz="4" w:space="0" w:color="000000"/>
              <w:right w:val="single" w:sz="6" w:space="0" w:color="000000"/>
            </w:tcBorders>
          </w:tcPr>
          <w:p>
            <w:pPr>
              <w:pStyle w:val="TableParagraph"/>
              <w:spacing w:line="361" w:lineRule="exact"/>
              <w:ind w:left="53"/>
              <w:rPr>
                <w:sz w:val="22"/>
              </w:rPr>
            </w:pPr>
            <w:r>
              <w:rPr>
                <w:sz w:val="22"/>
              </w:rPr>
              <w:t>複方:</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79"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TBN 250mg</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CS 250mg</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tabs>
                <w:tab w:pos="1223" w:val="left" w:leader="none"/>
              </w:tabs>
              <w:spacing w:line="353" w:lineRule="exact" w:before="7"/>
              <w:ind w:left="53"/>
              <w:rPr>
                <w:sz w:val="22"/>
              </w:rPr>
            </w:pPr>
            <w:r>
              <w:rPr>
                <w:spacing w:val="-7"/>
                <w:sz w:val="22"/>
              </w:rPr>
              <w:t>LEVO</w:t>
            </w:r>
            <w:r>
              <w:rPr>
                <w:spacing w:val="-7"/>
                <w:sz w:val="22"/>
                <w:u w:val="single"/>
              </w:rPr>
              <w:t> </w:t>
              <w:tab/>
            </w:r>
            <w:r>
              <w:rPr>
                <w:spacing w:val="-6"/>
                <w:sz w:val="22"/>
              </w:rPr>
              <w:t>mg/MOXI</w:t>
            </w:r>
            <w:r>
              <w:rPr>
                <w:spacing w:val="-11"/>
                <w:sz w:val="22"/>
              </w:rPr>
              <w:t> </w:t>
            </w:r>
            <w:r>
              <w:rPr>
                <w:spacing w:val="-5"/>
                <w:sz w:val="22"/>
              </w:rPr>
              <w:t>400mg</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79" w:hRule="atLeast"/>
        </w:trPr>
        <w:tc>
          <w:tcPr>
            <w:tcW w:w="2996" w:type="dxa"/>
            <w:tcBorders>
              <w:top w:val="single" w:sz="4" w:space="0" w:color="000000"/>
              <w:bottom w:val="single" w:sz="4" w:space="0" w:color="000000"/>
              <w:right w:val="single" w:sz="6" w:space="0" w:color="000000"/>
            </w:tcBorders>
          </w:tcPr>
          <w:p>
            <w:pPr>
              <w:pStyle w:val="TableParagraph"/>
              <w:spacing w:line="356" w:lineRule="exact" w:before="3"/>
              <w:ind w:left="53"/>
              <w:rPr>
                <w:sz w:val="22"/>
              </w:rPr>
            </w:pPr>
            <w:r>
              <w:rPr>
                <w:spacing w:val="-3"/>
                <w:sz w:val="22"/>
              </w:rPr>
              <w:t>KM </w:t>
            </w:r>
            <w:r>
              <w:rPr>
                <w:spacing w:val="-6"/>
                <w:sz w:val="22"/>
              </w:rPr>
              <w:t>1gm/SM 1gm/AM500mg</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日期</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79"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體重</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Ｘ光</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塗片</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79"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培養</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ID/DST</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日期</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79"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V/A</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AC sugar</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PC sugar</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79"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AST</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ALT</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T-bil</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79"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BUN</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Cr</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UA</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79"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WBC（×10</w:t>
            </w:r>
            <w:r>
              <w:rPr>
                <w:position w:val="10"/>
                <w:sz w:val="14"/>
              </w:rPr>
              <w:t>3</w:t>
            </w:r>
            <w:r>
              <w:rPr>
                <w:sz w:val="22"/>
              </w:rPr>
              <w:t>）</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RBC（×10</w:t>
            </w:r>
            <w:r>
              <w:rPr>
                <w:position w:val="10"/>
                <w:sz w:val="14"/>
              </w:rPr>
              <w:t>6</w:t>
            </w:r>
            <w:r>
              <w:rPr>
                <w:sz w:val="22"/>
              </w:rPr>
              <w:t>）</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80"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Hb</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379" w:hRule="atLeast"/>
        </w:trPr>
        <w:tc>
          <w:tcPr>
            <w:tcW w:w="2996" w:type="dxa"/>
            <w:tcBorders>
              <w:top w:val="single" w:sz="4" w:space="0" w:color="000000"/>
              <w:bottom w:val="single" w:sz="4" w:space="0" w:color="000000"/>
              <w:right w:val="single" w:sz="6" w:space="0" w:color="000000"/>
            </w:tcBorders>
          </w:tcPr>
          <w:p>
            <w:pPr>
              <w:pStyle w:val="TableParagraph"/>
              <w:spacing w:line="360" w:lineRule="exact"/>
              <w:ind w:left="53"/>
              <w:rPr>
                <w:sz w:val="22"/>
              </w:rPr>
            </w:pPr>
            <w:r>
              <w:rPr>
                <w:sz w:val="22"/>
              </w:rPr>
              <w:t>Plat（×10</w:t>
            </w:r>
            <w:r>
              <w:rPr>
                <w:position w:val="10"/>
                <w:sz w:val="14"/>
              </w:rPr>
              <w:t>3</w:t>
            </w:r>
            <w:r>
              <w:rPr>
                <w:sz w:val="22"/>
              </w:rPr>
              <w:t>）</w:t>
            </w: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3"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5"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514" w:type="dxa"/>
            <w:tcBorders>
              <w:top w:val="single" w:sz="4" w:space="0" w:color="000000"/>
              <w:left w:val="single" w:sz="6" w:space="0" w:color="000000"/>
              <w:bottom w:val="single" w:sz="4" w:space="0" w:color="000000"/>
              <w:right w:val="single" w:sz="6" w:space="0" w:color="000000"/>
            </w:tcBorders>
          </w:tcPr>
          <w:p>
            <w:pPr>
              <w:pStyle w:val="TableParagraph"/>
              <w:rPr>
                <w:rFonts w:ascii="Times New Roman"/>
                <w:sz w:val="22"/>
              </w:rPr>
            </w:pPr>
          </w:p>
        </w:tc>
        <w:tc>
          <w:tcPr>
            <w:tcW w:w="636" w:type="dxa"/>
            <w:tcBorders>
              <w:top w:val="single" w:sz="4" w:space="0" w:color="000000"/>
              <w:left w:val="single" w:sz="6" w:space="0" w:color="000000"/>
              <w:bottom w:val="single" w:sz="4" w:space="0" w:color="000000"/>
            </w:tcBorders>
          </w:tcPr>
          <w:p>
            <w:pPr>
              <w:pStyle w:val="TableParagraph"/>
              <w:rPr>
                <w:rFonts w:ascii="Times New Roman"/>
                <w:sz w:val="22"/>
              </w:rPr>
            </w:pPr>
          </w:p>
        </w:tc>
      </w:tr>
      <w:tr>
        <w:trPr>
          <w:trHeight w:val="753" w:hRule="atLeast"/>
        </w:trPr>
        <w:tc>
          <w:tcPr>
            <w:tcW w:w="9799" w:type="dxa"/>
            <w:gridSpan w:val="14"/>
            <w:tcBorders>
              <w:top w:val="single" w:sz="4" w:space="0" w:color="000000"/>
            </w:tcBorders>
          </w:tcPr>
          <w:p>
            <w:pPr>
              <w:pStyle w:val="TableParagraph"/>
              <w:spacing w:before="108"/>
              <w:ind w:left="53"/>
              <w:rPr>
                <w:sz w:val="22"/>
              </w:rPr>
            </w:pPr>
            <w:r>
              <w:rPr>
                <w:sz w:val="22"/>
              </w:rPr>
              <w:t>備註：</w:t>
            </w:r>
          </w:p>
        </w:tc>
      </w:tr>
    </w:tbl>
    <w:p>
      <w:pPr>
        <w:spacing w:after="0"/>
        <w:rPr>
          <w:sz w:val="22"/>
        </w:rPr>
        <w:sectPr>
          <w:pgSz w:w="12250" w:h="17190"/>
          <w:pgMar w:header="0" w:footer="828" w:top="1360" w:bottom="1020" w:left="1080" w:right="0"/>
        </w:sectPr>
      </w:pPr>
    </w:p>
    <w:p>
      <w:pPr>
        <w:tabs>
          <w:tab w:pos="3755" w:val="left" w:leader="none"/>
        </w:tabs>
        <w:spacing w:before="15"/>
        <w:ind w:left="278" w:right="0" w:firstLine="0"/>
        <w:jc w:val="left"/>
        <w:rPr>
          <w:b/>
          <w:sz w:val="26"/>
        </w:rPr>
      </w:pPr>
      <w:r>
        <w:rPr>
          <w:b/>
          <w:sz w:val="24"/>
        </w:rPr>
        <w:t>附件</w:t>
      </w:r>
      <w:r>
        <w:rPr>
          <w:b/>
          <w:spacing w:val="-1"/>
          <w:sz w:val="24"/>
        </w:rPr>
        <w:t> </w:t>
      </w:r>
      <w:r>
        <w:rPr>
          <w:b/>
          <w:sz w:val="24"/>
        </w:rPr>
        <w:t>6-1-3</w:t>
        <w:tab/>
      </w:r>
      <w:r>
        <w:rPr>
          <w:b/>
          <w:sz w:val="26"/>
        </w:rPr>
        <w:t>抗結核公費藥診療醫師回復單</w:t>
      </w:r>
    </w:p>
    <w:p>
      <w:pPr>
        <w:pStyle w:val="BodyText"/>
        <w:tabs>
          <w:tab w:pos="3040" w:val="left" w:leader="none"/>
          <w:tab w:pos="5338" w:val="left" w:leader="none"/>
          <w:tab w:pos="8098" w:val="left" w:leader="none"/>
        </w:tabs>
        <w:spacing w:before="141"/>
        <w:ind w:left="280"/>
        <w:rPr>
          <w:rFonts w:ascii="Times New Roman" w:eastAsia="Times New Roman"/>
        </w:rPr>
      </w:pPr>
      <w:r>
        <w:rPr/>
        <w:t>個案姓名：</w:t>
      </w:r>
      <w:r>
        <w:rPr>
          <w:u w:val="single"/>
        </w:rPr>
        <w:t> </w:t>
        <w:tab/>
      </w:r>
      <w:r>
        <w:rPr/>
        <w:t>身分證號：</w:t>
      </w:r>
      <w:r>
        <w:rPr>
          <w:u w:val="single"/>
        </w:rPr>
        <w:t> </w:t>
        <w:tab/>
      </w:r>
      <w:r>
        <w:rPr/>
        <w:t>申請醫院：</w:t>
      </w:r>
      <w:r>
        <w:rPr>
          <w:rFonts w:ascii="Times New Roman" w:eastAsia="Times New Roman"/>
          <w:u w:val="single"/>
        </w:rPr>
        <w:t> </w:t>
        <w:tab/>
      </w:r>
    </w:p>
    <w:p>
      <w:pPr>
        <w:pStyle w:val="BodyText"/>
        <w:tabs>
          <w:tab w:pos="1000" w:val="left" w:leader="none"/>
          <w:tab w:pos="1720" w:val="left" w:leader="none"/>
          <w:tab w:pos="2440" w:val="left" w:leader="none"/>
          <w:tab w:pos="6717" w:val="left" w:leader="none"/>
          <w:tab w:pos="9553" w:val="left" w:leader="none"/>
        </w:tabs>
        <w:spacing w:line="271" w:lineRule="auto" w:before="59"/>
        <w:ind w:left="280" w:right="1403"/>
      </w:pPr>
      <w:r>
        <w:rPr/>
        <w:t>於</w:t>
      </w:r>
      <w:r>
        <w:rPr>
          <w:u w:val="single"/>
        </w:rPr>
        <w:t> </w:t>
        <w:tab/>
      </w:r>
      <w:r>
        <w:rPr/>
        <w:t>年</w:t>
      </w:r>
      <w:r>
        <w:rPr>
          <w:u w:val="single"/>
        </w:rPr>
        <w:t> </w:t>
        <w:tab/>
      </w:r>
      <w:r>
        <w:rPr/>
        <w:t>月</w:t>
      </w:r>
      <w:r>
        <w:rPr>
          <w:u w:val="single"/>
        </w:rPr>
        <w:t> </w:t>
        <w:tab/>
      </w:r>
      <w:r>
        <w:rPr/>
        <w:t>日經結核病診療諮詢小組委員審查相關申請檢附資料</w:t>
      </w:r>
      <w:r>
        <w:rPr>
          <w:spacing w:val="-60"/>
        </w:rPr>
        <w:t>後，</w:t>
      </w:r>
      <w:r>
        <w:rPr/>
        <w:t>提供貴院診</w:t>
      </w:r>
      <w:r>
        <w:rPr>
          <w:spacing w:val="-17"/>
        </w:rPr>
        <w:t>療</w:t>
      </w:r>
      <w:r>
        <w:rPr/>
        <w:t>建議如</w:t>
      </w:r>
      <w:r>
        <w:rPr>
          <w:spacing w:val="-8"/>
        </w:rPr>
        <w:t>下，</w:t>
      </w:r>
      <w:r>
        <w:rPr/>
        <w:t>敬請參</w:t>
      </w:r>
      <w:r>
        <w:rPr>
          <w:spacing w:val="-8"/>
        </w:rPr>
        <w:t>酌，</w:t>
      </w:r>
      <w:r>
        <w:rPr/>
        <w:t>並填寫貴院之回復意</w:t>
      </w:r>
      <w:r>
        <w:rPr>
          <w:spacing w:val="-8"/>
        </w:rPr>
        <w:t>見，</w:t>
      </w:r>
      <w:r>
        <w:rPr/>
        <w:t>傳真至</w:t>
      </w:r>
      <w:r>
        <w:rPr>
          <w:u w:val="single"/>
        </w:rPr>
        <w:t> </w:t>
        <w:tab/>
      </w:r>
      <w:r>
        <w:rPr/>
        <w:t>區管制中</w:t>
      </w:r>
      <w:r>
        <w:rPr>
          <w:spacing w:val="-15"/>
        </w:rPr>
        <w:t>心</w:t>
      </w:r>
      <w:r>
        <w:rPr>
          <w:spacing w:val="-3"/>
        </w:rPr>
        <w:t>（FAX：0</w:t>
      </w:r>
      <w:r>
        <w:rPr>
          <w:spacing w:val="-3"/>
          <w:u w:val="single"/>
        </w:rPr>
        <w:t> </w:t>
        <w:tab/>
      </w:r>
      <w:r>
        <w:rPr>
          <w:spacing w:val="-8"/>
        </w:rPr>
        <w:t>--</w:t>
      </w:r>
    </w:p>
    <w:p>
      <w:pPr>
        <w:pStyle w:val="BodyText"/>
        <w:tabs>
          <w:tab w:pos="4629" w:val="left" w:leader="none"/>
        </w:tabs>
        <w:spacing w:before="3"/>
        <w:ind w:left="280"/>
      </w:pPr>
      <w:r>
        <w:rPr>
          <w:rFonts w:ascii="Times New Roman" w:eastAsia="Times New Roman"/>
          <w:u w:val="single"/>
        </w:rPr>
        <w:t> </w:t>
        <w:tab/>
      </w:r>
      <w:r>
        <w:rPr/>
        <w:t>）</w:t>
      </w:r>
    </w:p>
    <w:p>
      <w:pPr>
        <w:pStyle w:val="BodyText"/>
        <w:rPr>
          <w:sz w:val="20"/>
        </w:rPr>
      </w:pPr>
    </w:p>
    <w:p>
      <w:pPr>
        <w:pStyle w:val="BodyText"/>
        <w:spacing w:before="5"/>
        <w:rPr>
          <w:sz w:val="26"/>
        </w:rPr>
      </w:pPr>
    </w:p>
    <w:p>
      <w:pPr>
        <w:pStyle w:val="BodyText"/>
        <w:spacing w:line="441" w:lineRule="exact" w:before="39"/>
        <w:ind w:left="280"/>
      </w:pPr>
      <w:r>
        <w:rPr/>
        <w:t>審查結果：</w:t>
      </w:r>
    </w:p>
    <w:p>
      <w:pPr>
        <w:pStyle w:val="ListParagraph"/>
        <w:numPr>
          <w:ilvl w:val="0"/>
          <w:numId w:val="103"/>
        </w:numPr>
        <w:tabs>
          <w:tab w:pos="596" w:val="left" w:leader="none"/>
        </w:tabs>
        <w:spacing w:line="440" w:lineRule="exact" w:before="0" w:after="0"/>
        <w:ind w:left="595" w:right="0" w:hanging="316"/>
        <w:jc w:val="left"/>
        <w:rPr>
          <w:sz w:val="24"/>
        </w:rPr>
      </w:pPr>
      <w:r>
        <w:rPr>
          <w:rFonts w:ascii="新細明體" w:hAnsi="新細明體" w:eastAsia="新細明體" w:hint="eastAsia"/>
          <w:sz w:val="24"/>
        </w:rPr>
        <w:t>□</w:t>
      </w:r>
      <w:r>
        <w:rPr>
          <w:sz w:val="24"/>
        </w:rPr>
        <w:t>同意申請。</w:t>
      </w:r>
    </w:p>
    <w:p>
      <w:pPr>
        <w:pStyle w:val="ListParagraph"/>
        <w:numPr>
          <w:ilvl w:val="0"/>
          <w:numId w:val="103"/>
        </w:numPr>
        <w:tabs>
          <w:tab w:pos="596" w:val="left" w:leader="none"/>
        </w:tabs>
        <w:spacing w:line="440" w:lineRule="exact" w:before="0" w:after="0"/>
        <w:ind w:left="595" w:right="0" w:hanging="316"/>
        <w:jc w:val="left"/>
        <w:rPr>
          <w:sz w:val="24"/>
        </w:rPr>
      </w:pPr>
      <w:r>
        <w:rPr>
          <w:rFonts w:ascii="新細明體" w:hAnsi="新細明體" w:eastAsia="新細明體" w:hint="eastAsia"/>
          <w:sz w:val="24"/>
        </w:rPr>
        <w:t>□</w:t>
      </w:r>
      <w:r>
        <w:rPr>
          <w:sz w:val="24"/>
        </w:rPr>
        <w:t>同意申請，但請再增加或修正藥物種類、劑量或治療時間如附件。</w:t>
      </w:r>
    </w:p>
    <w:p>
      <w:pPr>
        <w:pStyle w:val="ListParagraph"/>
        <w:numPr>
          <w:ilvl w:val="0"/>
          <w:numId w:val="103"/>
        </w:numPr>
        <w:tabs>
          <w:tab w:pos="596" w:val="left" w:leader="none"/>
        </w:tabs>
        <w:spacing w:line="440" w:lineRule="exact" w:before="0" w:after="0"/>
        <w:ind w:left="595" w:right="0" w:hanging="316"/>
        <w:jc w:val="left"/>
        <w:rPr>
          <w:sz w:val="24"/>
        </w:rPr>
      </w:pPr>
      <w:r>
        <w:rPr>
          <w:rFonts w:ascii="新細明體" w:hAnsi="新細明體" w:eastAsia="新細明體" w:hint="eastAsia"/>
          <w:sz w:val="24"/>
        </w:rPr>
        <w:t>□</w:t>
      </w:r>
      <w:r>
        <w:rPr>
          <w:sz w:val="24"/>
        </w:rPr>
        <w:t>不同意給藥，詳如附件。</w:t>
      </w:r>
    </w:p>
    <w:p>
      <w:pPr>
        <w:pStyle w:val="ListParagraph"/>
        <w:numPr>
          <w:ilvl w:val="0"/>
          <w:numId w:val="103"/>
        </w:numPr>
        <w:tabs>
          <w:tab w:pos="596" w:val="left" w:leader="none"/>
        </w:tabs>
        <w:spacing w:line="441" w:lineRule="exact" w:before="0" w:after="0"/>
        <w:ind w:left="595" w:right="0" w:hanging="316"/>
        <w:jc w:val="left"/>
        <w:rPr>
          <w:sz w:val="24"/>
        </w:rPr>
      </w:pPr>
      <w:r>
        <w:rPr>
          <w:rFonts w:ascii="新細明體" w:hAnsi="新細明體" w:eastAsia="新細明體" w:hint="eastAsia"/>
          <w:sz w:val="24"/>
        </w:rPr>
        <w:t>□</w:t>
      </w:r>
      <w:r>
        <w:rPr>
          <w:sz w:val="24"/>
        </w:rPr>
        <w:t>建議送分子快篩。</w:t>
      </w:r>
    </w:p>
    <w:p>
      <w:pPr>
        <w:pStyle w:val="BodyText"/>
        <w:rPr>
          <w:sz w:val="32"/>
        </w:rPr>
      </w:pPr>
    </w:p>
    <w:p>
      <w:pPr>
        <w:pStyle w:val="BodyText"/>
        <w:spacing w:before="6"/>
        <w:rPr>
          <w:sz w:val="31"/>
        </w:rPr>
      </w:pPr>
    </w:p>
    <w:p>
      <w:pPr>
        <w:pStyle w:val="BodyText"/>
        <w:tabs>
          <w:tab w:pos="3410" w:val="left" w:leader="none"/>
          <w:tab w:pos="4610" w:val="left" w:leader="none"/>
          <w:tab w:pos="7880" w:val="left" w:leader="none"/>
        </w:tabs>
        <w:ind w:left="338"/>
        <w:rPr>
          <w:rFonts w:ascii="Times New Roman" w:eastAsia="Times New Roman"/>
        </w:rPr>
      </w:pPr>
      <w:r>
        <w:rPr/>
        <w:t>聯絡人：</w:t>
      </w:r>
      <w:r>
        <w:rPr>
          <w:u w:val="single"/>
        </w:rPr>
        <w:t> </w:t>
        <w:tab/>
      </w:r>
      <w:r>
        <w:rPr/>
        <w:tab/>
        <w:t>電話：</w:t>
      </w:r>
      <w:r>
        <w:rPr>
          <w:rFonts w:ascii="Times New Roman" w:eastAsia="Times New Roman"/>
          <w:u w:val="single"/>
        </w:rPr>
        <w:t> </w:t>
        <w:tab/>
      </w:r>
    </w:p>
    <w:p>
      <w:pPr>
        <w:pStyle w:val="BodyText"/>
        <w:spacing w:before="6"/>
        <w:rPr>
          <w:rFonts w:ascii="Times New Roman"/>
          <w:sz w:val="22"/>
        </w:rPr>
      </w:pPr>
      <w:r>
        <w:rPr/>
        <w:pict>
          <v:shape style="position:absolute;margin-left:63pt;margin-top:15.327872pt;width:477.75pt;height:.1pt;mso-position-horizontal-relative:page;mso-position-vertical-relative:paragraph;z-index:-251506688;mso-wrap-distance-left:0;mso-wrap-distance-right:0" coordorigin="1260,307" coordsize="9555,0" path="m1260,307l10815,307e" filled="false" stroked="true" strokeweight=".72pt" strokecolor="#000000">
            <v:path arrowok="t"/>
            <v:stroke dashstyle="solid"/>
            <w10:wrap type="topAndBottom"/>
          </v:shape>
        </w:pict>
      </w:r>
    </w:p>
    <w:p>
      <w:pPr>
        <w:pStyle w:val="BodyText"/>
        <w:spacing w:before="3"/>
        <w:rPr>
          <w:rFonts w:ascii="Times New Roman"/>
          <w:sz w:val="12"/>
        </w:rPr>
      </w:pPr>
    </w:p>
    <w:p>
      <w:pPr>
        <w:pStyle w:val="Heading7"/>
        <w:spacing w:before="39"/>
        <w:ind w:left="280"/>
        <w:jc w:val="left"/>
      </w:pPr>
      <w:r>
        <w:rPr/>
        <w:t>原診療醫師回復意見：</w:t>
      </w:r>
    </w:p>
    <w:p>
      <w:pPr>
        <w:pStyle w:val="BodyText"/>
        <w:spacing w:before="189"/>
        <w:ind w:left="280"/>
      </w:pPr>
      <w:r>
        <w:rPr>
          <w:rFonts w:ascii="新細明體" w:hAnsi="新細明體" w:eastAsia="新細明體" w:hint="eastAsia"/>
        </w:rPr>
        <w:t>□</w:t>
      </w:r>
      <w:r>
        <w:rPr/>
        <w:t>同意上開諮詢委員意見，並據以診治病人。</w:t>
      </w:r>
    </w:p>
    <w:p>
      <w:pPr>
        <w:pStyle w:val="BodyText"/>
        <w:spacing w:before="2"/>
        <w:ind w:left="280"/>
      </w:pPr>
      <w:r>
        <w:rPr>
          <w:rFonts w:ascii="新細明體" w:hAnsi="新細明體" w:eastAsia="新細明體" w:hint="eastAsia"/>
        </w:rPr>
        <w:t>□</w:t>
      </w:r>
      <w:r>
        <w:rPr/>
        <w:t>不同意上開諮詢委員意見，不同意之理由請詳述：</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8"/>
        <w:rPr>
          <w:sz w:val="32"/>
        </w:rPr>
      </w:pPr>
    </w:p>
    <w:p>
      <w:pPr>
        <w:pStyle w:val="BodyText"/>
        <w:tabs>
          <w:tab w:pos="4810" w:val="left" w:leader="none"/>
          <w:tab w:pos="6130" w:val="left" w:leader="none"/>
          <w:tab w:pos="7450" w:val="left" w:leader="none"/>
          <w:tab w:pos="8770" w:val="left" w:leader="none"/>
          <w:tab w:pos="9049" w:val="left" w:leader="none"/>
        </w:tabs>
        <w:spacing w:line="271" w:lineRule="auto"/>
        <w:ind w:left="280" w:right="2117"/>
        <w:rPr>
          <w:rFonts w:ascii="Times New Roman" w:eastAsia="Times New Roman"/>
        </w:rPr>
      </w:pPr>
      <w:r>
        <w:rPr/>
        <w:t>原診治</w:t>
      </w:r>
      <w:r>
        <w:rPr>
          <w:spacing w:val="-8"/>
        </w:rPr>
        <w:t>醫</w:t>
      </w:r>
      <w:r>
        <w:rPr/>
        <w:t>師簽</w:t>
      </w:r>
      <w:r>
        <w:rPr>
          <w:spacing w:val="-8"/>
        </w:rPr>
        <w:t>名</w:t>
      </w:r>
      <w:r>
        <w:rPr/>
        <w:t>：</w:t>
      </w:r>
      <w:r>
        <w:rPr>
          <w:u w:val="single"/>
        </w:rPr>
        <w:t> </w:t>
        <w:tab/>
        <w:t> </w:t>
        <w:tab/>
      </w:r>
      <w:r>
        <w:rPr/>
        <w:t>年</w:t>
      </w:r>
      <w:r>
        <w:rPr>
          <w:u w:val="single"/>
        </w:rPr>
        <w:t> </w:t>
        <w:tab/>
      </w:r>
      <w:r>
        <w:rPr/>
        <w:t>月</w:t>
      </w:r>
      <w:r>
        <w:rPr>
          <w:u w:val="single"/>
        </w:rPr>
        <w:t> </w:t>
        <w:tab/>
      </w:r>
      <w:r>
        <w:rPr/>
        <w:t>日聯絡電</w:t>
      </w:r>
      <w:r>
        <w:rPr>
          <w:spacing w:val="-8"/>
        </w:rPr>
        <w:t>話</w:t>
      </w:r>
      <w:r>
        <w:rPr/>
        <w:t>：</w:t>
      </w:r>
      <w:r>
        <w:rPr>
          <w:rFonts w:ascii="Times New Roman" w:eastAsia="Times New Roman"/>
          <w:u w:val="single"/>
        </w:rPr>
        <w:t> </w:t>
        <w:tab/>
        <w:tab/>
        <w:tab/>
        <w:tab/>
        <w:tab/>
      </w:r>
    </w:p>
    <w:p>
      <w:pPr>
        <w:spacing w:after="0" w:line="271" w:lineRule="auto"/>
        <w:rPr>
          <w:rFonts w:ascii="Times New Roman" w:eastAsia="Times New Roman"/>
        </w:rPr>
        <w:sectPr>
          <w:pgSz w:w="12250" w:h="17190"/>
          <w:pgMar w:header="0" w:footer="828" w:top="1400" w:bottom="1020" w:left="1080" w:right="0"/>
        </w:sectPr>
      </w:pPr>
    </w:p>
    <w:p>
      <w:pPr>
        <w:pStyle w:val="BodyText"/>
        <w:spacing w:before="7"/>
        <w:rPr>
          <w:rFonts w:ascii="Times New Roman"/>
          <w:sz w:val="14"/>
        </w:rPr>
      </w:pPr>
    </w:p>
    <w:p>
      <w:pPr>
        <w:tabs>
          <w:tab w:pos="4173" w:val="left" w:leader="none"/>
          <w:tab w:pos="6064" w:val="left" w:leader="none"/>
          <w:tab w:pos="7144" w:val="left" w:leader="none"/>
          <w:tab w:pos="7954" w:val="left" w:leader="none"/>
        </w:tabs>
        <w:spacing w:before="32"/>
        <w:ind w:left="927" w:right="0" w:firstLine="0"/>
        <w:jc w:val="left"/>
        <w:rPr>
          <w:b/>
          <w:sz w:val="27"/>
        </w:rPr>
      </w:pPr>
      <w:r>
        <w:rPr>
          <w:b/>
          <w:sz w:val="24"/>
        </w:rPr>
        <w:t>附件</w:t>
      </w:r>
      <w:r>
        <w:rPr>
          <w:b/>
          <w:spacing w:val="-1"/>
          <w:sz w:val="24"/>
        </w:rPr>
        <w:t> </w:t>
      </w:r>
      <w:r>
        <w:rPr>
          <w:b/>
          <w:sz w:val="24"/>
        </w:rPr>
        <w:t>6-2-1</w:t>
        <w:tab/>
      </w:r>
      <w:r>
        <w:rPr>
          <w:b/>
          <w:sz w:val="24"/>
          <w:u w:val="single" w:color="FF0000"/>
        </w:rPr>
        <w:t> </w:t>
        <w:tab/>
      </w:r>
      <w:r>
        <w:rPr>
          <w:b/>
          <w:color w:val="FF0000"/>
          <w:sz w:val="27"/>
        </w:rPr>
        <w:t>醫院</w:t>
      </w:r>
      <w:r>
        <w:rPr>
          <w:b/>
          <w:color w:val="FF0000"/>
          <w:sz w:val="27"/>
          <w:u w:val="single" w:color="FF0000"/>
        </w:rPr>
        <w:t> </w:t>
        <w:tab/>
      </w:r>
      <w:r>
        <w:rPr>
          <w:b/>
          <w:color w:val="FF0000"/>
          <w:sz w:val="27"/>
        </w:rPr>
        <w:t>年</w:t>
      </w:r>
      <w:r>
        <w:rPr>
          <w:b/>
          <w:color w:val="FF0000"/>
          <w:sz w:val="27"/>
          <w:u w:val="single" w:color="FF0000"/>
        </w:rPr>
        <w:t> </w:t>
        <w:tab/>
      </w:r>
      <w:r>
        <w:rPr>
          <w:b/>
          <w:color w:val="FF0000"/>
          <w:sz w:val="27"/>
        </w:rPr>
        <w:t>月份抗結核公費藥使用紀錄表</w:t>
      </w:r>
    </w:p>
    <w:p>
      <w:pPr>
        <w:pStyle w:val="BodyText"/>
        <w:spacing w:before="14"/>
        <w:rPr>
          <w:b/>
          <w:sz w:val="12"/>
        </w:rPr>
      </w:pPr>
    </w:p>
    <w:tbl>
      <w:tblPr>
        <w:tblW w:w="0" w:type="auto"/>
        <w:jc w:val="left"/>
        <w:tblInd w:w="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2"/>
        <w:gridCol w:w="622"/>
        <w:gridCol w:w="623"/>
        <w:gridCol w:w="651"/>
        <w:gridCol w:w="622"/>
        <w:gridCol w:w="713"/>
        <w:gridCol w:w="725"/>
        <w:gridCol w:w="725"/>
        <w:gridCol w:w="725"/>
        <w:gridCol w:w="725"/>
        <w:gridCol w:w="725"/>
        <w:gridCol w:w="726"/>
        <w:gridCol w:w="725"/>
        <w:gridCol w:w="725"/>
        <w:gridCol w:w="725"/>
        <w:gridCol w:w="725"/>
        <w:gridCol w:w="725"/>
        <w:gridCol w:w="726"/>
        <w:gridCol w:w="617"/>
        <w:gridCol w:w="1008"/>
      </w:tblGrid>
      <w:tr>
        <w:trPr>
          <w:trHeight w:val="1279" w:hRule="atLeast"/>
        </w:trPr>
        <w:tc>
          <w:tcPr>
            <w:tcW w:w="622" w:type="dxa"/>
          </w:tcPr>
          <w:p>
            <w:pPr>
              <w:pStyle w:val="TableParagraph"/>
              <w:spacing w:before="2"/>
              <w:rPr>
                <w:b/>
                <w:sz w:val="24"/>
              </w:rPr>
            </w:pPr>
          </w:p>
          <w:p>
            <w:pPr>
              <w:pStyle w:val="TableParagraph"/>
              <w:ind w:left="89"/>
              <w:rPr>
                <w:sz w:val="22"/>
              </w:rPr>
            </w:pPr>
            <w:r>
              <w:rPr>
                <w:sz w:val="22"/>
              </w:rPr>
              <w:t>月日</w:t>
            </w:r>
          </w:p>
        </w:tc>
        <w:tc>
          <w:tcPr>
            <w:tcW w:w="622" w:type="dxa"/>
          </w:tcPr>
          <w:p>
            <w:pPr>
              <w:pStyle w:val="TableParagraph"/>
              <w:spacing w:before="2"/>
              <w:rPr>
                <w:b/>
                <w:sz w:val="24"/>
              </w:rPr>
            </w:pPr>
          </w:p>
          <w:p>
            <w:pPr>
              <w:pStyle w:val="TableParagraph"/>
              <w:ind w:left="199"/>
              <w:rPr>
                <w:sz w:val="22"/>
              </w:rPr>
            </w:pPr>
            <w:r>
              <w:rPr>
                <w:w w:val="99"/>
                <w:sz w:val="22"/>
              </w:rPr>
              <w:t>次</w:t>
            </w:r>
          </w:p>
        </w:tc>
        <w:tc>
          <w:tcPr>
            <w:tcW w:w="623" w:type="dxa"/>
          </w:tcPr>
          <w:p>
            <w:pPr>
              <w:pStyle w:val="TableParagraph"/>
              <w:spacing w:before="13"/>
              <w:rPr>
                <w:b/>
                <w:sz w:val="18"/>
              </w:rPr>
            </w:pPr>
          </w:p>
          <w:p>
            <w:pPr>
              <w:pStyle w:val="TableParagraph"/>
              <w:spacing w:line="189" w:lineRule="auto"/>
              <w:ind w:left="90" w:right="81"/>
              <w:rPr>
                <w:sz w:val="22"/>
              </w:rPr>
            </w:pPr>
            <w:r>
              <w:rPr>
                <w:sz w:val="22"/>
              </w:rPr>
              <w:t>有無健保</w:t>
            </w:r>
          </w:p>
        </w:tc>
        <w:tc>
          <w:tcPr>
            <w:tcW w:w="651" w:type="dxa"/>
          </w:tcPr>
          <w:p>
            <w:pPr>
              <w:pStyle w:val="TableParagraph"/>
              <w:spacing w:before="13"/>
              <w:rPr>
                <w:b/>
                <w:sz w:val="18"/>
              </w:rPr>
            </w:pPr>
          </w:p>
          <w:p>
            <w:pPr>
              <w:pStyle w:val="TableParagraph"/>
              <w:spacing w:line="189" w:lineRule="auto"/>
              <w:ind w:left="103" w:right="96"/>
              <w:rPr>
                <w:sz w:val="22"/>
              </w:rPr>
            </w:pPr>
            <w:r>
              <w:rPr>
                <w:sz w:val="22"/>
              </w:rPr>
              <w:t>申請醫院</w:t>
            </w:r>
          </w:p>
        </w:tc>
        <w:tc>
          <w:tcPr>
            <w:tcW w:w="622" w:type="dxa"/>
          </w:tcPr>
          <w:p>
            <w:pPr>
              <w:pStyle w:val="TableParagraph"/>
              <w:spacing w:before="2"/>
              <w:rPr>
                <w:b/>
                <w:sz w:val="24"/>
              </w:rPr>
            </w:pPr>
          </w:p>
          <w:p>
            <w:pPr>
              <w:pStyle w:val="TableParagraph"/>
              <w:ind w:left="87"/>
              <w:rPr>
                <w:sz w:val="22"/>
              </w:rPr>
            </w:pPr>
            <w:r>
              <w:rPr>
                <w:sz w:val="22"/>
              </w:rPr>
              <w:t>姓名</w:t>
            </w:r>
          </w:p>
        </w:tc>
        <w:tc>
          <w:tcPr>
            <w:tcW w:w="713" w:type="dxa"/>
          </w:tcPr>
          <w:p>
            <w:pPr>
              <w:pStyle w:val="TableParagraph"/>
              <w:spacing w:before="13"/>
              <w:rPr>
                <w:b/>
                <w:sz w:val="18"/>
              </w:rPr>
            </w:pPr>
          </w:p>
          <w:p>
            <w:pPr>
              <w:pStyle w:val="TableParagraph"/>
              <w:spacing w:line="189" w:lineRule="auto"/>
              <w:ind w:left="133" w:right="128"/>
              <w:rPr>
                <w:sz w:val="22"/>
              </w:rPr>
            </w:pPr>
            <w:r>
              <w:rPr>
                <w:sz w:val="22"/>
              </w:rPr>
              <w:t>身分證號</w:t>
            </w:r>
          </w:p>
        </w:tc>
        <w:tc>
          <w:tcPr>
            <w:tcW w:w="725" w:type="dxa"/>
          </w:tcPr>
          <w:p>
            <w:pPr>
              <w:pStyle w:val="TableParagraph"/>
              <w:spacing w:before="7"/>
              <w:rPr>
                <w:b/>
                <w:sz w:val="15"/>
              </w:rPr>
            </w:pPr>
          </w:p>
          <w:p>
            <w:pPr>
              <w:pStyle w:val="TableParagraph"/>
              <w:spacing w:line="362" w:lineRule="exact"/>
              <w:ind w:left="147"/>
              <w:rPr>
                <w:sz w:val="22"/>
              </w:rPr>
            </w:pPr>
            <w:r>
              <w:rPr>
                <w:sz w:val="22"/>
              </w:rPr>
              <w:t>TBN</w:t>
            </w:r>
          </w:p>
          <w:p>
            <w:pPr>
              <w:pStyle w:val="TableParagraph"/>
              <w:spacing w:line="362" w:lineRule="exact"/>
              <w:ind w:left="6" w:right="-15"/>
              <w:rPr>
                <w:sz w:val="22"/>
              </w:rPr>
            </w:pPr>
            <w:r>
              <w:rPr>
                <w:spacing w:val="-3"/>
                <w:sz w:val="22"/>
              </w:rPr>
              <w:t>250mg</w:t>
            </w:r>
          </w:p>
        </w:tc>
        <w:tc>
          <w:tcPr>
            <w:tcW w:w="725" w:type="dxa"/>
          </w:tcPr>
          <w:p>
            <w:pPr>
              <w:pStyle w:val="TableParagraph"/>
              <w:spacing w:before="7"/>
              <w:rPr>
                <w:b/>
                <w:sz w:val="15"/>
              </w:rPr>
            </w:pPr>
          </w:p>
          <w:p>
            <w:pPr>
              <w:pStyle w:val="TableParagraph"/>
              <w:spacing w:line="362" w:lineRule="exact"/>
              <w:ind w:left="87"/>
              <w:rPr>
                <w:sz w:val="22"/>
              </w:rPr>
            </w:pPr>
            <w:r>
              <w:rPr>
                <w:sz w:val="22"/>
              </w:rPr>
              <w:t>LEVO</w:t>
            </w:r>
          </w:p>
          <w:p>
            <w:pPr>
              <w:pStyle w:val="TableParagraph"/>
              <w:spacing w:line="362" w:lineRule="exact"/>
              <w:ind w:left="5" w:right="-15"/>
              <w:rPr>
                <w:sz w:val="22"/>
              </w:rPr>
            </w:pPr>
            <w:r>
              <w:rPr>
                <w:spacing w:val="-3"/>
                <w:sz w:val="22"/>
              </w:rPr>
              <w:t>100mg</w:t>
            </w:r>
          </w:p>
        </w:tc>
        <w:tc>
          <w:tcPr>
            <w:tcW w:w="725" w:type="dxa"/>
          </w:tcPr>
          <w:p>
            <w:pPr>
              <w:pStyle w:val="TableParagraph"/>
              <w:spacing w:before="7"/>
              <w:rPr>
                <w:b/>
                <w:sz w:val="15"/>
              </w:rPr>
            </w:pPr>
          </w:p>
          <w:p>
            <w:pPr>
              <w:pStyle w:val="TableParagraph"/>
              <w:spacing w:line="362" w:lineRule="exact"/>
              <w:ind w:left="87"/>
              <w:rPr>
                <w:sz w:val="22"/>
              </w:rPr>
            </w:pPr>
            <w:r>
              <w:rPr>
                <w:sz w:val="22"/>
              </w:rPr>
              <w:t>LEVO</w:t>
            </w:r>
          </w:p>
          <w:p>
            <w:pPr>
              <w:pStyle w:val="TableParagraph"/>
              <w:spacing w:line="362" w:lineRule="exact"/>
              <w:ind w:left="5" w:right="-15"/>
              <w:rPr>
                <w:sz w:val="22"/>
              </w:rPr>
            </w:pPr>
            <w:r>
              <w:rPr>
                <w:spacing w:val="-3"/>
                <w:sz w:val="22"/>
              </w:rPr>
              <w:t>500mg</w:t>
            </w:r>
          </w:p>
        </w:tc>
        <w:tc>
          <w:tcPr>
            <w:tcW w:w="725" w:type="dxa"/>
          </w:tcPr>
          <w:p>
            <w:pPr>
              <w:pStyle w:val="TableParagraph"/>
              <w:spacing w:before="7"/>
              <w:rPr>
                <w:b/>
                <w:sz w:val="15"/>
              </w:rPr>
            </w:pPr>
          </w:p>
          <w:p>
            <w:pPr>
              <w:pStyle w:val="TableParagraph"/>
              <w:spacing w:line="362" w:lineRule="exact"/>
              <w:ind w:left="87"/>
              <w:rPr>
                <w:sz w:val="22"/>
              </w:rPr>
            </w:pPr>
            <w:r>
              <w:rPr>
                <w:sz w:val="22"/>
              </w:rPr>
              <w:t>LEVO</w:t>
            </w:r>
          </w:p>
          <w:p>
            <w:pPr>
              <w:pStyle w:val="TableParagraph"/>
              <w:spacing w:line="362" w:lineRule="exact"/>
              <w:ind w:left="5"/>
              <w:rPr>
                <w:sz w:val="22"/>
              </w:rPr>
            </w:pPr>
            <w:r>
              <w:rPr>
                <w:w w:val="95"/>
                <w:sz w:val="22"/>
              </w:rPr>
              <w:t>750mg</w:t>
            </w:r>
          </w:p>
        </w:tc>
        <w:tc>
          <w:tcPr>
            <w:tcW w:w="725" w:type="dxa"/>
          </w:tcPr>
          <w:p>
            <w:pPr>
              <w:pStyle w:val="TableParagraph"/>
              <w:spacing w:before="7"/>
              <w:rPr>
                <w:b/>
                <w:sz w:val="15"/>
              </w:rPr>
            </w:pPr>
          </w:p>
          <w:p>
            <w:pPr>
              <w:pStyle w:val="TableParagraph"/>
              <w:spacing w:line="362" w:lineRule="exact"/>
              <w:ind w:left="70"/>
              <w:rPr>
                <w:sz w:val="22"/>
              </w:rPr>
            </w:pPr>
            <w:r>
              <w:rPr>
                <w:sz w:val="22"/>
              </w:rPr>
              <w:t>MOXI</w:t>
            </w:r>
          </w:p>
          <w:p>
            <w:pPr>
              <w:pStyle w:val="TableParagraph"/>
              <w:spacing w:line="362" w:lineRule="exact"/>
              <w:ind w:left="5"/>
              <w:rPr>
                <w:sz w:val="22"/>
              </w:rPr>
            </w:pPr>
            <w:r>
              <w:rPr>
                <w:w w:val="95"/>
                <w:sz w:val="22"/>
              </w:rPr>
              <w:t>400mg</w:t>
            </w:r>
          </w:p>
        </w:tc>
        <w:tc>
          <w:tcPr>
            <w:tcW w:w="726" w:type="dxa"/>
          </w:tcPr>
          <w:p>
            <w:pPr>
              <w:pStyle w:val="TableParagraph"/>
              <w:spacing w:before="7"/>
              <w:rPr>
                <w:b/>
                <w:sz w:val="15"/>
              </w:rPr>
            </w:pPr>
          </w:p>
          <w:p>
            <w:pPr>
              <w:pStyle w:val="TableParagraph"/>
              <w:spacing w:line="362" w:lineRule="exact"/>
              <w:ind w:left="2"/>
              <w:jc w:val="center"/>
              <w:rPr>
                <w:sz w:val="22"/>
              </w:rPr>
            </w:pPr>
            <w:r>
              <w:rPr>
                <w:sz w:val="22"/>
              </w:rPr>
              <w:t>CS</w:t>
            </w:r>
          </w:p>
          <w:p>
            <w:pPr>
              <w:pStyle w:val="TableParagraph"/>
              <w:spacing w:line="362" w:lineRule="exact"/>
              <w:ind w:left="5"/>
              <w:jc w:val="center"/>
              <w:rPr>
                <w:sz w:val="22"/>
              </w:rPr>
            </w:pPr>
            <w:r>
              <w:rPr>
                <w:w w:val="95"/>
                <w:sz w:val="22"/>
              </w:rPr>
              <w:t>250mg</w:t>
            </w:r>
          </w:p>
        </w:tc>
        <w:tc>
          <w:tcPr>
            <w:tcW w:w="725" w:type="dxa"/>
          </w:tcPr>
          <w:p>
            <w:pPr>
              <w:pStyle w:val="TableParagraph"/>
              <w:spacing w:before="7"/>
              <w:rPr>
                <w:b/>
                <w:sz w:val="15"/>
              </w:rPr>
            </w:pPr>
          </w:p>
          <w:p>
            <w:pPr>
              <w:pStyle w:val="TableParagraph"/>
              <w:spacing w:line="362" w:lineRule="exact"/>
              <w:ind w:left="183"/>
              <w:rPr>
                <w:sz w:val="22"/>
              </w:rPr>
            </w:pPr>
            <w:r>
              <w:rPr>
                <w:sz w:val="22"/>
              </w:rPr>
              <w:t>KM</w:t>
            </w:r>
          </w:p>
          <w:p>
            <w:pPr>
              <w:pStyle w:val="TableParagraph"/>
              <w:spacing w:line="362" w:lineRule="exact"/>
              <w:ind w:left="122"/>
              <w:rPr>
                <w:sz w:val="22"/>
              </w:rPr>
            </w:pPr>
            <w:r>
              <w:rPr>
                <w:sz w:val="22"/>
              </w:rPr>
              <w:t>1gm</w:t>
            </w:r>
          </w:p>
        </w:tc>
        <w:tc>
          <w:tcPr>
            <w:tcW w:w="725" w:type="dxa"/>
          </w:tcPr>
          <w:p>
            <w:pPr>
              <w:pStyle w:val="TableParagraph"/>
              <w:spacing w:before="7"/>
              <w:rPr>
                <w:b/>
                <w:sz w:val="15"/>
              </w:rPr>
            </w:pPr>
          </w:p>
          <w:p>
            <w:pPr>
              <w:pStyle w:val="TableParagraph"/>
              <w:spacing w:line="362" w:lineRule="exact"/>
              <w:ind w:left="188"/>
              <w:rPr>
                <w:sz w:val="22"/>
              </w:rPr>
            </w:pPr>
            <w:r>
              <w:rPr>
                <w:sz w:val="22"/>
              </w:rPr>
              <w:t>SM</w:t>
            </w:r>
          </w:p>
          <w:p>
            <w:pPr>
              <w:pStyle w:val="TableParagraph"/>
              <w:spacing w:line="362" w:lineRule="exact"/>
              <w:ind w:left="122"/>
              <w:rPr>
                <w:sz w:val="22"/>
              </w:rPr>
            </w:pPr>
            <w:r>
              <w:rPr>
                <w:sz w:val="22"/>
              </w:rPr>
              <w:t>1gm</w:t>
            </w:r>
          </w:p>
        </w:tc>
        <w:tc>
          <w:tcPr>
            <w:tcW w:w="725" w:type="dxa"/>
          </w:tcPr>
          <w:p>
            <w:pPr>
              <w:pStyle w:val="TableParagraph"/>
              <w:spacing w:before="7"/>
              <w:rPr>
                <w:b/>
                <w:sz w:val="15"/>
              </w:rPr>
            </w:pPr>
          </w:p>
          <w:p>
            <w:pPr>
              <w:pStyle w:val="TableParagraph"/>
              <w:spacing w:line="362" w:lineRule="exact"/>
              <w:ind w:left="113"/>
              <w:rPr>
                <w:sz w:val="22"/>
              </w:rPr>
            </w:pPr>
            <w:r>
              <w:rPr>
                <w:sz w:val="22"/>
              </w:rPr>
              <w:t>AMK</w:t>
            </w:r>
          </w:p>
          <w:p>
            <w:pPr>
              <w:pStyle w:val="TableParagraph"/>
              <w:spacing w:line="362" w:lineRule="exact"/>
              <w:ind w:left="4"/>
              <w:rPr>
                <w:sz w:val="22"/>
              </w:rPr>
            </w:pPr>
            <w:r>
              <w:rPr>
                <w:w w:val="95"/>
                <w:sz w:val="22"/>
              </w:rPr>
              <w:t>500mg</w:t>
            </w:r>
          </w:p>
        </w:tc>
        <w:tc>
          <w:tcPr>
            <w:tcW w:w="725" w:type="dxa"/>
          </w:tcPr>
          <w:p>
            <w:pPr>
              <w:pStyle w:val="TableParagraph"/>
              <w:spacing w:before="13"/>
              <w:rPr>
                <w:b/>
                <w:sz w:val="18"/>
              </w:rPr>
            </w:pPr>
          </w:p>
          <w:p>
            <w:pPr>
              <w:pStyle w:val="TableParagraph"/>
              <w:spacing w:line="189" w:lineRule="auto"/>
              <w:ind w:left="99" w:right="25" w:hanging="56"/>
              <w:rPr>
                <w:sz w:val="22"/>
              </w:rPr>
            </w:pPr>
            <w:r>
              <w:rPr>
                <w:sz w:val="22"/>
              </w:rPr>
              <w:t>Water 10ml</w:t>
            </w:r>
          </w:p>
        </w:tc>
        <w:tc>
          <w:tcPr>
            <w:tcW w:w="725" w:type="dxa"/>
          </w:tcPr>
          <w:p>
            <w:pPr>
              <w:pStyle w:val="TableParagraph"/>
              <w:spacing w:line="362" w:lineRule="exact" w:before="123"/>
              <w:ind w:left="141"/>
              <w:rPr>
                <w:sz w:val="22"/>
              </w:rPr>
            </w:pPr>
            <w:r>
              <w:rPr>
                <w:sz w:val="22"/>
              </w:rPr>
              <w:t>RHZ</w:t>
            </w:r>
          </w:p>
          <w:p>
            <w:pPr>
              <w:pStyle w:val="TableParagraph"/>
              <w:spacing w:line="189" w:lineRule="auto" w:before="20"/>
              <w:ind w:left="4" w:right="-19" w:firstLine="16"/>
              <w:rPr>
                <w:sz w:val="22"/>
              </w:rPr>
            </w:pPr>
            <w:r>
              <w:rPr>
                <w:sz w:val="22"/>
              </w:rPr>
              <w:t>75/50/ </w:t>
            </w:r>
            <w:r>
              <w:rPr>
                <w:w w:val="95"/>
                <w:sz w:val="22"/>
              </w:rPr>
              <w:t>150mg</w:t>
            </w:r>
          </w:p>
        </w:tc>
        <w:tc>
          <w:tcPr>
            <w:tcW w:w="726" w:type="dxa"/>
          </w:tcPr>
          <w:p>
            <w:pPr>
              <w:pStyle w:val="TableParagraph"/>
              <w:spacing w:line="189" w:lineRule="auto" w:before="185"/>
              <w:ind w:left="58" w:firstLine="145"/>
              <w:rPr>
                <w:sz w:val="22"/>
              </w:rPr>
            </w:pPr>
            <w:r>
              <w:rPr>
                <w:sz w:val="22"/>
              </w:rPr>
              <w:t>RH </w:t>
            </w:r>
            <w:r>
              <w:rPr>
                <w:w w:val="95"/>
                <w:sz w:val="22"/>
              </w:rPr>
              <w:t>75/50</w:t>
            </w:r>
          </w:p>
          <w:p>
            <w:pPr>
              <w:pStyle w:val="TableParagraph"/>
              <w:spacing w:line="344" w:lineRule="exact"/>
              <w:ind w:left="186"/>
              <w:rPr>
                <w:sz w:val="22"/>
              </w:rPr>
            </w:pPr>
            <w:r>
              <w:rPr>
                <w:sz w:val="22"/>
              </w:rPr>
              <w:t>mg</w:t>
            </w:r>
          </w:p>
        </w:tc>
        <w:tc>
          <w:tcPr>
            <w:tcW w:w="617" w:type="dxa"/>
          </w:tcPr>
          <w:p>
            <w:pPr>
              <w:pStyle w:val="TableParagraph"/>
              <w:spacing w:line="189" w:lineRule="auto" w:before="185"/>
              <w:ind w:left="83" w:right="82"/>
              <w:jc w:val="both"/>
              <w:rPr>
                <w:sz w:val="22"/>
              </w:rPr>
            </w:pPr>
            <w:r>
              <w:rPr>
                <w:sz w:val="22"/>
              </w:rPr>
              <w:t>分區管制中心</w:t>
            </w:r>
          </w:p>
        </w:tc>
        <w:tc>
          <w:tcPr>
            <w:tcW w:w="1008" w:type="dxa"/>
          </w:tcPr>
          <w:p>
            <w:pPr>
              <w:pStyle w:val="TableParagraph"/>
              <w:spacing w:line="326" w:lineRule="exact"/>
              <w:ind w:left="81" w:right="82"/>
              <w:jc w:val="center"/>
              <w:rPr>
                <w:sz w:val="22"/>
              </w:rPr>
            </w:pPr>
            <w:r>
              <w:rPr>
                <w:sz w:val="22"/>
              </w:rPr>
              <w:t>診斷</w:t>
            </w:r>
          </w:p>
          <w:p>
            <w:pPr>
              <w:pStyle w:val="TableParagraph"/>
              <w:spacing w:line="320" w:lineRule="exact"/>
              <w:ind w:left="81" w:right="81"/>
              <w:jc w:val="center"/>
              <w:rPr>
                <w:sz w:val="22"/>
              </w:rPr>
            </w:pPr>
            <w:r>
              <w:rPr>
                <w:sz w:val="22"/>
              </w:rPr>
              <w:t>(MDR:1</w:t>
            </w:r>
          </w:p>
          <w:p>
            <w:pPr>
              <w:pStyle w:val="TableParagraph"/>
              <w:spacing w:line="320" w:lineRule="exact"/>
              <w:ind w:left="81" w:right="82"/>
              <w:jc w:val="center"/>
              <w:rPr>
                <w:sz w:val="22"/>
              </w:rPr>
            </w:pPr>
            <w:r>
              <w:rPr>
                <w:spacing w:val="-1"/>
                <w:w w:val="95"/>
                <w:sz w:val="22"/>
              </w:rPr>
              <w:t>副作用</w:t>
            </w:r>
            <w:r>
              <w:rPr>
                <w:w w:val="95"/>
                <w:sz w:val="22"/>
              </w:rPr>
              <w:t>:2</w:t>
            </w:r>
          </w:p>
          <w:p>
            <w:pPr>
              <w:pStyle w:val="TableParagraph"/>
              <w:spacing w:line="294" w:lineRule="exact"/>
              <w:ind w:left="81" w:right="82"/>
              <w:jc w:val="center"/>
              <w:rPr>
                <w:sz w:val="22"/>
              </w:rPr>
            </w:pPr>
            <w:r>
              <w:rPr>
                <w:sz w:val="22"/>
              </w:rPr>
              <w:t>其他:3)</w:t>
            </w:r>
          </w:p>
        </w:tc>
      </w:tr>
      <w:tr>
        <w:trPr>
          <w:trHeight w:val="387"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7"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7"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7"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7"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7"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388" w:hRule="atLeast"/>
        </w:trPr>
        <w:tc>
          <w:tcPr>
            <w:tcW w:w="622" w:type="dxa"/>
          </w:tcPr>
          <w:p>
            <w:pPr>
              <w:pStyle w:val="TableParagraph"/>
              <w:rPr>
                <w:rFonts w:ascii="Times New Roman"/>
                <w:sz w:val="22"/>
              </w:rPr>
            </w:pPr>
          </w:p>
        </w:tc>
        <w:tc>
          <w:tcPr>
            <w:tcW w:w="622" w:type="dxa"/>
          </w:tcPr>
          <w:p>
            <w:pPr>
              <w:pStyle w:val="TableParagraph"/>
              <w:rPr>
                <w:rFonts w:ascii="Times New Roman"/>
                <w:sz w:val="22"/>
              </w:rPr>
            </w:pPr>
          </w:p>
        </w:tc>
        <w:tc>
          <w:tcPr>
            <w:tcW w:w="623" w:type="dxa"/>
          </w:tcPr>
          <w:p>
            <w:pPr>
              <w:pStyle w:val="TableParagraph"/>
              <w:rPr>
                <w:rFonts w:ascii="Times New Roman"/>
                <w:sz w:val="22"/>
              </w:rPr>
            </w:pPr>
          </w:p>
        </w:tc>
        <w:tc>
          <w:tcPr>
            <w:tcW w:w="651" w:type="dxa"/>
          </w:tcPr>
          <w:p>
            <w:pPr>
              <w:pStyle w:val="TableParagraph"/>
              <w:rPr>
                <w:rFonts w:ascii="Times New Roman"/>
                <w:sz w:val="22"/>
              </w:rPr>
            </w:pPr>
          </w:p>
        </w:tc>
        <w:tc>
          <w:tcPr>
            <w:tcW w:w="622" w:type="dxa"/>
          </w:tcPr>
          <w:p>
            <w:pPr>
              <w:pStyle w:val="TableParagraph"/>
              <w:rPr>
                <w:rFonts w:ascii="Times New Roman"/>
                <w:sz w:val="22"/>
              </w:rPr>
            </w:pPr>
          </w:p>
        </w:tc>
        <w:tc>
          <w:tcPr>
            <w:tcW w:w="713"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r>
        <w:trPr>
          <w:trHeight w:val="452" w:hRule="atLeast"/>
        </w:trPr>
        <w:tc>
          <w:tcPr>
            <w:tcW w:w="2518" w:type="dxa"/>
            <w:gridSpan w:val="4"/>
          </w:tcPr>
          <w:p>
            <w:pPr>
              <w:pStyle w:val="TableParagraph"/>
              <w:tabs>
                <w:tab w:pos="1377" w:val="left" w:leader="none"/>
              </w:tabs>
              <w:spacing w:line="423" w:lineRule="exact" w:before="9"/>
              <w:ind w:left="417"/>
              <w:rPr>
                <w:sz w:val="24"/>
              </w:rPr>
            </w:pPr>
            <w:r>
              <w:rPr>
                <w:sz w:val="24"/>
              </w:rPr>
              <w:t>共</w:t>
            </w:r>
            <w:r>
              <w:rPr>
                <w:sz w:val="24"/>
                <w:u w:val="single"/>
              </w:rPr>
              <w:t> </w:t>
              <w:tab/>
            </w:r>
            <w:r>
              <w:rPr>
                <w:sz w:val="24"/>
              </w:rPr>
              <w:t>名個案</w:t>
            </w:r>
          </w:p>
        </w:tc>
        <w:tc>
          <w:tcPr>
            <w:tcW w:w="1335" w:type="dxa"/>
            <w:gridSpan w:val="2"/>
          </w:tcPr>
          <w:p>
            <w:pPr>
              <w:pStyle w:val="TableParagraph"/>
              <w:spacing w:line="423" w:lineRule="exact" w:before="9"/>
              <w:ind w:left="425"/>
              <w:rPr>
                <w:sz w:val="24"/>
              </w:rPr>
            </w:pPr>
            <w:r>
              <w:rPr>
                <w:sz w:val="24"/>
              </w:rPr>
              <w:t>總計</w:t>
            </w: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5" w:type="dxa"/>
          </w:tcPr>
          <w:p>
            <w:pPr>
              <w:pStyle w:val="TableParagraph"/>
              <w:rPr>
                <w:rFonts w:ascii="Times New Roman"/>
                <w:sz w:val="22"/>
              </w:rPr>
            </w:pPr>
          </w:p>
        </w:tc>
        <w:tc>
          <w:tcPr>
            <w:tcW w:w="726" w:type="dxa"/>
          </w:tcPr>
          <w:p>
            <w:pPr>
              <w:pStyle w:val="TableParagraph"/>
              <w:rPr>
                <w:rFonts w:ascii="Times New Roman"/>
                <w:sz w:val="22"/>
              </w:rPr>
            </w:pPr>
          </w:p>
        </w:tc>
        <w:tc>
          <w:tcPr>
            <w:tcW w:w="617" w:type="dxa"/>
          </w:tcPr>
          <w:p>
            <w:pPr>
              <w:pStyle w:val="TableParagraph"/>
              <w:rPr>
                <w:rFonts w:ascii="Times New Roman"/>
                <w:sz w:val="22"/>
              </w:rPr>
            </w:pPr>
          </w:p>
        </w:tc>
        <w:tc>
          <w:tcPr>
            <w:tcW w:w="1008" w:type="dxa"/>
          </w:tcPr>
          <w:p>
            <w:pPr>
              <w:pStyle w:val="TableParagraph"/>
              <w:rPr>
                <w:rFonts w:ascii="Times New Roman"/>
                <w:sz w:val="22"/>
              </w:rPr>
            </w:pPr>
          </w:p>
        </w:tc>
      </w:tr>
    </w:tbl>
    <w:p>
      <w:pPr>
        <w:spacing w:after="0"/>
        <w:rPr>
          <w:rFonts w:ascii="Times New Roman"/>
          <w:sz w:val="22"/>
        </w:rPr>
        <w:sectPr>
          <w:footerReference w:type="default" r:id="rId50"/>
          <w:pgSz w:w="17190" w:h="12250" w:orient="landscape"/>
          <w:pgMar w:footer="828" w:header="0" w:top="1140" w:bottom="1020" w:left="660" w:right="660"/>
          <w:pgNumType w:start="87"/>
        </w:sectPr>
      </w:pPr>
    </w:p>
    <w:p>
      <w:pPr>
        <w:pStyle w:val="BodyText"/>
        <w:spacing w:before="3"/>
        <w:rPr>
          <w:b/>
          <w:sz w:val="9"/>
        </w:rPr>
      </w:pPr>
    </w:p>
    <w:p>
      <w:pPr>
        <w:tabs>
          <w:tab w:pos="4787" w:val="left" w:leader="none"/>
          <w:tab w:pos="6679" w:val="left" w:leader="none"/>
          <w:tab w:pos="7759" w:val="left" w:leader="none"/>
          <w:tab w:pos="8569" w:val="left" w:leader="none"/>
        </w:tabs>
        <w:spacing w:before="31"/>
        <w:ind w:left="927" w:right="0" w:firstLine="0"/>
        <w:jc w:val="left"/>
        <w:rPr>
          <w:b/>
          <w:sz w:val="27"/>
        </w:rPr>
      </w:pPr>
      <w:r>
        <w:rPr>
          <w:b/>
          <w:sz w:val="24"/>
        </w:rPr>
        <w:t>附件</w:t>
      </w:r>
      <w:r>
        <w:rPr>
          <w:b/>
          <w:spacing w:val="-1"/>
          <w:sz w:val="24"/>
        </w:rPr>
        <w:t> </w:t>
      </w:r>
      <w:r>
        <w:rPr>
          <w:b/>
          <w:sz w:val="24"/>
        </w:rPr>
        <w:t>6-2-2</w:t>
        <w:tab/>
      </w:r>
      <w:r>
        <w:rPr>
          <w:b/>
          <w:color w:val="FF0000"/>
          <w:sz w:val="24"/>
          <w:u w:val="single" w:color="FF0000"/>
        </w:rPr>
        <w:t> </w:t>
        <w:tab/>
      </w:r>
      <w:r>
        <w:rPr>
          <w:b/>
          <w:color w:val="FF0000"/>
          <w:sz w:val="27"/>
        </w:rPr>
        <w:t>醫院</w:t>
      </w:r>
      <w:r>
        <w:rPr>
          <w:b/>
          <w:color w:val="FF0000"/>
          <w:sz w:val="27"/>
          <w:u w:val="single" w:color="FF0000"/>
        </w:rPr>
        <w:t> </w:t>
        <w:tab/>
      </w:r>
      <w:r>
        <w:rPr>
          <w:b/>
          <w:color w:val="FF0000"/>
          <w:sz w:val="27"/>
        </w:rPr>
        <w:t>年</w:t>
      </w:r>
      <w:r>
        <w:rPr>
          <w:b/>
          <w:color w:val="FF0000"/>
          <w:sz w:val="27"/>
          <w:u w:val="single" w:color="FF0000"/>
        </w:rPr>
        <w:t> </w:t>
        <w:tab/>
      </w:r>
      <w:r>
        <w:rPr>
          <w:b/>
          <w:color w:val="FF0000"/>
          <w:sz w:val="27"/>
        </w:rPr>
        <w:t>月抗結核公費藥月報表</w:t>
      </w:r>
    </w:p>
    <w:p>
      <w:pPr>
        <w:pStyle w:val="BodyText"/>
        <w:spacing w:before="9"/>
        <w:rPr>
          <w:b/>
          <w:sz w:val="10"/>
        </w:rPr>
      </w:pPr>
    </w:p>
    <w:tbl>
      <w:tblPr>
        <w:tblW w:w="0" w:type="auto"/>
        <w:jc w:val="left"/>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57"/>
        <w:gridCol w:w="2034"/>
        <w:gridCol w:w="2036"/>
        <w:gridCol w:w="2035"/>
        <w:gridCol w:w="2036"/>
        <w:gridCol w:w="2035"/>
      </w:tblGrid>
      <w:tr>
        <w:trPr>
          <w:trHeight w:val="417" w:hRule="atLeast"/>
        </w:trPr>
        <w:tc>
          <w:tcPr>
            <w:tcW w:w="3857" w:type="dxa"/>
          </w:tcPr>
          <w:p>
            <w:pPr>
              <w:pStyle w:val="TableParagraph"/>
              <w:spacing w:line="397" w:lineRule="exact"/>
              <w:ind w:left="1667" w:right="1660"/>
              <w:jc w:val="center"/>
              <w:rPr>
                <w:sz w:val="24"/>
              </w:rPr>
            </w:pPr>
            <w:r>
              <w:rPr>
                <w:sz w:val="24"/>
              </w:rPr>
              <w:t>藥品</w:t>
            </w:r>
          </w:p>
        </w:tc>
        <w:tc>
          <w:tcPr>
            <w:tcW w:w="2034" w:type="dxa"/>
          </w:tcPr>
          <w:p>
            <w:pPr>
              <w:pStyle w:val="TableParagraph"/>
              <w:spacing w:line="397" w:lineRule="exact"/>
              <w:ind w:left="414"/>
              <w:rPr>
                <w:sz w:val="24"/>
              </w:rPr>
            </w:pPr>
            <w:r>
              <w:rPr>
                <w:sz w:val="24"/>
              </w:rPr>
              <w:t>上月結存量</w:t>
            </w:r>
          </w:p>
        </w:tc>
        <w:tc>
          <w:tcPr>
            <w:tcW w:w="2036" w:type="dxa"/>
          </w:tcPr>
          <w:p>
            <w:pPr>
              <w:pStyle w:val="TableParagraph"/>
              <w:spacing w:line="397" w:lineRule="exact"/>
              <w:ind w:left="417"/>
              <w:rPr>
                <w:sz w:val="24"/>
              </w:rPr>
            </w:pPr>
            <w:r>
              <w:rPr>
                <w:sz w:val="24"/>
              </w:rPr>
              <w:t>本月申請量</w:t>
            </w:r>
          </w:p>
        </w:tc>
        <w:tc>
          <w:tcPr>
            <w:tcW w:w="2035" w:type="dxa"/>
          </w:tcPr>
          <w:p>
            <w:pPr>
              <w:pStyle w:val="TableParagraph"/>
              <w:spacing w:line="397" w:lineRule="exact"/>
              <w:ind w:left="416"/>
              <w:rPr>
                <w:sz w:val="24"/>
              </w:rPr>
            </w:pPr>
            <w:r>
              <w:rPr>
                <w:sz w:val="24"/>
              </w:rPr>
              <w:t>本月消耗量</w:t>
            </w:r>
          </w:p>
        </w:tc>
        <w:tc>
          <w:tcPr>
            <w:tcW w:w="2036" w:type="dxa"/>
          </w:tcPr>
          <w:p>
            <w:pPr>
              <w:pStyle w:val="TableParagraph"/>
              <w:spacing w:line="397" w:lineRule="exact"/>
              <w:ind w:left="417"/>
              <w:rPr>
                <w:sz w:val="24"/>
              </w:rPr>
            </w:pPr>
            <w:r>
              <w:rPr>
                <w:sz w:val="24"/>
              </w:rPr>
              <w:t>本月結存量</w:t>
            </w:r>
          </w:p>
        </w:tc>
        <w:tc>
          <w:tcPr>
            <w:tcW w:w="2035" w:type="dxa"/>
          </w:tcPr>
          <w:p>
            <w:pPr>
              <w:pStyle w:val="TableParagraph"/>
              <w:spacing w:line="397" w:lineRule="exact"/>
              <w:ind w:left="417"/>
              <w:rPr>
                <w:sz w:val="24"/>
              </w:rPr>
            </w:pPr>
            <w:r>
              <w:rPr>
                <w:sz w:val="24"/>
              </w:rPr>
              <w:t>次月需求量</w:t>
            </w:r>
          </w:p>
        </w:tc>
      </w:tr>
      <w:tr>
        <w:trPr>
          <w:trHeight w:val="536" w:hRule="atLeast"/>
        </w:trPr>
        <w:tc>
          <w:tcPr>
            <w:tcW w:w="3857" w:type="dxa"/>
          </w:tcPr>
          <w:p>
            <w:pPr>
              <w:pStyle w:val="TableParagraph"/>
              <w:spacing w:before="47"/>
              <w:ind w:left="93"/>
              <w:rPr>
                <w:sz w:val="24"/>
              </w:rPr>
            </w:pPr>
            <w:r>
              <w:rPr>
                <w:sz w:val="24"/>
              </w:rPr>
              <w:t>Prothionamide(TBN) 250mg</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5" w:hRule="atLeast"/>
        </w:trPr>
        <w:tc>
          <w:tcPr>
            <w:tcW w:w="3857" w:type="dxa"/>
          </w:tcPr>
          <w:p>
            <w:pPr>
              <w:pStyle w:val="TableParagraph"/>
              <w:spacing w:before="47"/>
              <w:ind w:left="93"/>
              <w:rPr>
                <w:sz w:val="24"/>
              </w:rPr>
            </w:pPr>
            <w:r>
              <w:rPr>
                <w:sz w:val="24"/>
              </w:rPr>
              <w:t>Levofloxacin(LEVO) 100mg</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6" w:hRule="atLeast"/>
        </w:trPr>
        <w:tc>
          <w:tcPr>
            <w:tcW w:w="3857" w:type="dxa"/>
          </w:tcPr>
          <w:p>
            <w:pPr>
              <w:pStyle w:val="TableParagraph"/>
              <w:spacing w:before="47"/>
              <w:ind w:left="93"/>
              <w:rPr>
                <w:sz w:val="24"/>
              </w:rPr>
            </w:pPr>
            <w:r>
              <w:rPr>
                <w:sz w:val="24"/>
              </w:rPr>
              <w:t>Levofloxacin(LEVO) 500mg</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6" w:hRule="atLeast"/>
        </w:trPr>
        <w:tc>
          <w:tcPr>
            <w:tcW w:w="3857" w:type="dxa"/>
          </w:tcPr>
          <w:p>
            <w:pPr>
              <w:pStyle w:val="TableParagraph"/>
              <w:spacing w:before="47"/>
              <w:ind w:left="93"/>
              <w:rPr>
                <w:sz w:val="24"/>
              </w:rPr>
            </w:pPr>
            <w:r>
              <w:rPr>
                <w:sz w:val="24"/>
              </w:rPr>
              <w:t>Levofloxacin(LEVO) 750mg</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5" w:hRule="atLeast"/>
        </w:trPr>
        <w:tc>
          <w:tcPr>
            <w:tcW w:w="3857" w:type="dxa"/>
          </w:tcPr>
          <w:p>
            <w:pPr>
              <w:pStyle w:val="TableParagraph"/>
              <w:spacing w:line="408" w:lineRule="exact" w:before="107"/>
              <w:ind w:left="93"/>
              <w:rPr>
                <w:sz w:val="24"/>
              </w:rPr>
            </w:pPr>
            <w:r>
              <w:rPr>
                <w:sz w:val="24"/>
              </w:rPr>
              <w:t>Moxifloxacin(MOXI) 400mg</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6" w:hRule="atLeast"/>
        </w:trPr>
        <w:tc>
          <w:tcPr>
            <w:tcW w:w="3857" w:type="dxa"/>
          </w:tcPr>
          <w:p>
            <w:pPr>
              <w:pStyle w:val="TableParagraph"/>
              <w:spacing w:line="408" w:lineRule="exact" w:before="107"/>
              <w:ind w:left="93"/>
              <w:rPr>
                <w:sz w:val="24"/>
              </w:rPr>
            </w:pPr>
            <w:r>
              <w:rPr>
                <w:sz w:val="24"/>
              </w:rPr>
              <w:t>Cycloserine(CS) 250mg</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5" w:hRule="atLeast"/>
        </w:trPr>
        <w:tc>
          <w:tcPr>
            <w:tcW w:w="3857" w:type="dxa"/>
          </w:tcPr>
          <w:p>
            <w:pPr>
              <w:pStyle w:val="TableParagraph"/>
              <w:spacing w:before="47"/>
              <w:ind w:left="93"/>
              <w:rPr>
                <w:sz w:val="24"/>
              </w:rPr>
            </w:pPr>
            <w:r>
              <w:rPr>
                <w:sz w:val="24"/>
              </w:rPr>
              <w:t>Kanamycin(KM) 1gm</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5" w:hRule="atLeast"/>
        </w:trPr>
        <w:tc>
          <w:tcPr>
            <w:tcW w:w="3857" w:type="dxa"/>
          </w:tcPr>
          <w:p>
            <w:pPr>
              <w:pStyle w:val="TableParagraph"/>
              <w:spacing w:before="47"/>
              <w:ind w:left="93"/>
              <w:rPr>
                <w:sz w:val="24"/>
              </w:rPr>
            </w:pPr>
            <w:r>
              <w:rPr>
                <w:sz w:val="24"/>
              </w:rPr>
              <w:t>StrePTOmycim(SM) 1gm</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6" w:hRule="atLeast"/>
        </w:trPr>
        <w:tc>
          <w:tcPr>
            <w:tcW w:w="3857" w:type="dxa"/>
          </w:tcPr>
          <w:p>
            <w:pPr>
              <w:pStyle w:val="TableParagraph"/>
              <w:spacing w:line="408" w:lineRule="exact" w:before="107"/>
              <w:ind w:left="93"/>
              <w:rPr>
                <w:sz w:val="24"/>
              </w:rPr>
            </w:pPr>
            <w:r>
              <w:rPr>
                <w:sz w:val="24"/>
              </w:rPr>
              <w:t>Amikacin(AM) </w:t>
            </w:r>
            <w:r>
              <w:rPr>
                <w:color w:val="FF0000"/>
                <w:sz w:val="24"/>
              </w:rPr>
              <w:t>500</w:t>
            </w:r>
            <w:r>
              <w:rPr>
                <w:sz w:val="24"/>
              </w:rPr>
              <w:t>mg</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6" w:hRule="atLeast"/>
        </w:trPr>
        <w:tc>
          <w:tcPr>
            <w:tcW w:w="3857" w:type="dxa"/>
          </w:tcPr>
          <w:p>
            <w:pPr>
              <w:pStyle w:val="TableParagraph"/>
              <w:spacing w:line="408" w:lineRule="exact" w:before="107"/>
              <w:ind w:left="93"/>
              <w:rPr>
                <w:sz w:val="24"/>
              </w:rPr>
            </w:pPr>
            <w:r>
              <w:rPr>
                <w:sz w:val="24"/>
              </w:rPr>
              <w:t>Water for Inj 10ml 注射用水</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5" w:hRule="atLeast"/>
        </w:trPr>
        <w:tc>
          <w:tcPr>
            <w:tcW w:w="3857" w:type="dxa"/>
          </w:tcPr>
          <w:p>
            <w:pPr>
              <w:pStyle w:val="TableParagraph"/>
              <w:spacing w:line="408" w:lineRule="exact" w:before="107"/>
              <w:ind w:left="93"/>
              <w:rPr>
                <w:sz w:val="24"/>
              </w:rPr>
            </w:pPr>
            <w:r>
              <w:rPr>
                <w:sz w:val="24"/>
              </w:rPr>
              <w:t>RHZ 75/50/150mg</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r>
        <w:trPr>
          <w:trHeight w:val="536" w:hRule="atLeast"/>
        </w:trPr>
        <w:tc>
          <w:tcPr>
            <w:tcW w:w="3857" w:type="dxa"/>
          </w:tcPr>
          <w:p>
            <w:pPr>
              <w:pStyle w:val="TableParagraph"/>
              <w:spacing w:line="408" w:lineRule="exact" w:before="107"/>
              <w:ind w:left="93"/>
              <w:rPr>
                <w:sz w:val="24"/>
              </w:rPr>
            </w:pPr>
            <w:r>
              <w:rPr>
                <w:sz w:val="24"/>
              </w:rPr>
              <w:t>RH 75/50mg</w:t>
            </w:r>
          </w:p>
        </w:tc>
        <w:tc>
          <w:tcPr>
            <w:tcW w:w="2034"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c>
          <w:tcPr>
            <w:tcW w:w="2036" w:type="dxa"/>
          </w:tcPr>
          <w:p>
            <w:pPr>
              <w:pStyle w:val="TableParagraph"/>
              <w:rPr>
                <w:rFonts w:ascii="Times New Roman"/>
                <w:sz w:val="24"/>
              </w:rPr>
            </w:pPr>
          </w:p>
        </w:tc>
        <w:tc>
          <w:tcPr>
            <w:tcW w:w="2035" w:type="dxa"/>
          </w:tcPr>
          <w:p>
            <w:pPr>
              <w:pStyle w:val="TableParagraph"/>
              <w:rPr>
                <w:rFonts w:ascii="Times New Roman"/>
                <w:sz w:val="24"/>
              </w:rPr>
            </w:pPr>
          </w:p>
        </w:tc>
      </w:tr>
    </w:tbl>
    <w:p>
      <w:pPr>
        <w:pStyle w:val="BodyText"/>
        <w:spacing w:before="15"/>
        <w:rPr>
          <w:b/>
          <w:sz w:val="21"/>
        </w:rPr>
      </w:pPr>
    </w:p>
    <w:p>
      <w:pPr>
        <w:pStyle w:val="BodyText"/>
        <w:tabs>
          <w:tab w:pos="6356" w:val="left" w:leader="none"/>
          <w:tab w:pos="10159" w:val="left" w:leader="none"/>
        </w:tabs>
        <w:spacing w:before="1"/>
        <w:ind w:left="940"/>
      </w:pPr>
      <w:r>
        <w:rPr/>
        <w:t>填表人：</w:t>
        <w:tab/>
        <w:t>電話：</w:t>
        <w:tab/>
        <w:t>主管：</w:t>
      </w:r>
    </w:p>
    <w:p>
      <w:pPr>
        <w:pStyle w:val="BodyText"/>
        <w:spacing w:before="2"/>
        <w:rPr>
          <w:sz w:val="21"/>
        </w:rPr>
      </w:pPr>
    </w:p>
    <w:p>
      <w:pPr>
        <w:pStyle w:val="BodyText"/>
        <w:tabs>
          <w:tab w:pos="6356" w:val="left" w:leader="none"/>
          <w:tab w:pos="10159" w:val="left" w:leader="none"/>
        </w:tabs>
        <w:ind w:left="940"/>
      </w:pPr>
      <w:r>
        <w:rPr/>
        <w:t>收件住址：</w:t>
        <w:tab/>
        <w:t>收件人：</w:t>
        <w:tab/>
        <w:t>收件人聯絡電話：</w:t>
      </w:r>
    </w:p>
    <w:p>
      <w:pPr>
        <w:spacing w:after="0"/>
        <w:sectPr>
          <w:pgSz w:w="17190" w:h="12250" w:orient="landscape"/>
          <w:pgMar w:header="0" w:footer="828" w:top="1140" w:bottom="1020" w:left="660" w:right="660"/>
        </w:sectPr>
      </w:pPr>
    </w:p>
    <w:p>
      <w:pPr>
        <w:pStyle w:val="BodyText"/>
        <w:spacing w:before="3"/>
        <w:rPr>
          <w:sz w:val="9"/>
        </w:rPr>
      </w:pPr>
    </w:p>
    <w:p>
      <w:pPr>
        <w:tabs>
          <w:tab w:pos="5148" w:val="left" w:leader="none"/>
        </w:tabs>
        <w:spacing w:before="31"/>
        <w:ind w:left="927" w:right="0" w:firstLine="0"/>
        <w:jc w:val="left"/>
        <w:rPr>
          <w:b/>
          <w:sz w:val="27"/>
        </w:rPr>
      </w:pPr>
      <w:r>
        <w:rPr>
          <w:b/>
          <w:sz w:val="24"/>
        </w:rPr>
        <w:t>附件</w:t>
      </w:r>
      <w:r>
        <w:rPr>
          <w:b/>
          <w:spacing w:val="-1"/>
          <w:sz w:val="24"/>
        </w:rPr>
        <w:t> </w:t>
      </w:r>
      <w:r>
        <w:rPr>
          <w:b/>
          <w:sz w:val="24"/>
        </w:rPr>
        <w:t>6-2-3</w:t>
        <w:tab/>
      </w:r>
      <w:r>
        <w:rPr>
          <w:b/>
          <w:color w:val="FF0000"/>
          <w:sz w:val="27"/>
        </w:rPr>
        <w:t>衛生福利部疾病管制署申請公費抗結核藥品簽收單</w:t>
      </w:r>
    </w:p>
    <w:p>
      <w:pPr>
        <w:pStyle w:val="BodyText"/>
        <w:spacing w:before="5"/>
        <w:rPr>
          <w:b/>
          <w:sz w:val="8"/>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9"/>
        <w:gridCol w:w="2957"/>
        <w:gridCol w:w="2725"/>
        <w:gridCol w:w="3217"/>
      </w:tblGrid>
      <w:tr>
        <w:trPr>
          <w:trHeight w:val="367" w:hRule="atLeast"/>
        </w:trPr>
        <w:tc>
          <w:tcPr>
            <w:tcW w:w="5219" w:type="dxa"/>
            <w:tcBorders>
              <w:top w:val="nil"/>
              <w:left w:val="nil"/>
              <w:right w:val="nil"/>
            </w:tcBorders>
          </w:tcPr>
          <w:p>
            <w:pPr>
              <w:pStyle w:val="TableParagraph"/>
              <w:spacing w:line="347" w:lineRule="exact"/>
              <w:ind w:left="32"/>
              <w:rPr>
                <w:sz w:val="24"/>
              </w:rPr>
            </w:pPr>
            <w:r>
              <w:rPr>
                <w:sz w:val="24"/>
              </w:rPr>
              <w:t>醫院名稱：</w:t>
            </w:r>
          </w:p>
        </w:tc>
        <w:tc>
          <w:tcPr>
            <w:tcW w:w="2957" w:type="dxa"/>
            <w:tcBorders>
              <w:top w:val="nil"/>
              <w:left w:val="nil"/>
              <w:right w:val="nil"/>
            </w:tcBorders>
          </w:tcPr>
          <w:p>
            <w:pPr>
              <w:pStyle w:val="TableParagraph"/>
              <w:rPr>
                <w:rFonts w:ascii="Times New Roman"/>
                <w:sz w:val="24"/>
              </w:rPr>
            </w:pPr>
          </w:p>
        </w:tc>
        <w:tc>
          <w:tcPr>
            <w:tcW w:w="2725" w:type="dxa"/>
            <w:tcBorders>
              <w:top w:val="nil"/>
              <w:left w:val="nil"/>
              <w:right w:val="nil"/>
            </w:tcBorders>
          </w:tcPr>
          <w:p>
            <w:pPr>
              <w:pStyle w:val="TableParagraph"/>
              <w:spacing w:line="347" w:lineRule="exact"/>
              <w:ind w:left="1224"/>
              <w:rPr>
                <w:sz w:val="24"/>
              </w:rPr>
            </w:pPr>
            <w:r>
              <w:rPr>
                <w:sz w:val="24"/>
              </w:rPr>
              <w:t>日期：</w:t>
            </w:r>
          </w:p>
        </w:tc>
        <w:tc>
          <w:tcPr>
            <w:tcW w:w="3217" w:type="dxa"/>
            <w:tcBorders>
              <w:top w:val="nil"/>
              <w:left w:val="nil"/>
              <w:right w:val="nil"/>
            </w:tcBorders>
          </w:tcPr>
          <w:p>
            <w:pPr>
              <w:pStyle w:val="TableParagraph"/>
              <w:rPr>
                <w:rFonts w:ascii="Times New Roman"/>
                <w:sz w:val="24"/>
              </w:rPr>
            </w:pPr>
          </w:p>
        </w:tc>
      </w:tr>
      <w:tr>
        <w:trPr>
          <w:trHeight w:val="540" w:hRule="atLeast"/>
        </w:trPr>
        <w:tc>
          <w:tcPr>
            <w:tcW w:w="5219" w:type="dxa"/>
          </w:tcPr>
          <w:p>
            <w:pPr>
              <w:pStyle w:val="TableParagraph"/>
              <w:tabs>
                <w:tab w:pos="728" w:val="left" w:leader="none"/>
              </w:tabs>
              <w:spacing w:before="47"/>
              <w:ind w:left="8"/>
              <w:jc w:val="center"/>
              <w:rPr>
                <w:sz w:val="24"/>
              </w:rPr>
            </w:pPr>
            <w:r>
              <w:rPr>
                <w:sz w:val="24"/>
              </w:rPr>
              <w:t>藥</w:t>
              <w:tab/>
              <w:t>名</w:t>
            </w:r>
          </w:p>
        </w:tc>
        <w:tc>
          <w:tcPr>
            <w:tcW w:w="2957" w:type="dxa"/>
          </w:tcPr>
          <w:p>
            <w:pPr>
              <w:pStyle w:val="TableParagraph"/>
              <w:spacing w:before="47"/>
              <w:ind w:left="978" w:right="969"/>
              <w:jc w:val="center"/>
              <w:rPr>
                <w:sz w:val="24"/>
              </w:rPr>
            </w:pPr>
            <w:r>
              <w:rPr>
                <w:sz w:val="24"/>
              </w:rPr>
              <w:t>申請數量</w:t>
            </w:r>
          </w:p>
        </w:tc>
        <w:tc>
          <w:tcPr>
            <w:tcW w:w="2725" w:type="dxa"/>
          </w:tcPr>
          <w:p>
            <w:pPr>
              <w:pStyle w:val="TableParagraph"/>
              <w:spacing w:before="47"/>
              <w:ind w:left="882"/>
              <w:rPr>
                <w:sz w:val="24"/>
              </w:rPr>
            </w:pPr>
            <w:r>
              <w:rPr>
                <w:sz w:val="24"/>
              </w:rPr>
              <w:t>核發數量</w:t>
            </w:r>
          </w:p>
        </w:tc>
        <w:tc>
          <w:tcPr>
            <w:tcW w:w="3217" w:type="dxa"/>
          </w:tcPr>
          <w:p>
            <w:pPr>
              <w:pStyle w:val="TableParagraph"/>
              <w:tabs>
                <w:tab w:pos="728" w:val="left" w:leader="none"/>
              </w:tabs>
              <w:spacing w:before="47"/>
              <w:ind w:left="8"/>
              <w:jc w:val="center"/>
              <w:rPr>
                <w:sz w:val="24"/>
              </w:rPr>
            </w:pPr>
            <w:r>
              <w:rPr>
                <w:sz w:val="24"/>
              </w:rPr>
              <w:t>批</w:t>
              <w:tab/>
              <w:t>號</w:t>
            </w:r>
          </w:p>
        </w:tc>
      </w:tr>
      <w:tr>
        <w:trPr>
          <w:trHeight w:val="541" w:hRule="atLeast"/>
        </w:trPr>
        <w:tc>
          <w:tcPr>
            <w:tcW w:w="5219" w:type="dxa"/>
          </w:tcPr>
          <w:p>
            <w:pPr>
              <w:pStyle w:val="TableParagraph"/>
              <w:spacing w:before="47"/>
              <w:ind w:right="1396"/>
              <w:jc w:val="right"/>
              <w:rPr>
                <w:sz w:val="24"/>
              </w:rPr>
            </w:pPr>
            <w:r>
              <w:rPr>
                <w:sz w:val="24"/>
              </w:rPr>
              <w:t>Prothionamide(TBN) 250mg</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0" w:hRule="atLeast"/>
        </w:trPr>
        <w:tc>
          <w:tcPr>
            <w:tcW w:w="5219" w:type="dxa"/>
          </w:tcPr>
          <w:p>
            <w:pPr>
              <w:pStyle w:val="TableParagraph"/>
              <w:spacing w:before="47"/>
              <w:ind w:right="1469"/>
              <w:jc w:val="right"/>
              <w:rPr>
                <w:sz w:val="24"/>
              </w:rPr>
            </w:pPr>
            <w:r>
              <w:rPr>
                <w:sz w:val="24"/>
              </w:rPr>
              <w:t>Levofloxacin(LEVO) 100mg</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0" w:hRule="atLeast"/>
        </w:trPr>
        <w:tc>
          <w:tcPr>
            <w:tcW w:w="5219" w:type="dxa"/>
          </w:tcPr>
          <w:p>
            <w:pPr>
              <w:pStyle w:val="TableParagraph"/>
              <w:spacing w:before="47"/>
              <w:ind w:right="1469"/>
              <w:jc w:val="right"/>
              <w:rPr>
                <w:sz w:val="24"/>
              </w:rPr>
            </w:pPr>
            <w:r>
              <w:rPr>
                <w:sz w:val="24"/>
              </w:rPr>
              <w:t>Levofloxacin(LEVO) 500mg</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0" w:hRule="atLeast"/>
        </w:trPr>
        <w:tc>
          <w:tcPr>
            <w:tcW w:w="5219" w:type="dxa"/>
          </w:tcPr>
          <w:p>
            <w:pPr>
              <w:pStyle w:val="TableParagraph"/>
              <w:spacing w:before="47"/>
              <w:ind w:right="1469"/>
              <w:jc w:val="right"/>
              <w:rPr>
                <w:sz w:val="24"/>
              </w:rPr>
            </w:pPr>
            <w:r>
              <w:rPr>
                <w:sz w:val="24"/>
              </w:rPr>
              <w:t>Levofloxacin(LEVO) 750mg</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0" w:hRule="atLeast"/>
        </w:trPr>
        <w:tc>
          <w:tcPr>
            <w:tcW w:w="5219" w:type="dxa"/>
          </w:tcPr>
          <w:p>
            <w:pPr>
              <w:pStyle w:val="TableParagraph"/>
              <w:spacing w:before="47"/>
              <w:ind w:right="1434"/>
              <w:jc w:val="right"/>
              <w:rPr>
                <w:sz w:val="24"/>
              </w:rPr>
            </w:pPr>
            <w:r>
              <w:rPr>
                <w:sz w:val="24"/>
              </w:rPr>
              <w:t>Moxifloxacin(MOXI) 400mg</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0" w:hRule="atLeast"/>
        </w:trPr>
        <w:tc>
          <w:tcPr>
            <w:tcW w:w="5219" w:type="dxa"/>
          </w:tcPr>
          <w:p>
            <w:pPr>
              <w:pStyle w:val="TableParagraph"/>
              <w:spacing w:before="47"/>
              <w:ind w:left="931"/>
              <w:rPr>
                <w:sz w:val="24"/>
              </w:rPr>
            </w:pPr>
            <w:r>
              <w:rPr>
                <w:sz w:val="24"/>
              </w:rPr>
              <w:t>Cycloserine(CS) 250mg</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2" w:hRule="atLeast"/>
        </w:trPr>
        <w:tc>
          <w:tcPr>
            <w:tcW w:w="5219" w:type="dxa"/>
          </w:tcPr>
          <w:p>
            <w:pPr>
              <w:pStyle w:val="TableParagraph"/>
              <w:spacing w:before="47"/>
              <w:ind w:left="1060"/>
              <w:rPr>
                <w:sz w:val="24"/>
              </w:rPr>
            </w:pPr>
            <w:r>
              <w:rPr>
                <w:sz w:val="24"/>
              </w:rPr>
              <w:t>Kanamycin(KM) 1gm</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0" w:hRule="atLeast"/>
        </w:trPr>
        <w:tc>
          <w:tcPr>
            <w:tcW w:w="5219" w:type="dxa"/>
          </w:tcPr>
          <w:p>
            <w:pPr>
              <w:pStyle w:val="TableParagraph"/>
              <w:spacing w:before="47"/>
              <w:ind w:left="887"/>
              <w:rPr>
                <w:sz w:val="24"/>
              </w:rPr>
            </w:pPr>
            <w:r>
              <w:rPr>
                <w:color w:val="FF0000"/>
                <w:sz w:val="24"/>
              </w:rPr>
              <w:t>Streptomycim</w:t>
            </w:r>
            <w:r>
              <w:rPr>
                <w:sz w:val="24"/>
              </w:rPr>
              <w:t>(SM) 1gm</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0" w:hRule="atLeast"/>
        </w:trPr>
        <w:tc>
          <w:tcPr>
            <w:tcW w:w="5219" w:type="dxa"/>
          </w:tcPr>
          <w:p>
            <w:pPr>
              <w:pStyle w:val="TableParagraph"/>
              <w:spacing w:before="47"/>
              <w:ind w:left="1009"/>
              <w:rPr>
                <w:sz w:val="24"/>
              </w:rPr>
            </w:pPr>
            <w:r>
              <w:rPr>
                <w:sz w:val="24"/>
              </w:rPr>
              <w:t>Amikacin(AM) 500mg</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0" w:hRule="atLeast"/>
        </w:trPr>
        <w:tc>
          <w:tcPr>
            <w:tcW w:w="5219" w:type="dxa"/>
          </w:tcPr>
          <w:p>
            <w:pPr>
              <w:pStyle w:val="TableParagraph"/>
              <w:spacing w:before="47"/>
              <w:ind w:right="1454"/>
              <w:jc w:val="right"/>
              <w:rPr>
                <w:sz w:val="24"/>
              </w:rPr>
            </w:pPr>
            <w:r>
              <w:rPr>
                <w:sz w:val="24"/>
              </w:rPr>
              <w:t>Water for Inj 10ml 注射用水</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0" w:hRule="atLeast"/>
        </w:trPr>
        <w:tc>
          <w:tcPr>
            <w:tcW w:w="5219" w:type="dxa"/>
          </w:tcPr>
          <w:p>
            <w:pPr>
              <w:pStyle w:val="TableParagraph"/>
              <w:spacing w:before="47"/>
              <w:ind w:left="1184"/>
              <w:rPr>
                <w:sz w:val="24"/>
              </w:rPr>
            </w:pPr>
            <w:r>
              <w:rPr>
                <w:sz w:val="24"/>
              </w:rPr>
              <w:t>RHZ 75/50/150mg</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540" w:hRule="atLeast"/>
        </w:trPr>
        <w:tc>
          <w:tcPr>
            <w:tcW w:w="5219" w:type="dxa"/>
          </w:tcPr>
          <w:p>
            <w:pPr>
              <w:pStyle w:val="TableParagraph"/>
              <w:spacing w:before="47"/>
              <w:ind w:left="1516"/>
              <w:rPr>
                <w:sz w:val="24"/>
              </w:rPr>
            </w:pPr>
            <w:r>
              <w:rPr>
                <w:sz w:val="24"/>
              </w:rPr>
              <w:t>RH 75/50mg</w:t>
            </w:r>
          </w:p>
        </w:tc>
        <w:tc>
          <w:tcPr>
            <w:tcW w:w="2957" w:type="dxa"/>
          </w:tcPr>
          <w:p>
            <w:pPr>
              <w:pStyle w:val="TableParagraph"/>
              <w:rPr>
                <w:rFonts w:ascii="Times New Roman"/>
                <w:sz w:val="24"/>
              </w:rPr>
            </w:pPr>
          </w:p>
        </w:tc>
        <w:tc>
          <w:tcPr>
            <w:tcW w:w="2725" w:type="dxa"/>
          </w:tcPr>
          <w:p>
            <w:pPr>
              <w:pStyle w:val="TableParagraph"/>
              <w:rPr>
                <w:rFonts w:ascii="Times New Roman"/>
                <w:sz w:val="24"/>
              </w:rPr>
            </w:pPr>
          </w:p>
        </w:tc>
        <w:tc>
          <w:tcPr>
            <w:tcW w:w="3217" w:type="dxa"/>
          </w:tcPr>
          <w:p>
            <w:pPr>
              <w:pStyle w:val="TableParagraph"/>
              <w:rPr>
                <w:rFonts w:ascii="Times New Roman"/>
                <w:sz w:val="24"/>
              </w:rPr>
            </w:pPr>
          </w:p>
        </w:tc>
      </w:tr>
      <w:tr>
        <w:trPr>
          <w:trHeight w:val="440" w:hRule="atLeast"/>
        </w:trPr>
        <w:tc>
          <w:tcPr>
            <w:tcW w:w="5219" w:type="dxa"/>
            <w:tcBorders>
              <w:left w:val="nil"/>
              <w:bottom w:val="nil"/>
              <w:right w:val="nil"/>
            </w:tcBorders>
          </w:tcPr>
          <w:p>
            <w:pPr>
              <w:pStyle w:val="TableParagraph"/>
              <w:spacing w:line="360" w:lineRule="exact" w:before="59"/>
              <w:ind w:left="54"/>
              <w:rPr>
                <w:sz w:val="24"/>
              </w:rPr>
            </w:pPr>
            <w:r>
              <w:rPr>
                <w:sz w:val="24"/>
              </w:rPr>
              <w:t>簽收人員：</w:t>
            </w:r>
          </w:p>
        </w:tc>
        <w:tc>
          <w:tcPr>
            <w:tcW w:w="2957" w:type="dxa"/>
            <w:tcBorders>
              <w:left w:val="nil"/>
              <w:bottom w:val="nil"/>
              <w:right w:val="nil"/>
            </w:tcBorders>
          </w:tcPr>
          <w:p>
            <w:pPr>
              <w:pStyle w:val="TableParagraph"/>
              <w:rPr>
                <w:rFonts w:ascii="Times New Roman"/>
                <w:sz w:val="24"/>
              </w:rPr>
            </w:pPr>
          </w:p>
        </w:tc>
        <w:tc>
          <w:tcPr>
            <w:tcW w:w="2725" w:type="dxa"/>
            <w:tcBorders>
              <w:left w:val="nil"/>
              <w:bottom w:val="nil"/>
              <w:right w:val="nil"/>
            </w:tcBorders>
          </w:tcPr>
          <w:p>
            <w:pPr>
              <w:pStyle w:val="TableParagraph"/>
              <w:spacing w:line="360" w:lineRule="exact" w:before="59"/>
              <w:ind w:left="33"/>
              <w:rPr>
                <w:sz w:val="24"/>
              </w:rPr>
            </w:pPr>
            <w:r>
              <w:rPr>
                <w:sz w:val="24"/>
              </w:rPr>
              <w:t>簽收日期：</w:t>
            </w:r>
          </w:p>
        </w:tc>
        <w:tc>
          <w:tcPr>
            <w:tcW w:w="3217" w:type="dxa"/>
            <w:tcBorders>
              <w:left w:val="nil"/>
              <w:bottom w:val="nil"/>
              <w:right w:val="nil"/>
            </w:tcBorders>
          </w:tcPr>
          <w:p>
            <w:pPr>
              <w:pStyle w:val="TableParagraph"/>
              <w:rPr>
                <w:rFonts w:ascii="Times New Roman"/>
                <w:sz w:val="24"/>
              </w:rPr>
            </w:pPr>
          </w:p>
        </w:tc>
      </w:tr>
    </w:tbl>
    <w:p>
      <w:pPr>
        <w:spacing w:before="208"/>
        <w:ind w:left="895" w:right="0" w:firstLine="0"/>
        <w:jc w:val="left"/>
        <w:rPr>
          <w:sz w:val="23"/>
        </w:rPr>
      </w:pPr>
      <w:r>
        <w:rPr>
          <w:sz w:val="23"/>
        </w:rPr>
        <w:t>備註：收到藥品，請將此表簽收後，e-mail 至 </w:t>
      </w:r>
      <w:hyperlink r:id="rId41">
        <w:r>
          <w:rPr>
            <w:sz w:val="23"/>
          </w:rPr>
          <w:t>pharmacy@mail.tainantb.gov.tw</w:t>
        </w:r>
      </w:hyperlink>
      <w:r>
        <w:rPr>
          <w:sz w:val="23"/>
        </w:rPr>
        <w:t>，俾利核銷。</w:t>
      </w:r>
    </w:p>
    <w:p>
      <w:pPr>
        <w:spacing w:after="0"/>
        <w:jc w:val="left"/>
        <w:rPr>
          <w:sz w:val="23"/>
        </w:rPr>
        <w:sectPr>
          <w:pgSz w:w="17190" w:h="12250" w:orient="landscape"/>
          <w:pgMar w:header="0" w:footer="828" w:top="1140" w:bottom="1020" w:left="660" w:right="660"/>
        </w:sectPr>
      </w:pPr>
    </w:p>
    <w:p>
      <w:pPr>
        <w:pStyle w:val="BodyText"/>
        <w:spacing w:before="11"/>
        <w:rPr>
          <w:sz w:val="9"/>
        </w:rPr>
      </w:pPr>
    </w:p>
    <w:p>
      <w:pPr>
        <w:spacing w:after="0"/>
        <w:rPr>
          <w:sz w:val="9"/>
        </w:rPr>
        <w:sectPr>
          <w:pgSz w:w="17190" w:h="12250" w:orient="landscape"/>
          <w:pgMar w:header="0" w:footer="828" w:top="1140" w:bottom="1020" w:left="660" w:right="660"/>
        </w:sectPr>
      </w:pPr>
    </w:p>
    <w:p>
      <w:pPr>
        <w:spacing w:before="177"/>
        <w:ind w:left="271" w:right="0" w:firstLine="0"/>
        <w:jc w:val="left"/>
        <w:rPr>
          <w:sz w:val="22"/>
        </w:rPr>
      </w:pPr>
      <w:r>
        <w:rPr>
          <w:sz w:val="22"/>
        </w:rPr>
        <w:t>附件 6-3</w:t>
      </w:r>
    </w:p>
    <w:p>
      <w:pPr>
        <w:spacing w:before="19"/>
        <w:ind w:left="271" w:right="0" w:firstLine="0"/>
        <w:jc w:val="left"/>
        <w:rPr>
          <w:sz w:val="32"/>
        </w:rPr>
      </w:pPr>
      <w:r>
        <w:rPr/>
        <w:br w:type="column"/>
      </w:r>
      <w:r>
        <w:rPr>
          <w:sz w:val="32"/>
        </w:rPr>
        <w:t>特殊抗結核藥品專案補助經費申請表</w:t>
      </w:r>
    </w:p>
    <w:p>
      <w:pPr>
        <w:spacing w:after="0"/>
        <w:jc w:val="left"/>
        <w:rPr>
          <w:sz w:val="32"/>
        </w:rPr>
        <w:sectPr>
          <w:type w:val="continuous"/>
          <w:pgSz w:w="17190" w:h="12250" w:orient="landscape"/>
          <w:pgMar w:top="1500" w:bottom="280" w:left="660" w:right="660"/>
          <w:cols w:num="2" w:equalWidth="0">
            <w:col w:w="1155" w:space="4133"/>
            <w:col w:w="10582"/>
          </w:cols>
        </w:sectPr>
      </w:pPr>
    </w:p>
    <w:p>
      <w:pPr>
        <w:pStyle w:val="BodyText"/>
        <w:spacing w:before="4"/>
        <w:rPr>
          <w:sz w:val="6"/>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0"/>
        <w:gridCol w:w="1080"/>
        <w:gridCol w:w="1540"/>
        <w:gridCol w:w="1080"/>
        <w:gridCol w:w="1082"/>
        <w:gridCol w:w="1197"/>
        <w:gridCol w:w="1199"/>
        <w:gridCol w:w="1197"/>
        <w:gridCol w:w="1202"/>
        <w:gridCol w:w="943"/>
        <w:gridCol w:w="897"/>
        <w:gridCol w:w="1257"/>
        <w:gridCol w:w="1742"/>
      </w:tblGrid>
      <w:tr>
        <w:trPr>
          <w:trHeight w:val="719" w:hRule="atLeast"/>
        </w:trPr>
        <w:tc>
          <w:tcPr>
            <w:tcW w:w="1200" w:type="dxa"/>
            <w:vMerge w:val="restart"/>
          </w:tcPr>
          <w:p>
            <w:pPr>
              <w:pStyle w:val="TableParagraph"/>
              <w:spacing w:before="3"/>
              <w:rPr>
                <w:sz w:val="18"/>
              </w:rPr>
            </w:pPr>
          </w:p>
          <w:p>
            <w:pPr>
              <w:pStyle w:val="TableParagraph"/>
              <w:ind w:left="118"/>
              <w:rPr>
                <w:sz w:val="24"/>
              </w:rPr>
            </w:pPr>
            <w:r>
              <w:rPr>
                <w:sz w:val="24"/>
              </w:rPr>
              <w:t>藥品名稱</w:t>
            </w:r>
          </w:p>
        </w:tc>
        <w:tc>
          <w:tcPr>
            <w:tcW w:w="1080" w:type="dxa"/>
            <w:vMerge w:val="restart"/>
          </w:tcPr>
          <w:p>
            <w:pPr>
              <w:pStyle w:val="TableParagraph"/>
              <w:spacing w:before="3"/>
              <w:rPr>
                <w:sz w:val="18"/>
              </w:rPr>
            </w:pPr>
          </w:p>
          <w:p>
            <w:pPr>
              <w:pStyle w:val="TableParagraph"/>
              <w:ind w:left="298"/>
              <w:rPr>
                <w:sz w:val="24"/>
              </w:rPr>
            </w:pPr>
            <w:r>
              <w:rPr>
                <w:sz w:val="24"/>
              </w:rPr>
              <w:t>姓名</w:t>
            </w:r>
          </w:p>
        </w:tc>
        <w:tc>
          <w:tcPr>
            <w:tcW w:w="1540" w:type="dxa"/>
            <w:vMerge w:val="restart"/>
          </w:tcPr>
          <w:p>
            <w:pPr>
              <w:pStyle w:val="TableParagraph"/>
              <w:spacing w:before="3"/>
              <w:rPr>
                <w:sz w:val="18"/>
              </w:rPr>
            </w:pPr>
          </w:p>
          <w:p>
            <w:pPr>
              <w:pStyle w:val="TableParagraph"/>
              <w:ind w:left="168"/>
              <w:rPr>
                <w:sz w:val="24"/>
              </w:rPr>
            </w:pPr>
            <w:r>
              <w:rPr>
                <w:sz w:val="24"/>
              </w:rPr>
              <w:t>身分證字號</w:t>
            </w:r>
          </w:p>
        </w:tc>
        <w:tc>
          <w:tcPr>
            <w:tcW w:w="1080" w:type="dxa"/>
            <w:vMerge w:val="restart"/>
          </w:tcPr>
          <w:p>
            <w:pPr>
              <w:pStyle w:val="TableParagraph"/>
              <w:spacing w:line="196" w:lineRule="auto" w:before="212"/>
              <w:ind w:left="299" w:right="288"/>
              <w:rPr>
                <w:sz w:val="24"/>
              </w:rPr>
            </w:pPr>
            <w:r>
              <w:rPr>
                <w:sz w:val="24"/>
              </w:rPr>
              <w:t>單顆劑量</w:t>
            </w:r>
          </w:p>
        </w:tc>
        <w:tc>
          <w:tcPr>
            <w:tcW w:w="1082" w:type="dxa"/>
            <w:vMerge w:val="restart"/>
          </w:tcPr>
          <w:p>
            <w:pPr>
              <w:pStyle w:val="TableParagraph"/>
              <w:spacing w:line="196" w:lineRule="auto" w:before="212"/>
              <w:ind w:left="299" w:right="50" w:hanging="240"/>
              <w:rPr>
                <w:sz w:val="24"/>
              </w:rPr>
            </w:pPr>
            <w:r>
              <w:rPr>
                <w:sz w:val="24"/>
              </w:rPr>
              <w:t>每日使用劑量</w:t>
            </w:r>
          </w:p>
        </w:tc>
        <w:tc>
          <w:tcPr>
            <w:tcW w:w="3593" w:type="dxa"/>
            <w:gridSpan w:val="3"/>
          </w:tcPr>
          <w:p>
            <w:pPr>
              <w:pStyle w:val="TableParagraph"/>
              <w:spacing w:before="148"/>
              <w:ind w:left="1297" w:right="1286"/>
              <w:jc w:val="center"/>
              <w:rPr>
                <w:sz w:val="24"/>
              </w:rPr>
            </w:pPr>
            <w:r>
              <w:rPr>
                <w:sz w:val="24"/>
              </w:rPr>
              <w:t>使用時間</w:t>
            </w:r>
          </w:p>
        </w:tc>
        <w:tc>
          <w:tcPr>
            <w:tcW w:w="1202" w:type="dxa"/>
            <w:vMerge w:val="restart"/>
          </w:tcPr>
          <w:p>
            <w:pPr>
              <w:pStyle w:val="TableParagraph"/>
              <w:spacing w:line="196" w:lineRule="auto" w:before="212"/>
              <w:ind w:left="364" w:right="105" w:hanging="240"/>
              <w:rPr>
                <w:sz w:val="24"/>
              </w:rPr>
            </w:pPr>
            <w:r>
              <w:rPr>
                <w:sz w:val="24"/>
              </w:rPr>
              <w:t>醫院採購單價</w:t>
            </w:r>
          </w:p>
        </w:tc>
        <w:tc>
          <w:tcPr>
            <w:tcW w:w="943" w:type="dxa"/>
            <w:vMerge w:val="restart"/>
          </w:tcPr>
          <w:p>
            <w:pPr>
              <w:pStyle w:val="TableParagraph"/>
              <w:spacing w:line="196" w:lineRule="auto" w:before="212"/>
              <w:ind w:left="232" w:right="218"/>
              <w:rPr>
                <w:sz w:val="24"/>
              </w:rPr>
            </w:pPr>
            <w:r>
              <w:rPr>
                <w:sz w:val="24"/>
              </w:rPr>
              <w:t>申請金額</w:t>
            </w:r>
          </w:p>
        </w:tc>
        <w:tc>
          <w:tcPr>
            <w:tcW w:w="2154" w:type="dxa"/>
            <w:gridSpan w:val="2"/>
          </w:tcPr>
          <w:p>
            <w:pPr>
              <w:pStyle w:val="TableParagraph"/>
              <w:spacing w:line="360" w:lineRule="exact"/>
              <w:ind w:left="158" w:right="104" w:hanging="40"/>
              <w:rPr>
                <w:sz w:val="24"/>
              </w:rPr>
            </w:pPr>
            <w:r>
              <w:rPr>
                <w:sz w:val="24"/>
              </w:rPr>
              <w:t>是否進行例行檢查並於 TB 系統登打</w:t>
            </w:r>
          </w:p>
        </w:tc>
        <w:tc>
          <w:tcPr>
            <w:tcW w:w="1742" w:type="dxa"/>
            <w:vMerge w:val="restart"/>
          </w:tcPr>
          <w:p>
            <w:pPr>
              <w:pStyle w:val="TableParagraph"/>
              <w:spacing w:before="3"/>
              <w:rPr>
                <w:sz w:val="18"/>
              </w:rPr>
            </w:pPr>
          </w:p>
          <w:p>
            <w:pPr>
              <w:pStyle w:val="TableParagraph"/>
              <w:ind w:left="615" w:right="597"/>
              <w:jc w:val="center"/>
              <w:rPr>
                <w:sz w:val="24"/>
              </w:rPr>
            </w:pPr>
            <w:r>
              <w:rPr>
                <w:sz w:val="24"/>
              </w:rPr>
              <w:t>備註</w:t>
            </w:r>
          </w:p>
        </w:tc>
      </w:tr>
      <w:tr>
        <w:trPr>
          <w:trHeight w:val="360" w:hRule="atLeast"/>
        </w:trPr>
        <w:tc>
          <w:tcPr>
            <w:tcW w:w="1200" w:type="dxa"/>
            <w:vMerge/>
            <w:tcBorders>
              <w:top w:val="nil"/>
            </w:tcBorders>
          </w:tcPr>
          <w:p>
            <w:pPr>
              <w:rPr>
                <w:sz w:val="2"/>
                <w:szCs w:val="2"/>
              </w:rPr>
            </w:pPr>
          </w:p>
        </w:tc>
        <w:tc>
          <w:tcPr>
            <w:tcW w:w="1080" w:type="dxa"/>
            <w:vMerge/>
            <w:tcBorders>
              <w:top w:val="nil"/>
            </w:tcBorders>
          </w:tcPr>
          <w:p>
            <w:pPr>
              <w:rPr>
                <w:sz w:val="2"/>
                <w:szCs w:val="2"/>
              </w:rPr>
            </w:pPr>
          </w:p>
        </w:tc>
        <w:tc>
          <w:tcPr>
            <w:tcW w:w="1540" w:type="dxa"/>
            <w:vMerge/>
            <w:tcBorders>
              <w:top w:val="nil"/>
            </w:tcBorders>
          </w:tcPr>
          <w:p>
            <w:pPr>
              <w:rPr>
                <w:sz w:val="2"/>
                <w:szCs w:val="2"/>
              </w:rPr>
            </w:pPr>
          </w:p>
        </w:tc>
        <w:tc>
          <w:tcPr>
            <w:tcW w:w="1080" w:type="dxa"/>
            <w:vMerge/>
            <w:tcBorders>
              <w:top w:val="nil"/>
            </w:tcBorders>
          </w:tcPr>
          <w:p>
            <w:pPr>
              <w:rPr>
                <w:sz w:val="2"/>
                <w:szCs w:val="2"/>
              </w:rPr>
            </w:pPr>
          </w:p>
        </w:tc>
        <w:tc>
          <w:tcPr>
            <w:tcW w:w="1082" w:type="dxa"/>
            <w:vMerge/>
            <w:tcBorders>
              <w:top w:val="nil"/>
            </w:tcBorders>
          </w:tcPr>
          <w:p>
            <w:pPr>
              <w:rPr>
                <w:sz w:val="2"/>
                <w:szCs w:val="2"/>
              </w:rPr>
            </w:pPr>
          </w:p>
        </w:tc>
        <w:tc>
          <w:tcPr>
            <w:tcW w:w="1197" w:type="dxa"/>
          </w:tcPr>
          <w:p>
            <w:pPr>
              <w:pStyle w:val="TableParagraph"/>
              <w:spacing w:line="340" w:lineRule="exact"/>
              <w:ind w:left="129" w:right="122"/>
              <w:jc w:val="center"/>
              <w:rPr>
                <w:sz w:val="24"/>
              </w:rPr>
            </w:pPr>
            <w:r>
              <w:rPr>
                <w:sz w:val="24"/>
              </w:rPr>
              <w:t>起日</w:t>
            </w:r>
          </w:p>
        </w:tc>
        <w:tc>
          <w:tcPr>
            <w:tcW w:w="1199" w:type="dxa"/>
          </w:tcPr>
          <w:p>
            <w:pPr>
              <w:pStyle w:val="TableParagraph"/>
              <w:spacing w:line="340" w:lineRule="exact"/>
              <w:ind w:left="62" w:right="51"/>
              <w:jc w:val="center"/>
              <w:rPr>
                <w:sz w:val="24"/>
              </w:rPr>
            </w:pPr>
            <w:r>
              <w:rPr>
                <w:sz w:val="24"/>
              </w:rPr>
              <w:t>迄日</w:t>
            </w:r>
          </w:p>
        </w:tc>
        <w:tc>
          <w:tcPr>
            <w:tcW w:w="1197" w:type="dxa"/>
          </w:tcPr>
          <w:p>
            <w:pPr>
              <w:pStyle w:val="TableParagraph"/>
              <w:spacing w:line="340" w:lineRule="exact"/>
              <w:ind w:left="129" w:right="114"/>
              <w:jc w:val="center"/>
              <w:rPr>
                <w:sz w:val="24"/>
              </w:rPr>
            </w:pPr>
            <w:r>
              <w:rPr>
                <w:sz w:val="24"/>
              </w:rPr>
              <w:t>總日數</w:t>
            </w:r>
          </w:p>
        </w:tc>
        <w:tc>
          <w:tcPr>
            <w:tcW w:w="1202" w:type="dxa"/>
            <w:vMerge/>
            <w:tcBorders>
              <w:top w:val="nil"/>
            </w:tcBorders>
          </w:tcPr>
          <w:p>
            <w:pPr>
              <w:rPr>
                <w:sz w:val="2"/>
                <w:szCs w:val="2"/>
              </w:rPr>
            </w:pPr>
          </w:p>
        </w:tc>
        <w:tc>
          <w:tcPr>
            <w:tcW w:w="943" w:type="dxa"/>
            <w:vMerge/>
            <w:tcBorders>
              <w:top w:val="nil"/>
            </w:tcBorders>
          </w:tcPr>
          <w:p>
            <w:pPr>
              <w:rPr>
                <w:sz w:val="2"/>
                <w:szCs w:val="2"/>
              </w:rPr>
            </w:pPr>
          </w:p>
        </w:tc>
        <w:tc>
          <w:tcPr>
            <w:tcW w:w="897" w:type="dxa"/>
          </w:tcPr>
          <w:p>
            <w:pPr>
              <w:pStyle w:val="TableParagraph"/>
              <w:spacing w:line="291" w:lineRule="exact" w:before="49"/>
              <w:ind w:left="69" w:right="58"/>
              <w:jc w:val="center"/>
              <w:rPr>
                <w:sz w:val="18"/>
              </w:rPr>
            </w:pPr>
            <w:r>
              <w:rPr>
                <w:sz w:val="18"/>
              </w:rPr>
              <w:t>血液生化</w:t>
            </w:r>
          </w:p>
        </w:tc>
        <w:tc>
          <w:tcPr>
            <w:tcW w:w="1257" w:type="dxa"/>
          </w:tcPr>
          <w:p>
            <w:pPr>
              <w:pStyle w:val="TableParagraph"/>
              <w:spacing w:line="291" w:lineRule="exact" w:before="49"/>
              <w:ind w:left="12" w:right="115"/>
              <w:jc w:val="center"/>
              <w:rPr>
                <w:sz w:val="18"/>
              </w:rPr>
            </w:pPr>
            <w:r>
              <w:rPr>
                <w:sz w:val="18"/>
              </w:rPr>
              <w:t>藥物血中濃度</w:t>
            </w:r>
          </w:p>
        </w:tc>
        <w:tc>
          <w:tcPr>
            <w:tcW w:w="1742" w:type="dxa"/>
            <w:vMerge/>
            <w:tcBorders>
              <w:top w:val="nil"/>
            </w:tcBorders>
          </w:tcPr>
          <w:p>
            <w:pPr>
              <w:rPr>
                <w:sz w:val="2"/>
                <w:szCs w:val="2"/>
              </w:rPr>
            </w:pPr>
          </w:p>
        </w:tc>
      </w:tr>
      <w:tr>
        <w:trPr>
          <w:trHeight w:val="719" w:hRule="atLeast"/>
        </w:trPr>
        <w:tc>
          <w:tcPr>
            <w:tcW w:w="1200" w:type="dxa"/>
          </w:tcPr>
          <w:p>
            <w:pPr>
              <w:pStyle w:val="TableParagraph"/>
              <w:spacing w:line="369" w:lineRule="exact"/>
              <w:ind w:left="74" w:right="65"/>
              <w:jc w:val="center"/>
              <w:rPr>
                <w:sz w:val="24"/>
              </w:rPr>
            </w:pPr>
            <w:r>
              <w:rPr>
                <w:sz w:val="24"/>
              </w:rPr>
              <w:t>Linezolid</w:t>
            </w:r>
          </w:p>
          <w:p>
            <w:pPr>
              <w:pStyle w:val="TableParagraph"/>
              <w:spacing w:line="330" w:lineRule="exact"/>
              <w:ind w:left="72" w:right="65"/>
              <w:jc w:val="center"/>
              <w:rPr>
                <w:sz w:val="24"/>
              </w:rPr>
            </w:pPr>
            <w:r>
              <w:rPr>
                <w:sz w:val="24"/>
              </w:rPr>
              <w:t>(範例)</w:t>
            </w:r>
          </w:p>
        </w:tc>
        <w:tc>
          <w:tcPr>
            <w:tcW w:w="1080" w:type="dxa"/>
          </w:tcPr>
          <w:p>
            <w:pPr>
              <w:pStyle w:val="TableParagraph"/>
              <w:spacing w:before="148"/>
              <w:ind w:left="192"/>
              <w:rPr>
                <w:sz w:val="24"/>
              </w:rPr>
            </w:pPr>
            <w:r>
              <w:rPr>
                <w:sz w:val="24"/>
              </w:rPr>
              <w:t>楊 OO</w:t>
            </w:r>
          </w:p>
        </w:tc>
        <w:tc>
          <w:tcPr>
            <w:tcW w:w="1540" w:type="dxa"/>
          </w:tcPr>
          <w:p>
            <w:pPr>
              <w:pStyle w:val="TableParagraph"/>
              <w:spacing w:before="148"/>
              <w:ind w:left="116"/>
              <w:rPr>
                <w:sz w:val="24"/>
              </w:rPr>
            </w:pPr>
            <w:r>
              <w:rPr>
                <w:sz w:val="24"/>
              </w:rPr>
              <w:t>N12345678</w:t>
            </w:r>
          </w:p>
        </w:tc>
        <w:tc>
          <w:tcPr>
            <w:tcW w:w="1080" w:type="dxa"/>
          </w:tcPr>
          <w:p>
            <w:pPr>
              <w:pStyle w:val="TableParagraph"/>
              <w:spacing w:before="148"/>
              <w:ind w:left="143"/>
              <w:rPr>
                <w:sz w:val="24"/>
              </w:rPr>
            </w:pPr>
            <w:r>
              <w:rPr>
                <w:sz w:val="24"/>
              </w:rPr>
              <w:t>600mg</w:t>
            </w:r>
          </w:p>
        </w:tc>
        <w:tc>
          <w:tcPr>
            <w:tcW w:w="1082" w:type="dxa"/>
          </w:tcPr>
          <w:p>
            <w:pPr>
              <w:pStyle w:val="TableParagraph"/>
              <w:spacing w:before="148"/>
              <w:ind w:left="143"/>
              <w:rPr>
                <w:sz w:val="24"/>
              </w:rPr>
            </w:pPr>
            <w:r>
              <w:rPr>
                <w:sz w:val="24"/>
              </w:rPr>
              <w:t>600mg</w:t>
            </w:r>
          </w:p>
        </w:tc>
        <w:tc>
          <w:tcPr>
            <w:tcW w:w="1197" w:type="dxa"/>
          </w:tcPr>
          <w:p>
            <w:pPr>
              <w:pStyle w:val="TableParagraph"/>
              <w:spacing w:before="148"/>
              <w:ind w:left="129" w:right="122"/>
              <w:jc w:val="center"/>
              <w:rPr>
                <w:sz w:val="24"/>
              </w:rPr>
            </w:pPr>
            <w:r>
              <w:rPr>
                <w:sz w:val="24"/>
              </w:rPr>
              <w:t>111/1/1</w:t>
            </w:r>
          </w:p>
        </w:tc>
        <w:tc>
          <w:tcPr>
            <w:tcW w:w="1199" w:type="dxa"/>
          </w:tcPr>
          <w:p>
            <w:pPr>
              <w:pStyle w:val="TableParagraph"/>
              <w:spacing w:before="148"/>
              <w:ind w:left="62" w:right="51"/>
              <w:jc w:val="center"/>
              <w:rPr>
                <w:sz w:val="24"/>
              </w:rPr>
            </w:pPr>
            <w:r>
              <w:rPr>
                <w:sz w:val="24"/>
              </w:rPr>
              <w:t>111/6/30</w:t>
            </w:r>
          </w:p>
        </w:tc>
        <w:tc>
          <w:tcPr>
            <w:tcW w:w="1197" w:type="dxa"/>
          </w:tcPr>
          <w:p>
            <w:pPr>
              <w:pStyle w:val="TableParagraph"/>
              <w:spacing w:before="148"/>
              <w:ind w:left="129" w:right="114"/>
              <w:jc w:val="center"/>
              <w:rPr>
                <w:sz w:val="24"/>
              </w:rPr>
            </w:pPr>
            <w:r>
              <w:rPr>
                <w:sz w:val="24"/>
              </w:rPr>
              <w:t>180</w:t>
            </w:r>
          </w:p>
        </w:tc>
        <w:tc>
          <w:tcPr>
            <w:tcW w:w="1202" w:type="dxa"/>
          </w:tcPr>
          <w:p>
            <w:pPr>
              <w:pStyle w:val="TableParagraph"/>
              <w:spacing w:before="148"/>
              <w:ind w:left="395"/>
              <w:rPr>
                <w:sz w:val="24"/>
              </w:rPr>
            </w:pPr>
            <w:r>
              <w:rPr>
                <w:sz w:val="24"/>
              </w:rPr>
              <w:t>550</w:t>
            </w:r>
          </w:p>
        </w:tc>
        <w:tc>
          <w:tcPr>
            <w:tcW w:w="943" w:type="dxa"/>
          </w:tcPr>
          <w:p>
            <w:pPr>
              <w:pStyle w:val="TableParagraph"/>
              <w:spacing w:before="148"/>
              <w:ind w:left="97"/>
              <w:rPr>
                <w:sz w:val="24"/>
              </w:rPr>
            </w:pPr>
            <w:r>
              <w:rPr>
                <w:sz w:val="24"/>
              </w:rPr>
              <w:t>99,000</w:t>
            </w:r>
          </w:p>
        </w:tc>
        <w:tc>
          <w:tcPr>
            <w:tcW w:w="897" w:type="dxa"/>
          </w:tcPr>
          <w:p>
            <w:pPr>
              <w:pStyle w:val="TableParagraph"/>
              <w:spacing w:before="148"/>
              <w:ind w:left="11"/>
              <w:jc w:val="center"/>
              <w:rPr>
                <w:sz w:val="24"/>
              </w:rPr>
            </w:pPr>
            <w:r>
              <w:rPr>
                <w:sz w:val="24"/>
              </w:rPr>
              <w:t>是</w:t>
            </w:r>
          </w:p>
        </w:tc>
        <w:tc>
          <w:tcPr>
            <w:tcW w:w="1257" w:type="dxa"/>
          </w:tcPr>
          <w:p>
            <w:pPr>
              <w:pStyle w:val="TableParagraph"/>
              <w:spacing w:before="148"/>
              <w:ind w:left="17"/>
              <w:jc w:val="center"/>
              <w:rPr>
                <w:sz w:val="24"/>
              </w:rPr>
            </w:pPr>
            <w:r>
              <w:rPr>
                <w:sz w:val="24"/>
              </w:rPr>
              <w:t>是</w:t>
            </w:r>
          </w:p>
        </w:tc>
        <w:tc>
          <w:tcPr>
            <w:tcW w:w="1742" w:type="dxa"/>
          </w:tcPr>
          <w:p>
            <w:pPr>
              <w:pStyle w:val="TableParagraph"/>
              <w:rPr>
                <w:rFonts w:ascii="Times New Roman"/>
                <w:sz w:val="24"/>
              </w:rPr>
            </w:pPr>
          </w:p>
        </w:tc>
      </w:tr>
      <w:tr>
        <w:trPr>
          <w:trHeight w:val="659" w:hRule="atLeast"/>
        </w:trPr>
        <w:tc>
          <w:tcPr>
            <w:tcW w:w="1200" w:type="dxa"/>
          </w:tcPr>
          <w:p>
            <w:pPr>
              <w:pStyle w:val="TableParagraph"/>
              <w:rPr>
                <w:rFonts w:ascii="Times New Roman"/>
                <w:sz w:val="24"/>
              </w:rPr>
            </w:pPr>
          </w:p>
        </w:tc>
        <w:tc>
          <w:tcPr>
            <w:tcW w:w="1080" w:type="dxa"/>
          </w:tcPr>
          <w:p>
            <w:pPr>
              <w:pStyle w:val="TableParagraph"/>
              <w:rPr>
                <w:rFonts w:ascii="Times New Roman"/>
                <w:sz w:val="24"/>
              </w:rPr>
            </w:pPr>
          </w:p>
        </w:tc>
        <w:tc>
          <w:tcPr>
            <w:tcW w:w="1540" w:type="dxa"/>
          </w:tcPr>
          <w:p>
            <w:pPr>
              <w:pStyle w:val="TableParagraph"/>
              <w:rPr>
                <w:rFonts w:ascii="Times New Roman"/>
                <w:sz w:val="24"/>
              </w:rPr>
            </w:pPr>
          </w:p>
        </w:tc>
        <w:tc>
          <w:tcPr>
            <w:tcW w:w="1080" w:type="dxa"/>
          </w:tcPr>
          <w:p>
            <w:pPr>
              <w:pStyle w:val="TableParagraph"/>
              <w:rPr>
                <w:rFonts w:ascii="Times New Roman"/>
                <w:sz w:val="24"/>
              </w:rPr>
            </w:pPr>
          </w:p>
        </w:tc>
        <w:tc>
          <w:tcPr>
            <w:tcW w:w="1082" w:type="dxa"/>
          </w:tcPr>
          <w:p>
            <w:pPr>
              <w:pStyle w:val="TableParagraph"/>
              <w:rPr>
                <w:rFonts w:ascii="Times New Roman"/>
                <w:sz w:val="24"/>
              </w:rPr>
            </w:pPr>
          </w:p>
        </w:tc>
        <w:tc>
          <w:tcPr>
            <w:tcW w:w="1197" w:type="dxa"/>
          </w:tcPr>
          <w:p>
            <w:pPr>
              <w:pStyle w:val="TableParagraph"/>
              <w:rPr>
                <w:rFonts w:ascii="Times New Roman"/>
                <w:sz w:val="24"/>
              </w:rPr>
            </w:pPr>
          </w:p>
        </w:tc>
        <w:tc>
          <w:tcPr>
            <w:tcW w:w="1199" w:type="dxa"/>
          </w:tcPr>
          <w:p>
            <w:pPr>
              <w:pStyle w:val="TableParagraph"/>
              <w:rPr>
                <w:rFonts w:ascii="Times New Roman"/>
                <w:sz w:val="24"/>
              </w:rPr>
            </w:pPr>
          </w:p>
        </w:tc>
        <w:tc>
          <w:tcPr>
            <w:tcW w:w="1197" w:type="dxa"/>
          </w:tcPr>
          <w:p>
            <w:pPr>
              <w:pStyle w:val="TableParagraph"/>
              <w:rPr>
                <w:rFonts w:ascii="Times New Roman"/>
                <w:sz w:val="24"/>
              </w:rPr>
            </w:pPr>
          </w:p>
        </w:tc>
        <w:tc>
          <w:tcPr>
            <w:tcW w:w="1202" w:type="dxa"/>
          </w:tcPr>
          <w:p>
            <w:pPr>
              <w:pStyle w:val="TableParagraph"/>
              <w:rPr>
                <w:rFonts w:ascii="Times New Roman"/>
                <w:sz w:val="24"/>
              </w:rPr>
            </w:pPr>
          </w:p>
        </w:tc>
        <w:tc>
          <w:tcPr>
            <w:tcW w:w="943" w:type="dxa"/>
          </w:tcPr>
          <w:p>
            <w:pPr>
              <w:pStyle w:val="TableParagraph"/>
              <w:rPr>
                <w:rFonts w:ascii="Times New Roman"/>
                <w:sz w:val="24"/>
              </w:rPr>
            </w:pPr>
          </w:p>
        </w:tc>
        <w:tc>
          <w:tcPr>
            <w:tcW w:w="897" w:type="dxa"/>
          </w:tcPr>
          <w:p>
            <w:pPr>
              <w:pStyle w:val="TableParagraph"/>
              <w:rPr>
                <w:rFonts w:ascii="Times New Roman"/>
                <w:sz w:val="24"/>
              </w:rPr>
            </w:pPr>
          </w:p>
        </w:tc>
        <w:tc>
          <w:tcPr>
            <w:tcW w:w="1257" w:type="dxa"/>
          </w:tcPr>
          <w:p>
            <w:pPr>
              <w:pStyle w:val="TableParagraph"/>
              <w:rPr>
                <w:rFonts w:ascii="Times New Roman"/>
                <w:sz w:val="24"/>
              </w:rPr>
            </w:pPr>
          </w:p>
        </w:tc>
        <w:tc>
          <w:tcPr>
            <w:tcW w:w="1742" w:type="dxa"/>
          </w:tcPr>
          <w:p>
            <w:pPr>
              <w:pStyle w:val="TableParagraph"/>
              <w:rPr>
                <w:rFonts w:ascii="Times New Roman"/>
                <w:sz w:val="24"/>
              </w:rPr>
            </w:pPr>
          </w:p>
        </w:tc>
      </w:tr>
      <w:tr>
        <w:trPr>
          <w:trHeight w:val="660" w:hRule="atLeast"/>
        </w:trPr>
        <w:tc>
          <w:tcPr>
            <w:tcW w:w="1200" w:type="dxa"/>
          </w:tcPr>
          <w:p>
            <w:pPr>
              <w:pStyle w:val="TableParagraph"/>
              <w:rPr>
                <w:rFonts w:ascii="Times New Roman"/>
                <w:sz w:val="24"/>
              </w:rPr>
            </w:pPr>
          </w:p>
        </w:tc>
        <w:tc>
          <w:tcPr>
            <w:tcW w:w="1080" w:type="dxa"/>
          </w:tcPr>
          <w:p>
            <w:pPr>
              <w:pStyle w:val="TableParagraph"/>
              <w:rPr>
                <w:rFonts w:ascii="Times New Roman"/>
                <w:sz w:val="24"/>
              </w:rPr>
            </w:pPr>
          </w:p>
        </w:tc>
        <w:tc>
          <w:tcPr>
            <w:tcW w:w="1540" w:type="dxa"/>
          </w:tcPr>
          <w:p>
            <w:pPr>
              <w:pStyle w:val="TableParagraph"/>
              <w:rPr>
                <w:rFonts w:ascii="Times New Roman"/>
                <w:sz w:val="24"/>
              </w:rPr>
            </w:pPr>
          </w:p>
        </w:tc>
        <w:tc>
          <w:tcPr>
            <w:tcW w:w="1080" w:type="dxa"/>
          </w:tcPr>
          <w:p>
            <w:pPr>
              <w:pStyle w:val="TableParagraph"/>
              <w:rPr>
                <w:rFonts w:ascii="Times New Roman"/>
                <w:sz w:val="24"/>
              </w:rPr>
            </w:pPr>
          </w:p>
        </w:tc>
        <w:tc>
          <w:tcPr>
            <w:tcW w:w="1082" w:type="dxa"/>
          </w:tcPr>
          <w:p>
            <w:pPr>
              <w:pStyle w:val="TableParagraph"/>
              <w:rPr>
                <w:rFonts w:ascii="Times New Roman"/>
                <w:sz w:val="24"/>
              </w:rPr>
            </w:pPr>
          </w:p>
        </w:tc>
        <w:tc>
          <w:tcPr>
            <w:tcW w:w="1197" w:type="dxa"/>
          </w:tcPr>
          <w:p>
            <w:pPr>
              <w:pStyle w:val="TableParagraph"/>
              <w:rPr>
                <w:rFonts w:ascii="Times New Roman"/>
                <w:sz w:val="24"/>
              </w:rPr>
            </w:pPr>
          </w:p>
        </w:tc>
        <w:tc>
          <w:tcPr>
            <w:tcW w:w="1199" w:type="dxa"/>
          </w:tcPr>
          <w:p>
            <w:pPr>
              <w:pStyle w:val="TableParagraph"/>
              <w:rPr>
                <w:rFonts w:ascii="Times New Roman"/>
                <w:sz w:val="24"/>
              </w:rPr>
            </w:pPr>
          </w:p>
        </w:tc>
        <w:tc>
          <w:tcPr>
            <w:tcW w:w="1197" w:type="dxa"/>
          </w:tcPr>
          <w:p>
            <w:pPr>
              <w:pStyle w:val="TableParagraph"/>
              <w:rPr>
                <w:rFonts w:ascii="Times New Roman"/>
                <w:sz w:val="24"/>
              </w:rPr>
            </w:pPr>
          </w:p>
        </w:tc>
        <w:tc>
          <w:tcPr>
            <w:tcW w:w="1202" w:type="dxa"/>
          </w:tcPr>
          <w:p>
            <w:pPr>
              <w:pStyle w:val="TableParagraph"/>
              <w:rPr>
                <w:rFonts w:ascii="Times New Roman"/>
                <w:sz w:val="24"/>
              </w:rPr>
            </w:pPr>
          </w:p>
        </w:tc>
        <w:tc>
          <w:tcPr>
            <w:tcW w:w="943" w:type="dxa"/>
          </w:tcPr>
          <w:p>
            <w:pPr>
              <w:pStyle w:val="TableParagraph"/>
              <w:rPr>
                <w:rFonts w:ascii="Times New Roman"/>
                <w:sz w:val="24"/>
              </w:rPr>
            </w:pPr>
          </w:p>
        </w:tc>
        <w:tc>
          <w:tcPr>
            <w:tcW w:w="897" w:type="dxa"/>
          </w:tcPr>
          <w:p>
            <w:pPr>
              <w:pStyle w:val="TableParagraph"/>
              <w:rPr>
                <w:rFonts w:ascii="Times New Roman"/>
                <w:sz w:val="24"/>
              </w:rPr>
            </w:pPr>
          </w:p>
        </w:tc>
        <w:tc>
          <w:tcPr>
            <w:tcW w:w="1257" w:type="dxa"/>
          </w:tcPr>
          <w:p>
            <w:pPr>
              <w:pStyle w:val="TableParagraph"/>
              <w:rPr>
                <w:rFonts w:ascii="Times New Roman"/>
                <w:sz w:val="24"/>
              </w:rPr>
            </w:pPr>
          </w:p>
        </w:tc>
        <w:tc>
          <w:tcPr>
            <w:tcW w:w="1742" w:type="dxa"/>
          </w:tcPr>
          <w:p>
            <w:pPr>
              <w:pStyle w:val="TableParagraph"/>
              <w:rPr>
                <w:rFonts w:ascii="Times New Roman"/>
                <w:sz w:val="24"/>
              </w:rPr>
            </w:pPr>
          </w:p>
        </w:tc>
      </w:tr>
      <w:tr>
        <w:trPr>
          <w:trHeight w:val="659" w:hRule="atLeast"/>
        </w:trPr>
        <w:tc>
          <w:tcPr>
            <w:tcW w:w="1200" w:type="dxa"/>
          </w:tcPr>
          <w:p>
            <w:pPr>
              <w:pStyle w:val="TableParagraph"/>
              <w:rPr>
                <w:rFonts w:ascii="Times New Roman"/>
                <w:sz w:val="24"/>
              </w:rPr>
            </w:pPr>
          </w:p>
        </w:tc>
        <w:tc>
          <w:tcPr>
            <w:tcW w:w="1080" w:type="dxa"/>
          </w:tcPr>
          <w:p>
            <w:pPr>
              <w:pStyle w:val="TableParagraph"/>
              <w:rPr>
                <w:rFonts w:ascii="Times New Roman"/>
                <w:sz w:val="24"/>
              </w:rPr>
            </w:pPr>
          </w:p>
        </w:tc>
        <w:tc>
          <w:tcPr>
            <w:tcW w:w="1540" w:type="dxa"/>
          </w:tcPr>
          <w:p>
            <w:pPr>
              <w:pStyle w:val="TableParagraph"/>
              <w:rPr>
                <w:rFonts w:ascii="Times New Roman"/>
                <w:sz w:val="24"/>
              </w:rPr>
            </w:pPr>
          </w:p>
        </w:tc>
        <w:tc>
          <w:tcPr>
            <w:tcW w:w="1080" w:type="dxa"/>
          </w:tcPr>
          <w:p>
            <w:pPr>
              <w:pStyle w:val="TableParagraph"/>
              <w:rPr>
                <w:rFonts w:ascii="Times New Roman"/>
                <w:sz w:val="24"/>
              </w:rPr>
            </w:pPr>
          </w:p>
        </w:tc>
        <w:tc>
          <w:tcPr>
            <w:tcW w:w="1082" w:type="dxa"/>
          </w:tcPr>
          <w:p>
            <w:pPr>
              <w:pStyle w:val="TableParagraph"/>
              <w:rPr>
                <w:rFonts w:ascii="Times New Roman"/>
                <w:sz w:val="24"/>
              </w:rPr>
            </w:pPr>
          </w:p>
        </w:tc>
        <w:tc>
          <w:tcPr>
            <w:tcW w:w="1197" w:type="dxa"/>
          </w:tcPr>
          <w:p>
            <w:pPr>
              <w:pStyle w:val="TableParagraph"/>
              <w:rPr>
                <w:rFonts w:ascii="Times New Roman"/>
                <w:sz w:val="24"/>
              </w:rPr>
            </w:pPr>
          </w:p>
        </w:tc>
        <w:tc>
          <w:tcPr>
            <w:tcW w:w="1199" w:type="dxa"/>
          </w:tcPr>
          <w:p>
            <w:pPr>
              <w:pStyle w:val="TableParagraph"/>
              <w:rPr>
                <w:rFonts w:ascii="Times New Roman"/>
                <w:sz w:val="24"/>
              </w:rPr>
            </w:pPr>
          </w:p>
        </w:tc>
        <w:tc>
          <w:tcPr>
            <w:tcW w:w="1197" w:type="dxa"/>
          </w:tcPr>
          <w:p>
            <w:pPr>
              <w:pStyle w:val="TableParagraph"/>
              <w:rPr>
                <w:rFonts w:ascii="Times New Roman"/>
                <w:sz w:val="24"/>
              </w:rPr>
            </w:pPr>
          </w:p>
        </w:tc>
        <w:tc>
          <w:tcPr>
            <w:tcW w:w="1202" w:type="dxa"/>
          </w:tcPr>
          <w:p>
            <w:pPr>
              <w:pStyle w:val="TableParagraph"/>
              <w:rPr>
                <w:rFonts w:ascii="Times New Roman"/>
                <w:sz w:val="24"/>
              </w:rPr>
            </w:pPr>
          </w:p>
        </w:tc>
        <w:tc>
          <w:tcPr>
            <w:tcW w:w="943" w:type="dxa"/>
          </w:tcPr>
          <w:p>
            <w:pPr>
              <w:pStyle w:val="TableParagraph"/>
              <w:rPr>
                <w:rFonts w:ascii="Times New Roman"/>
                <w:sz w:val="24"/>
              </w:rPr>
            </w:pPr>
          </w:p>
        </w:tc>
        <w:tc>
          <w:tcPr>
            <w:tcW w:w="897" w:type="dxa"/>
          </w:tcPr>
          <w:p>
            <w:pPr>
              <w:pStyle w:val="TableParagraph"/>
              <w:rPr>
                <w:rFonts w:ascii="Times New Roman"/>
                <w:sz w:val="24"/>
              </w:rPr>
            </w:pPr>
          </w:p>
        </w:tc>
        <w:tc>
          <w:tcPr>
            <w:tcW w:w="1257" w:type="dxa"/>
          </w:tcPr>
          <w:p>
            <w:pPr>
              <w:pStyle w:val="TableParagraph"/>
              <w:rPr>
                <w:rFonts w:ascii="Times New Roman"/>
                <w:sz w:val="24"/>
              </w:rPr>
            </w:pPr>
          </w:p>
        </w:tc>
        <w:tc>
          <w:tcPr>
            <w:tcW w:w="1742" w:type="dxa"/>
          </w:tcPr>
          <w:p>
            <w:pPr>
              <w:pStyle w:val="TableParagraph"/>
              <w:rPr>
                <w:rFonts w:ascii="Times New Roman"/>
                <w:sz w:val="24"/>
              </w:rPr>
            </w:pPr>
          </w:p>
        </w:tc>
      </w:tr>
      <w:tr>
        <w:trPr>
          <w:trHeight w:val="659" w:hRule="atLeast"/>
        </w:trPr>
        <w:tc>
          <w:tcPr>
            <w:tcW w:w="1200" w:type="dxa"/>
          </w:tcPr>
          <w:p>
            <w:pPr>
              <w:pStyle w:val="TableParagraph"/>
              <w:rPr>
                <w:rFonts w:ascii="Times New Roman"/>
                <w:sz w:val="24"/>
              </w:rPr>
            </w:pPr>
          </w:p>
        </w:tc>
        <w:tc>
          <w:tcPr>
            <w:tcW w:w="1080" w:type="dxa"/>
          </w:tcPr>
          <w:p>
            <w:pPr>
              <w:pStyle w:val="TableParagraph"/>
              <w:rPr>
                <w:rFonts w:ascii="Times New Roman"/>
                <w:sz w:val="24"/>
              </w:rPr>
            </w:pPr>
          </w:p>
        </w:tc>
        <w:tc>
          <w:tcPr>
            <w:tcW w:w="1540" w:type="dxa"/>
          </w:tcPr>
          <w:p>
            <w:pPr>
              <w:pStyle w:val="TableParagraph"/>
              <w:rPr>
                <w:rFonts w:ascii="Times New Roman"/>
                <w:sz w:val="24"/>
              </w:rPr>
            </w:pPr>
          </w:p>
        </w:tc>
        <w:tc>
          <w:tcPr>
            <w:tcW w:w="1080" w:type="dxa"/>
          </w:tcPr>
          <w:p>
            <w:pPr>
              <w:pStyle w:val="TableParagraph"/>
              <w:rPr>
                <w:rFonts w:ascii="Times New Roman"/>
                <w:sz w:val="24"/>
              </w:rPr>
            </w:pPr>
          </w:p>
        </w:tc>
        <w:tc>
          <w:tcPr>
            <w:tcW w:w="1082" w:type="dxa"/>
          </w:tcPr>
          <w:p>
            <w:pPr>
              <w:pStyle w:val="TableParagraph"/>
              <w:rPr>
                <w:rFonts w:ascii="Times New Roman"/>
                <w:sz w:val="24"/>
              </w:rPr>
            </w:pPr>
          </w:p>
        </w:tc>
        <w:tc>
          <w:tcPr>
            <w:tcW w:w="1197" w:type="dxa"/>
          </w:tcPr>
          <w:p>
            <w:pPr>
              <w:pStyle w:val="TableParagraph"/>
              <w:rPr>
                <w:rFonts w:ascii="Times New Roman"/>
                <w:sz w:val="24"/>
              </w:rPr>
            </w:pPr>
          </w:p>
        </w:tc>
        <w:tc>
          <w:tcPr>
            <w:tcW w:w="1199" w:type="dxa"/>
          </w:tcPr>
          <w:p>
            <w:pPr>
              <w:pStyle w:val="TableParagraph"/>
              <w:rPr>
                <w:rFonts w:ascii="Times New Roman"/>
                <w:sz w:val="24"/>
              </w:rPr>
            </w:pPr>
          </w:p>
        </w:tc>
        <w:tc>
          <w:tcPr>
            <w:tcW w:w="1197" w:type="dxa"/>
          </w:tcPr>
          <w:p>
            <w:pPr>
              <w:pStyle w:val="TableParagraph"/>
              <w:rPr>
                <w:rFonts w:ascii="Times New Roman"/>
                <w:sz w:val="24"/>
              </w:rPr>
            </w:pPr>
          </w:p>
        </w:tc>
        <w:tc>
          <w:tcPr>
            <w:tcW w:w="1202" w:type="dxa"/>
          </w:tcPr>
          <w:p>
            <w:pPr>
              <w:pStyle w:val="TableParagraph"/>
              <w:rPr>
                <w:rFonts w:ascii="Times New Roman"/>
                <w:sz w:val="24"/>
              </w:rPr>
            </w:pPr>
          </w:p>
        </w:tc>
        <w:tc>
          <w:tcPr>
            <w:tcW w:w="943" w:type="dxa"/>
          </w:tcPr>
          <w:p>
            <w:pPr>
              <w:pStyle w:val="TableParagraph"/>
              <w:rPr>
                <w:rFonts w:ascii="Times New Roman"/>
                <w:sz w:val="24"/>
              </w:rPr>
            </w:pPr>
          </w:p>
        </w:tc>
        <w:tc>
          <w:tcPr>
            <w:tcW w:w="897" w:type="dxa"/>
          </w:tcPr>
          <w:p>
            <w:pPr>
              <w:pStyle w:val="TableParagraph"/>
              <w:rPr>
                <w:rFonts w:ascii="Times New Roman"/>
                <w:sz w:val="24"/>
              </w:rPr>
            </w:pPr>
          </w:p>
        </w:tc>
        <w:tc>
          <w:tcPr>
            <w:tcW w:w="1257" w:type="dxa"/>
          </w:tcPr>
          <w:p>
            <w:pPr>
              <w:pStyle w:val="TableParagraph"/>
              <w:rPr>
                <w:rFonts w:ascii="Times New Roman"/>
                <w:sz w:val="24"/>
              </w:rPr>
            </w:pPr>
          </w:p>
        </w:tc>
        <w:tc>
          <w:tcPr>
            <w:tcW w:w="1742" w:type="dxa"/>
          </w:tcPr>
          <w:p>
            <w:pPr>
              <w:pStyle w:val="TableParagraph"/>
              <w:rPr>
                <w:rFonts w:ascii="Times New Roman"/>
                <w:sz w:val="24"/>
              </w:rPr>
            </w:pPr>
          </w:p>
        </w:tc>
      </w:tr>
      <w:tr>
        <w:trPr>
          <w:trHeight w:val="660" w:hRule="atLeast"/>
        </w:trPr>
        <w:tc>
          <w:tcPr>
            <w:tcW w:w="1200" w:type="dxa"/>
          </w:tcPr>
          <w:p>
            <w:pPr>
              <w:pStyle w:val="TableParagraph"/>
              <w:rPr>
                <w:rFonts w:ascii="Times New Roman"/>
                <w:sz w:val="24"/>
              </w:rPr>
            </w:pPr>
          </w:p>
        </w:tc>
        <w:tc>
          <w:tcPr>
            <w:tcW w:w="1080" w:type="dxa"/>
          </w:tcPr>
          <w:p>
            <w:pPr>
              <w:pStyle w:val="TableParagraph"/>
              <w:rPr>
                <w:rFonts w:ascii="Times New Roman"/>
                <w:sz w:val="24"/>
              </w:rPr>
            </w:pPr>
          </w:p>
        </w:tc>
        <w:tc>
          <w:tcPr>
            <w:tcW w:w="1540" w:type="dxa"/>
          </w:tcPr>
          <w:p>
            <w:pPr>
              <w:pStyle w:val="TableParagraph"/>
              <w:rPr>
                <w:rFonts w:ascii="Times New Roman"/>
                <w:sz w:val="24"/>
              </w:rPr>
            </w:pPr>
          </w:p>
        </w:tc>
        <w:tc>
          <w:tcPr>
            <w:tcW w:w="1080" w:type="dxa"/>
          </w:tcPr>
          <w:p>
            <w:pPr>
              <w:pStyle w:val="TableParagraph"/>
              <w:rPr>
                <w:rFonts w:ascii="Times New Roman"/>
                <w:sz w:val="24"/>
              </w:rPr>
            </w:pPr>
          </w:p>
        </w:tc>
        <w:tc>
          <w:tcPr>
            <w:tcW w:w="1082" w:type="dxa"/>
          </w:tcPr>
          <w:p>
            <w:pPr>
              <w:pStyle w:val="TableParagraph"/>
              <w:rPr>
                <w:rFonts w:ascii="Times New Roman"/>
                <w:sz w:val="24"/>
              </w:rPr>
            </w:pPr>
          </w:p>
        </w:tc>
        <w:tc>
          <w:tcPr>
            <w:tcW w:w="1197" w:type="dxa"/>
          </w:tcPr>
          <w:p>
            <w:pPr>
              <w:pStyle w:val="TableParagraph"/>
              <w:rPr>
                <w:rFonts w:ascii="Times New Roman"/>
                <w:sz w:val="24"/>
              </w:rPr>
            </w:pPr>
          </w:p>
        </w:tc>
        <w:tc>
          <w:tcPr>
            <w:tcW w:w="1199" w:type="dxa"/>
          </w:tcPr>
          <w:p>
            <w:pPr>
              <w:pStyle w:val="TableParagraph"/>
              <w:rPr>
                <w:rFonts w:ascii="Times New Roman"/>
                <w:sz w:val="24"/>
              </w:rPr>
            </w:pPr>
          </w:p>
        </w:tc>
        <w:tc>
          <w:tcPr>
            <w:tcW w:w="1197" w:type="dxa"/>
          </w:tcPr>
          <w:p>
            <w:pPr>
              <w:pStyle w:val="TableParagraph"/>
              <w:rPr>
                <w:rFonts w:ascii="Times New Roman"/>
                <w:sz w:val="24"/>
              </w:rPr>
            </w:pPr>
          </w:p>
        </w:tc>
        <w:tc>
          <w:tcPr>
            <w:tcW w:w="1202" w:type="dxa"/>
          </w:tcPr>
          <w:p>
            <w:pPr>
              <w:pStyle w:val="TableParagraph"/>
              <w:rPr>
                <w:rFonts w:ascii="Times New Roman"/>
                <w:sz w:val="24"/>
              </w:rPr>
            </w:pPr>
          </w:p>
        </w:tc>
        <w:tc>
          <w:tcPr>
            <w:tcW w:w="943" w:type="dxa"/>
          </w:tcPr>
          <w:p>
            <w:pPr>
              <w:pStyle w:val="TableParagraph"/>
              <w:rPr>
                <w:rFonts w:ascii="Times New Roman"/>
                <w:sz w:val="24"/>
              </w:rPr>
            </w:pPr>
          </w:p>
        </w:tc>
        <w:tc>
          <w:tcPr>
            <w:tcW w:w="897" w:type="dxa"/>
          </w:tcPr>
          <w:p>
            <w:pPr>
              <w:pStyle w:val="TableParagraph"/>
              <w:rPr>
                <w:rFonts w:ascii="Times New Roman"/>
                <w:sz w:val="24"/>
              </w:rPr>
            </w:pPr>
          </w:p>
        </w:tc>
        <w:tc>
          <w:tcPr>
            <w:tcW w:w="1257" w:type="dxa"/>
          </w:tcPr>
          <w:p>
            <w:pPr>
              <w:pStyle w:val="TableParagraph"/>
              <w:rPr>
                <w:rFonts w:ascii="Times New Roman"/>
                <w:sz w:val="24"/>
              </w:rPr>
            </w:pPr>
          </w:p>
        </w:tc>
        <w:tc>
          <w:tcPr>
            <w:tcW w:w="1742" w:type="dxa"/>
          </w:tcPr>
          <w:p>
            <w:pPr>
              <w:pStyle w:val="TableParagraph"/>
              <w:rPr>
                <w:rFonts w:ascii="Times New Roman"/>
                <w:sz w:val="24"/>
              </w:rPr>
            </w:pPr>
          </w:p>
        </w:tc>
      </w:tr>
      <w:tr>
        <w:trPr>
          <w:trHeight w:val="659" w:hRule="atLeast"/>
        </w:trPr>
        <w:tc>
          <w:tcPr>
            <w:tcW w:w="1200" w:type="dxa"/>
          </w:tcPr>
          <w:p>
            <w:pPr>
              <w:pStyle w:val="TableParagraph"/>
              <w:rPr>
                <w:rFonts w:ascii="Times New Roman"/>
                <w:sz w:val="24"/>
              </w:rPr>
            </w:pPr>
          </w:p>
        </w:tc>
        <w:tc>
          <w:tcPr>
            <w:tcW w:w="1080" w:type="dxa"/>
          </w:tcPr>
          <w:p>
            <w:pPr>
              <w:pStyle w:val="TableParagraph"/>
              <w:rPr>
                <w:rFonts w:ascii="Times New Roman"/>
                <w:sz w:val="24"/>
              </w:rPr>
            </w:pPr>
          </w:p>
        </w:tc>
        <w:tc>
          <w:tcPr>
            <w:tcW w:w="1540" w:type="dxa"/>
          </w:tcPr>
          <w:p>
            <w:pPr>
              <w:pStyle w:val="TableParagraph"/>
              <w:rPr>
                <w:rFonts w:ascii="Times New Roman"/>
                <w:sz w:val="24"/>
              </w:rPr>
            </w:pPr>
          </w:p>
        </w:tc>
        <w:tc>
          <w:tcPr>
            <w:tcW w:w="1080" w:type="dxa"/>
          </w:tcPr>
          <w:p>
            <w:pPr>
              <w:pStyle w:val="TableParagraph"/>
              <w:rPr>
                <w:rFonts w:ascii="Times New Roman"/>
                <w:sz w:val="24"/>
              </w:rPr>
            </w:pPr>
          </w:p>
        </w:tc>
        <w:tc>
          <w:tcPr>
            <w:tcW w:w="1082" w:type="dxa"/>
          </w:tcPr>
          <w:p>
            <w:pPr>
              <w:pStyle w:val="TableParagraph"/>
              <w:rPr>
                <w:rFonts w:ascii="Times New Roman"/>
                <w:sz w:val="24"/>
              </w:rPr>
            </w:pPr>
          </w:p>
        </w:tc>
        <w:tc>
          <w:tcPr>
            <w:tcW w:w="1197" w:type="dxa"/>
          </w:tcPr>
          <w:p>
            <w:pPr>
              <w:pStyle w:val="TableParagraph"/>
              <w:rPr>
                <w:rFonts w:ascii="Times New Roman"/>
                <w:sz w:val="24"/>
              </w:rPr>
            </w:pPr>
          </w:p>
        </w:tc>
        <w:tc>
          <w:tcPr>
            <w:tcW w:w="1199" w:type="dxa"/>
          </w:tcPr>
          <w:p>
            <w:pPr>
              <w:pStyle w:val="TableParagraph"/>
              <w:rPr>
                <w:rFonts w:ascii="Times New Roman"/>
                <w:sz w:val="24"/>
              </w:rPr>
            </w:pPr>
          </w:p>
        </w:tc>
        <w:tc>
          <w:tcPr>
            <w:tcW w:w="1197" w:type="dxa"/>
          </w:tcPr>
          <w:p>
            <w:pPr>
              <w:pStyle w:val="TableParagraph"/>
              <w:rPr>
                <w:rFonts w:ascii="Times New Roman"/>
                <w:sz w:val="24"/>
              </w:rPr>
            </w:pPr>
          </w:p>
        </w:tc>
        <w:tc>
          <w:tcPr>
            <w:tcW w:w="1202" w:type="dxa"/>
          </w:tcPr>
          <w:p>
            <w:pPr>
              <w:pStyle w:val="TableParagraph"/>
              <w:rPr>
                <w:rFonts w:ascii="Times New Roman"/>
                <w:sz w:val="24"/>
              </w:rPr>
            </w:pPr>
          </w:p>
        </w:tc>
        <w:tc>
          <w:tcPr>
            <w:tcW w:w="943" w:type="dxa"/>
          </w:tcPr>
          <w:p>
            <w:pPr>
              <w:pStyle w:val="TableParagraph"/>
              <w:rPr>
                <w:rFonts w:ascii="Times New Roman"/>
                <w:sz w:val="24"/>
              </w:rPr>
            </w:pPr>
          </w:p>
        </w:tc>
        <w:tc>
          <w:tcPr>
            <w:tcW w:w="897" w:type="dxa"/>
          </w:tcPr>
          <w:p>
            <w:pPr>
              <w:pStyle w:val="TableParagraph"/>
              <w:rPr>
                <w:rFonts w:ascii="Times New Roman"/>
                <w:sz w:val="24"/>
              </w:rPr>
            </w:pPr>
          </w:p>
        </w:tc>
        <w:tc>
          <w:tcPr>
            <w:tcW w:w="1257" w:type="dxa"/>
          </w:tcPr>
          <w:p>
            <w:pPr>
              <w:pStyle w:val="TableParagraph"/>
              <w:rPr>
                <w:rFonts w:ascii="Times New Roman"/>
                <w:sz w:val="24"/>
              </w:rPr>
            </w:pPr>
          </w:p>
        </w:tc>
        <w:tc>
          <w:tcPr>
            <w:tcW w:w="1742" w:type="dxa"/>
          </w:tcPr>
          <w:p>
            <w:pPr>
              <w:pStyle w:val="TableParagraph"/>
              <w:rPr>
                <w:rFonts w:ascii="Times New Roman"/>
                <w:sz w:val="24"/>
              </w:rPr>
            </w:pPr>
          </w:p>
        </w:tc>
      </w:tr>
      <w:tr>
        <w:trPr>
          <w:trHeight w:val="659" w:hRule="atLeast"/>
        </w:trPr>
        <w:tc>
          <w:tcPr>
            <w:tcW w:w="1200" w:type="dxa"/>
          </w:tcPr>
          <w:p>
            <w:pPr>
              <w:pStyle w:val="TableParagraph"/>
              <w:rPr>
                <w:rFonts w:ascii="Times New Roman"/>
                <w:sz w:val="24"/>
              </w:rPr>
            </w:pPr>
          </w:p>
        </w:tc>
        <w:tc>
          <w:tcPr>
            <w:tcW w:w="1080" w:type="dxa"/>
          </w:tcPr>
          <w:p>
            <w:pPr>
              <w:pStyle w:val="TableParagraph"/>
              <w:rPr>
                <w:rFonts w:ascii="Times New Roman"/>
                <w:sz w:val="24"/>
              </w:rPr>
            </w:pPr>
          </w:p>
        </w:tc>
        <w:tc>
          <w:tcPr>
            <w:tcW w:w="1540" w:type="dxa"/>
          </w:tcPr>
          <w:p>
            <w:pPr>
              <w:pStyle w:val="TableParagraph"/>
              <w:rPr>
                <w:rFonts w:ascii="Times New Roman"/>
                <w:sz w:val="24"/>
              </w:rPr>
            </w:pPr>
          </w:p>
        </w:tc>
        <w:tc>
          <w:tcPr>
            <w:tcW w:w="1080" w:type="dxa"/>
          </w:tcPr>
          <w:p>
            <w:pPr>
              <w:pStyle w:val="TableParagraph"/>
              <w:rPr>
                <w:rFonts w:ascii="Times New Roman"/>
                <w:sz w:val="24"/>
              </w:rPr>
            </w:pPr>
          </w:p>
        </w:tc>
        <w:tc>
          <w:tcPr>
            <w:tcW w:w="1082" w:type="dxa"/>
          </w:tcPr>
          <w:p>
            <w:pPr>
              <w:pStyle w:val="TableParagraph"/>
              <w:rPr>
                <w:rFonts w:ascii="Times New Roman"/>
                <w:sz w:val="24"/>
              </w:rPr>
            </w:pPr>
          </w:p>
        </w:tc>
        <w:tc>
          <w:tcPr>
            <w:tcW w:w="1197" w:type="dxa"/>
          </w:tcPr>
          <w:p>
            <w:pPr>
              <w:pStyle w:val="TableParagraph"/>
              <w:rPr>
                <w:rFonts w:ascii="Times New Roman"/>
                <w:sz w:val="24"/>
              </w:rPr>
            </w:pPr>
          </w:p>
        </w:tc>
        <w:tc>
          <w:tcPr>
            <w:tcW w:w="1199" w:type="dxa"/>
          </w:tcPr>
          <w:p>
            <w:pPr>
              <w:pStyle w:val="TableParagraph"/>
              <w:rPr>
                <w:rFonts w:ascii="Times New Roman"/>
                <w:sz w:val="24"/>
              </w:rPr>
            </w:pPr>
          </w:p>
        </w:tc>
        <w:tc>
          <w:tcPr>
            <w:tcW w:w="1197" w:type="dxa"/>
          </w:tcPr>
          <w:p>
            <w:pPr>
              <w:pStyle w:val="TableParagraph"/>
              <w:rPr>
                <w:rFonts w:ascii="Times New Roman"/>
                <w:sz w:val="24"/>
              </w:rPr>
            </w:pPr>
          </w:p>
        </w:tc>
        <w:tc>
          <w:tcPr>
            <w:tcW w:w="1202" w:type="dxa"/>
          </w:tcPr>
          <w:p>
            <w:pPr>
              <w:pStyle w:val="TableParagraph"/>
              <w:rPr>
                <w:rFonts w:ascii="Times New Roman"/>
                <w:sz w:val="24"/>
              </w:rPr>
            </w:pPr>
          </w:p>
        </w:tc>
        <w:tc>
          <w:tcPr>
            <w:tcW w:w="943" w:type="dxa"/>
          </w:tcPr>
          <w:p>
            <w:pPr>
              <w:pStyle w:val="TableParagraph"/>
              <w:rPr>
                <w:rFonts w:ascii="Times New Roman"/>
                <w:sz w:val="24"/>
              </w:rPr>
            </w:pPr>
          </w:p>
        </w:tc>
        <w:tc>
          <w:tcPr>
            <w:tcW w:w="897" w:type="dxa"/>
          </w:tcPr>
          <w:p>
            <w:pPr>
              <w:pStyle w:val="TableParagraph"/>
              <w:rPr>
                <w:rFonts w:ascii="Times New Roman"/>
                <w:sz w:val="24"/>
              </w:rPr>
            </w:pPr>
          </w:p>
        </w:tc>
        <w:tc>
          <w:tcPr>
            <w:tcW w:w="1257" w:type="dxa"/>
          </w:tcPr>
          <w:p>
            <w:pPr>
              <w:pStyle w:val="TableParagraph"/>
              <w:rPr>
                <w:rFonts w:ascii="Times New Roman"/>
                <w:sz w:val="24"/>
              </w:rPr>
            </w:pPr>
          </w:p>
        </w:tc>
        <w:tc>
          <w:tcPr>
            <w:tcW w:w="1742" w:type="dxa"/>
          </w:tcPr>
          <w:p>
            <w:pPr>
              <w:pStyle w:val="TableParagraph"/>
              <w:rPr>
                <w:rFonts w:ascii="Times New Roman"/>
                <w:sz w:val="24"/>
              </w:rPr>
            </w:pPr>
          </w:p>
        </w:tc>
      </w:tr>
      <w:tr>
        <w:trPr>
          <w:trHeight w:val="660" w:hRule="atLeast"/>
        </w:trPr>
        <w:tc>
          <w:tcPr>
            <w:tcW w:w="1200" w:type="dxa"/>
          </w:tcPr>
          <w:p>
            <w:pPr>
              <w:pStyle w:val="TableParagraph"/>
              <w:rPr>
                <w:rFonts w:ascii="Times New Roman"/>
                <w:sz w:val="24"/>
              </w:rPr>
            </w:pPr>
          </w:p>
        </w:tc>
        <w:tc>
          <w:tcPr>
            <w:tcW w:w="1080" w:type="dxa"/>
          </w:tcPr>
          <w:p>
            <w:pPr>
              <w:pStyle w:val="TableParagraph"/>
              <w:rPr>
                <w:rFonts w:ascii="Times New Roman"/>
                <w:sz w:val="24"/>
              </w:rPr>
            </w:pPr>
          </w:p>
        </w:tc>
        <w:tc>
          <w:tcPr>
            <w:tcW w:w="1540" w:type="dxa"/>
          </w:tcPr>
          <w:p>
            <w:pPr>
              <w:pStyle w:val="TableParagraph"/>
              <w:rPr>
                <w:rFonts w:ascii="Times New Roman"/>
                <w:sz w:val="24"/>
              </w:rPr>
            </w:pPr>
          </w:p>
        </w:tc>
        <w:tc>
          <w:tcPr>
            <w:tcW w:w="1080" w:type="dxa"/>
          </w:tcPr>
          <w:p>
            <w:pPr>
              <w:pStyle w:val="TableParagraph"/>
              <w:rPr>
                <w:rFonts w:ascii="Times New Roman"/>
                <w:sz w:val="24"/>
              </w:rPr>
            </w:pPr>
          </w:p>
        </w:tc>
        <w:tc>
          <w:tcPr>
            <w:tcW w:w="1082" w:type="dxa"/>
          </w:tcPr>
          <w:p>
            <w:pPr>
              <w:pStyle w:val="TableParagraph"/>
              <w:rPr>
                <w:rFonts w:ascii="Times New Roman"/>
                <w:sz w:val="24"/>
              </w:rPr>
            </w:pPr>
          </w:p>
        </w:tc>
        <w:tc>
          <w:tcPr>
            <w:tcW w:w="1197" w:type="dxa"/>
          </w:tcPr>
          <w:p>
            <w:pPr>
              <w:pStyle w:val="TableParagraph"/>
              <w:rPr>
                <w:rFonts w:ascii="Times New Roman"/>
                <w:sz w:val="24"/>
              </w:rPr>
            </w:pPr>
          </w:p>
        </w:tc>
        <w:tc>
          <w:tcPr>
            <w:tcW w:w="1199" w:type="dxa"/>
          </w:tcPr>
          <w:p>
            <w:pPr>
              <w:pStyle w:val="TableParagraph"/>
              <w:rPr>
                <w:rFonts w:ascii="Times New Roman"/>
                <w:sz w:val="24"/>
              </w:rPr>
            </w:pPr>
          </w:p>
        </w:tc>
        <w:tc>
          <w:tcPr>
            <w:tcW w:w="1197" w:type="dxa"/>
          </w:tcPr>
          <w:p>
            <w:pPr>
              <w:pStyle w:val="TableParagraph"/>
              <w:rPr>
                <w:rFonts w:ascii="Times New Roman"/>
                <w:sz w:val="24"/>
              </w:rPr>
            </w:pPr>
          </w:p>
        </w:tc>
        <w:tc>
          <w:tcPr>
            <w:tcW w:w="1202" w:type="dxa"/>
          </w:tcPr>
          <w:p>
            <w:pPr>
              <w:pStyle w:val="TableParagraph"/>
              <w:rPr>
                <w:rFonts w:ascii="Times New Roman"/>
                <w:sz w:val="24"/>
              </w:rPr>
            </w:pPr>
          </w:p>
        </w:tc>
        <w:tc>
          <w:tcPr>
            <w:tcW w:w="943" w:type="dxa"/>
          </w:tcPr>
          <w:p>
            <w:pPr>
              <w:pStyle w:val="TableParagraph"/>
              <w:rPr>
                <w:rFonts w:ascii="Times New Roman"/>
                <w:sz w:val="24"/>
              </w:rPr>
            </w:pPr>
          </w:p>
        </w:tc>
        <w:tc>
          <w:tcPr>
            <w:tcW w:w="897" w:type="dxa"/>
          </w:tcPr>
          <w:p>
            <w:pPr>
              <w:pStyle w:val="TableParagraph"/>
              <w:rPr>
                <w:rFonts w:ascii="Times New Roman"/>
                <w:sz w:val="24"/>
              </w:rPr>
            </w:pPr>
          </w:p>
        </w:tc>
        <w:tc>
          <w:tcPr>
            <w:tcW w:w="1257" w:type="dxa"/>
          </w:tcPr>
          <w:p>
            <w:pPr>
              <w:pStyle w:val="TableParagraph"/>
              <w:rPr>
                <w:rFonts w:ascii="Times New Roman"/>
                <w:sz w:val="24"/>
              </w:rPr>
            </w:pPr>
          </w:p>
        </w:tc>
        <w:tc>
          <w:tcPr>
            <w:tcW w:w="1742" w:type="dxa"/>
          </w:tcPr>
          <w:p>
            <w:pPr>
              <w:pStyle w:val="TableParagraph"/>
              <w:rPr>
                <w:rFonts w:ascii="Times New Roman"/>
                <w:sz w:val="24"/>
              </w:rPr>
            </w:pPr>
          </w:p>
        </w:tc>
      </w:tr>
      <w:tr>
        <w:trPr>
          <w:trHeight w:val="659" w:hRule="atLeast"/>
        </w:trPr>
        <w:tc>
          <w:tcPr>
            <w:tcW w:w="1200" w:type="dxa"/>
          </w:tcPr>
          <w:p>
            <w:pPr>
              <w:pStyle w:val="TableParagraph"/>
              <w:rPr>
                <w:rFonts w:ascii="Times New Roman"/>
                <w:sz w:val="24"/>
              </w:rPr>
            </w:pPr>
          </w:p>
        </w:tc>
        <w:tc>
          <w:tcPr>
            <w:tcW w:w="1080" w:type="dxa"/>
          </w:tcPr>
          <w:p>
            <w:pPr>
              <w:pStyle w:val="TableParagraph"/>
              <w:rPr>
                <w:rFonts w:ascii="Times New Roman"/>
                <w:sz w:val="24"/>
              </w:rPr>
            </w:pPr>
          </w:p>
        </w:tc>
        <w:tc>
          <w:tcPr>
            <w:tcW w:w="1540" w:type="dxa"/>
          </w:tcPr>
          <w:p>
            <w:pPr>
              <w:pStyle w:val="TableParagraph"/>
              <w:rPr>
                <w:rFonts w:ascii="Times New Roman"/>
                <w:sz w:val="24"/>
              </w:rPr>
            </w:pPr>
          </w:p>
        </w:tc>
        <w:tc>
          <w:tcPr>
            <w:tcW w:w="1080" w:type="dxa"/>
          </w:tcPr>
          <w:p>
            <w:pPr>
              <w:pStyle w:val="TableParagraph"/>
              <w:rPr>
                <w:rFonts w:ascii="Times New Roman"/>
                <w:sz w:val="24"/>
              </w:rPr>
            </w:pPr>
          </w:p>
        </w:tc>
        <w:tc>
          <w:tcPr>
            <w:tcW w:w="1082" w:type="dxa"/>
          </w:tcPr>
          <w:p>
            <w:pPr>
              <w:pStyle w:val="TableParagraph"/>
              <w:rPr>
                <w:rFonts w:ascii="Times New Roman"/>
                <w:sz w:val="24"/>
              </w:rPr>
            </w:pPr>
          </w:p>
        </w:tc>
        <w:tc>
          <w:tcPr>
            <w:tcW w:w="1197" w:type="dxa"/>
          </w:tcPr>
          <w:p>
            <w:pPr>
              <w:pStyle w:val="TableParagraph"/>
              <w:rPr>
                <w:rFonts w:ascii="Times New Roman"/>
                <w:sz w:val="24"/>
              </w:rPr>
            </w:pPr>
          </w:p>
        </w:tc>
        <w:tc>
          <w:tcPr>
            <w:tcW w:w="1199" w:type="dxa"/>
          </w:tcPr>
          <w:p>
            <w:pPr>
              <w:pStyle w:val="TableParagraph"/>
              <w:rPr>
                <w:rFonts w:ascii="Times New Roman"/>
                <w:sz w:val="24"/>
              </w:rPr>
            </w:pPr>
          </w:p>
        </w:tc>
        <w:tc>
          <w:tcPr>
            <w:tcW w:w="1197" w:type="dxa"/>
          </w:tcPr>
          <w:p>
            <w:pPr>
              <w:pStyle w:val="TableParagraph"/>
              <w:rPr>
                <w:rFonts w:ascii="Times New Roman"/>
                <w:sz w:val="24"/>
              </w:rPr>
            </w:pPr>
          </w:p>
        </w:tc>
        <w:tc>
          <w:tcPr>
            <w:tcW w:w="1202" w:type="dxa"/>
          </w:tcPr>
          <w:p>
            <w:pPr>
              <w:pStyle w:val="TableParagraph"/>
              <w:rPr>
                <w:rFonts w:ascii="Times New Roman"/>
                <w:sz w:val="24"/>
              </w:rPr>
            </w:pPr>
          </w:p>
        </w:tc>
        <w:tc>
          <w:tcPr>
            <w:tcW w:w="943" w:type="dxa"/>
          </w:tcPr>
          <w:p>
            <w:pPr>
              <w:pStyle w:val="TableParagraph"/>
              <w:rPr>
                <w:rFonts w:ascii="Times New Roman"/>
                <w:sz w:val="24"/>
              </w:rPr>
            </w:pPr>
          </w:p>
        </w:tc>
        <w:tc>
          <w:tcPr>
            <w:tcW w:w="897" w:type="dxa"/>
          </w:tcPr>
          <w:p>
            <w:pPr>
              <w:pStyle w:val="TableParagraph"/>
              <w:rPr>
                <w:rFonts w:ascii="Times New Roman"/>
                <w:sz w:val="24"/>
              </w:rPr>
            </w:pPr>
          </w:p>
        </w:tc>
        <w:tc>
          <w:tcPr>
            <w:tcW w:w="1257" w:type="dxa"/>
          </w:tcPr>
          <w:p>
            <w:pPr>
              <w:pStyle w:val="TableParagraph"/>
              <w:rPr>
                <w:rFonts w:ascii="Times New Roman"/>
                <w:sz w:val="24"/>
              </w:rPr>
            </w:pPr>
          </w:p>
        </w:tc>
        <w:tc>
          <w:tcPr>
            <w:tcW w:w="1742" w:type="dxa"/>
          </w:tcPr>
          <w:p>
            <w:pPr>
              <w:pStyle w:val="TableParagraph"/>
              <w:rPr>
                <w:rFonts w:ascii="Times New Roman"/>
                <w:sz w:val="24"/>
              </w:rPr>
            </w:pPr>
          </w:p>
        </w:tc>
      </w:tr>
      <w:tr>
        <w:trPr>
          <w:trHeight w:val="660" w:hRule="atLeast"/>
        </w:trPr>
        <w:tc>
          <w:tcPr>
            <w:tcW w:w="1200" w:type="dxa"/>
          </w:tcPr>
          <w:p>
            <w:pPr>
              <w:pStyle w:val="TableParagraph"/>
              <w:rPr>
                <w:rFonts w:ascii="Times New Roman"/>
                <w:sz w:val="24"/>
              </w:rPr>
            </w:pPr>
          </w:p>
        </w:tc>
        <w:tc>
          <w:tcPr>
            <w:tcW w:w="1080" w:type="dxa"/>
          </w:tcPr>
          <w:p>
            <w:pPr>
              <w:pStyle w:val="TableParagraph"/>
              <w:rPr>
                <w:rFonts w:ascii="Times New Roman"/>
                <w:sz w:val="24"/>
              </w:rPr>
            </w:pPr>
          </w:p>
        </w:tc>
        <w:tc>
          <w:tcPr>
            <w:tcW w:w="1540" w:type="dxa"/>
          </w:tcPr>
          <w:p>
            <w:pPr>
              <w:pStyle w:val="TableParagraph"/>
              <w:rPr>
                <w:rFonts w:ascii="Times New Roman"/>
                <w:sz w:val="24"/>
              </w:rPr>
            </w:pPr>
          </w:p>
        </w:tc>
        <w:tc>
          <w:tcPr>
            <w:tcW w:w="1080" w:type="dxa"/>
          </w:tcPr>
          <w:p>
            <w:pPr>
              <w:pStyle w:val="TableParagraph"/>
              <w:rPr>
                <w:rFonts w:ascii="Times New Roman"/>
                <w:sz w:val="24"/>
              </w:rPr>
            </w:pPr>
          </w:p>
        </w:tc>
        <w:tc>
          <w:tcPr>
            <w:tcW w:w="1082" w:type="dxa"/>
          </w:tcPr>
          <w:p>
            <w:pPr>
              <w:pStyle w:val="TableParagraph"/>
              <w:rPr>
                <w:rFonts w:ascii="Times New Roman"/>
                <w:sz w:val="24"/>
              </w:rPr>
            </w:pPr>
          </w:p>
        </w:tc>
        <w:tc>
          <w:tcPr>
            <w:tcW w:w="1197" w:type="dxa"/>
          </w:tcPr>
          <w:p>
            <w:pPr>
              <w:pStyle w:val="TableParagraph"/>
              <w:rPr>
                <w:rFonts w:ascii="Times New Roman"/>
                <w:sz w:val="24"/>
              </w:rPr>
            </w:pPr>
          </w:p>
        </w:tc>
        <w:tc>
          <w:tcPr>
            <w:tcW w:w="1199" w:type="dxa"/>
          </w:tcPr>
          <w:p>
            <w:pPr>
              <w:pStyle w:val="TableParagraph"/>
              <w:rPr>
                <w:rFonts w:ascii="Times New Roman"/>
                <w:sz w:val="24"/>
              </w:rPr>
            </w:pPr>
          </w:p>
        </w:tc>
        <w:tc>
          <w:tcPr>
            <w:tcW w:w="1197" w:type="dxa"/>
          </w:tcPr>
          <w:p>
            <w:pPr>
              <w:pStyle w:val="TableParagraph"/>
              <w:rPr>
                <w:rFonts w:ascii="Times New Roman"/>
                <w:sz w:val="24"/>
              </w:rPr>
            </w:pPr>
          </w:p>
        </w:tc>
        <w:tc>
          <w:tcPr>
            <w:tcW w:w="1202" w:type="dxa"/>
          </w:tcPr>
          <w:p>
            <w:pPr>
              <w:pStyle w:val="TableParagraph"/>
              <w:rPr>
                <w:rFonts w:ascii="Times New Roman"/>
                <w:sz w:val="24"/>
              </w:rPr>
            </w:pPr>
          </w:p>
        </w:tc>
        <w:tc>
          <w:tcPr>
            <w:tcW w:w="943" w:type="dxa"/>
          </w:tcPr>
          <w:p>
            <w:pPr>
              <w:pStyle w:val="TableParagraph"/>
              <w:rPr>
                <w:rFonts w:ascii="Times New Roman"/>
                <w:sz w:val="24"/>
              </w:rPr>
            </w:pPr>
          </w:p>
        </w:tc>
        <w:tc>
          <w:tcPr>
            <w:tcW w:w="897" w:type="dxa"/>
          </w:tcPr>
          <w:p>
            <w:pPr>
              <w:pStyle w:val="TableParagraph"/>
              <w:rPr>
                <w:rFonts w:ascii="Times New Roman"/>
                <w:sz w:val="24"/>
              </w:rPr>
            </w:pPr>
          </w:p>
        </w:tc>
        <w:tc>
          <w:tcPr>
            <w:tcW w:w="1257" w:type="dxa"/>
          </w:tcPr>
          <w:p>
            <w:pPr>
              <w:pStyle w:val="TableParagraph"/>
              <w:rPr>
                <w:rFonts w:ascii="Times New Roman"/>
                <w:sz w:val="24"/>
              </w:rPr>
            </w:pPr>
          </w:p>
        </w:tc>
        <w:tc>
          <w:tcPr>
            <w:tcW w:w="1742" w:type="dxa"/>
          </w:tcPr>
          <w:p>
            <w:pPr>
              <w:pStyle w:val="TableParagraph"/>
              <w:rPr>
                <w:rFonts w:ascii="Times New Roman"/>
                <w:sz w:val="24"/>
              </w:rPr>
            </w:pPr>
          </w:p>
        </w:tc>
      </w:tr>
    </w:tbl>
    <w:p>
      <w:pPr>
        <w:spacing w:after="0"/>
        <w:rPr>
          <w:rFonts w:ascii="Times New Roman"/>
          <w:sz w:val="24"/>
        </w:rPr>
        <w:sectPr>
          <w:type w:val="continuous"/>
          <w:pgSz w:w="17190" w:h="12250" w:orient="landscape"/>
          <w:pgMar w:top="1500" w:bottom="280" w:left="660" w:right="660"/>
        </w:sectPr>
      </w:pPr>
    </w:p>
    <w:p>
      <w:pPr>
        <w:tabs>
          <w:tab w:pos="4902" w:val="left" w:leader="none"/>
        </w:tabs>
        <w:spacing w:line="665" w:lineRule="exact" w:before="0"/>
        <w:ind w:left="3422" w:right="0" w:firstLine="0"/>
        <w:jc w:val="left"/>
        <w:rPr>
          <w:b/>
          <w:sz w:val="37"/>
        </w:rPr>
      </w:pPr>
      <w:r>
        <w:rPr/>
        <w:pict>
          <v:group style="position:absolute;margin-left:568.5pt;margin-top:4.6297pt;width:43.9pt;height:103.15pt;mso-position-horizontal-relative:page;mso-position-vertical-relative:paragraph;z-index:251811840" coordorigin="11370,93" coordsize="878,2063">
            <v:shape style="position:absolute;left:11370;top:92;width:878;height:2063" coordorigin="11370,93" coordsize="878,2063" path="m12197,93l11535,93,11471,106,11418,141,11383,194,11370,258,11370,1990,11383,2055,11418,2107,11471,2143,11535,2156,12197,2156,12247,2145,12247,103,12197,93xe" filled="true" fillcolor="#a6a6a6" stroked="false">
              <v:path arrowok="t"/>
              <v:fill type="solid"/>
            </v:shape>
            <v:shape style="position:absolute;left:11370;top:92;width:878;height:2063" type="#_x0000_t202" filled="false" stroked="false">
              <v:textbox inset="0,0,0,0">
                <w:txbxContent>
                  <w:p>
                    <w:pPr>
                      <w:spacing w:line="146" w:lineRule="auto" w:before="127"/>
                      <w:ind w:left="136" w:right="518" w:firstLine="0"/>
                      <w:jc w:val="both"/>
                      <w:rPr>
                        <w:sz w:val="22"/>
                      </w:rPr>
                    </w:pPr>
                    <w:r>
                      <w:rPr>
                        <w:sz w:val="22"/>
                      </w:rPr>
                      <w:t>第七章</w:t>
                    </w:r>
                  </w:p>
                  <w:p>
                    <w:pPr>
                      <w:spacing w:line="141" w:lineRule="auto" w:before="175"/>
                      <w:ind w:left="136" w:right="518" w:firstLine="0"/>
                      <w:jc w:val="both"/>
                      <w:rPr>
                        <w:sz w:val="22"/>
                      </w:rPr>
                    </w:pPr>
                    <w:r>
                      <w:rPr>
                        <w:sz w:val="22"/>
                      </w:rPr>
                      <w:t>肺外結核</w:t>
                    </w:r>
                  </w:p>
                </w:txbxContent>
              </v:textbox>
              <w10:wrap type="none"/>
            </v:shape>
            <w10:wrap type="none"/>
          </v:group>
        </w:pict>
      </w:r>
      <w:r>
        <w:rPr>
          <w:b/>
          <w:sz w:val="37"/>
        </w:rPr>
        <w:t>第七章</w:t>
        <w:tab/>
        <w:t>肺外結核</w:t>
      </w:r>
    </w:p>
    <w:p>
      <w:pPr>
        <w:pStyle w:val="BodyText"/>
        <w:spacing w:line="225" w:lineRule="auto" w:before="180"/>
        <w:ind w:left="140" w:right="1302" w:firstLine="488"/>
        <w:jc w:val="both"/>
      </w:pPr>
      <w:r>
        <w:rPr>
          <w:spacing w:val="2"/>
        </w:rPr>
        <w:t>結核病依據病灶部份可分為肺結核和肺外結核。肺結核的病灶侵犯肺實質。肺實質以</w:t>
      </w:r>
      <w:r>
        <w:rPr>
          <w:spacing w:val="8"/>
        </w:rPr>
        <w:t>外的病灶統稱為肺外結核。肺外結核較難診斷，一方面是較少見(</w:t>
      </w:r>
      <w:r>
        <w:rPr>
          <w:color w:val="FF0000"/>
          <w:spacing w:val="4"/>
        </w:rPr>
        <w:t>臺灣 </w:t>
      </w:r>
      <w:r>
        <w:rPr>
          <w:color w:val="FF0000"/>
          <w:spacing w:val="2"/>
        </w:rPr>
        <w:t>1997</w:t>
      </w:r>
      <w:r>
        <w:rPr>
          <w:color w:val="FF0000"/>
          <w:spacing w:val="10"/>
        </w:rPr>
        <w:t> 年的文獻報</w:t>
      </w:r>
      <w:r>
        <w:rPr>
          <w:color w:val="FF0000"/>
          <w:spacing w:val="-9"/>
        </w:rPr>
        <w:t>告</w:t>
      </w:r>
      <w:r>
        <w:rPr>
          <w:spacing w:val="1"/>
        </w:rPr>
        <w:t>，肺結核與肺外結核的比例是</w:t>
      </w:r>
      <w:r>
        <w:rPr>
          <w:spacing w:val="-11"/>
        </w:rPr>
        <w:t>9：1</w:t>
      </w:r>
      <w:r>
        <w:rPr>
          <w:spacing w:val="-5"/>
        </w:rPr>
        <w:t>)，另一方面是疾病部位較難評估，常須手術才能獲取</w:t>
      </w:r>
      <w:r>
        <w:rPr>
          <w:spacing w:val="1"/>
        </w:rPr>
        <w:t>病灶標本。另外，病變處的細菌較少，較難獲得細菌學證據。肺外結核有多種，例如粟粒</w:t>
      </w:r>
      <w:r>
        <w:rPr>
          <w:spacing w:val="-11"/>
        </w:rPr>
        <w:t>性結核、結核性淋巴腺炎、結核性肋膜炎、生殖泌尿道結核、骨結核、中樞神經系統結核、</w:t>
      </w:r>
      <w:r>
        <w:rPr>
          <w:spacing w:val="1"/>
        </w:rPr>
        <w:t>腹部結核和結核性心包膜炎。主要的診斷依據是細菌學證據。病理檢查和影像學檢查也可以當作肺外結核的臨床診斷根據。儘量收集各種檢體，如肋膜液、腹水、心包膜液、淋巴</w:t>
      </w:r>
      <w:r>
        <w:rPr>
          <w:spacing w:val="3"/>
        </w:rPr>
        <w:t>腺組織、尿、脊髓液、血、膿汁等施行耐酸性染色及結核分枝桿菌培養，</w:t>
      </w:r>
      <w:r>
        <w:rPr>
          <w:color w:val="FF0000"/>
          <w:spacing w:val="1"/>
        </w:rPr>
        <w:t>也可以施行結核</w:t>
      </w:r>
      <w:r>
        <w:rPr>
          <w:color w:val="FF0000"/>
          <w:spacing w:val="12"/>
        </w:rPr>
        <w:t>分枝桿菌核酸增幅(</w:t>
      </w:r>
      <w:r>
        <w:rPr>
          <w:color w:val="FF0000"/>
          <w:spacing w:val="4"/>
        </w:rPr>
        <w:t>NAA</w:t>
      </w:r>
      <w:r>
        <w:rPr>
          <w:color w:val="FF0000"/>
          <w:spacing w:val="8"/>
        </w:rPr>
        <w:t>) 檢驗(核酸檢測)</w:t>
      </w:r>
      <w:r>
        <w:rPr>
          <w:spacing w:val="10"/>
        </w:rPr>
        <w:t>。切片的組織除了做病理檢查外也應當做耐酸</w:t>
      </w:r>
      <w:r>
        <w:rPr>
          <w:spacing w:val="9"/>
        </w:rPr>
        <w:t>性染色及結核分枝桿菌培養。如果分枝桿菌培養為陽性時須進一步做鑑定及藥敏。</w:t>
      </w:r>
      <w:r>
        <w:rPr>
          <w:color w:val="FF0000"/>
          <w:spacing w:val="10"/>
        </w:rPr>
        <w:t>此外</w:t>
      </w:r>
      <w:r>
        <w:rPr>
          <w:color w:val="FF0000"/>
        </w:rPr>
        <w:t>2012</w:t>
      </w:r>
      <w:r>
        <w:rPr>
          <w:color w:val="FF0000"/>
          <w:spacing w:val="4"/>
        </w:rPr>
        <w:t> 年起之５歲以下肺外結核個案</w:t>
      </w:r>
      <w:r>
        <w:rPr>
          <w:spacing w:val="4"/>
        </w:rPr>
        <w:t>，應將培養陽性之菌株或病理檢體送疾病管制署昆陽</w:t>
      </w:r>
      <w:r>
        <w:rPr>
          <w:spacing w:val="1"/>
        </w:rPr>
        <w:t>實驗室進行是否為卡介苗菌株的鑑定，釐清是否為預防接種之不良反應。不少肺外結核病</w:t>
      </w:r>
      <w:r>
        <w:rPr>
          <w:spacing w:val="-1"/>
        </w:rPr>
        <w:t>人會合併肺結核，因此一定要照胸部 </w:t>
      </w:r>
      <w:r>
        <w:rPr/>
        <w:t>X</w:t>
      </w:r>
      <w:r>
        <w:rPr>
          <w:spacing w:val="-3"/>
        </w:rPr>
        <w:t> 光，胸部 </w:t>
      </w:r>
      <w:r>
        <w:rPr/>
        <w:t>X</w:t>
      </w:r>
      <w:r>
        <w:rPr>
          <w:spacing w:val="2"/>
        </w:rPr>
        <w:t> 光檢查顯示異常或有呼吸道症狀的肺外</w:t>
      </w:r>
      <w:r>
        <w:rPr>
          <w:spacing w:val="3"/>
        </w:rPr>
        <w:t>結核病人，應積極驗痰。</w:t>
      </w:r>
    </w:p>
    <w:p>
      <w:pPr>
        <w:pStyle w:val="BodyText"/>
        <w:spacing w:before="14"/>
        <w:rPr>
          <w:sz w:val="19"/>
        </w:rPr>
      </w:pPr>
    </w:p>
    <w:p>
      <w:pPr>
        <w:pStyle w:val="Heading6"/>
        <w:numPr>
          <w:ilvl w:val="1"/>
          <w:numId w:val="104"/>
        </w:numPr>
        <w:tabs>
          <w:tab w:pos="649" w:val="left" w:leader="none"/>
        </w:tabs>
        <w:spacing w:line="456" w:lineRule="exact" w:before="0" w:after="0"/>
        <w:ind w:left="648" w:right="0" w:hanging="509"/>
        <w:jc w:val="both"/>
      </w:pPr>
      <w:r>
        <w:rPr>
          <w:spacing w:val="2"/>
        </w:rPr>
        <w:t>粟粒性結核</w:t>
      </w:r>
    </w:p>
    <w:p>
      <w:pPr>
        <w:pStyle w:val="BodyText"/>
        <w:spacing w:line="225" w:lineRule="auto" w:before="15"/>
        <w:ind w:left="636" w:right="1301" w:firstLine="487"/>
        <w:jc w:val="both"/>
      </w:pPr>
      <w:r>
        <w:rPr/>
        <w:t>也稱為散播性結核(disseminated tuberculosis)，在肉眼觀察下是 1 至 2 mm 的黃色小結節，類似粟粒(millet seeds)，顯微鏡下是典型的肉芽腫(granulomas)主要的臨床表徵是發燒(80%~95%)、體重減輕、夜間盜汗，食慾不振和疲倦。也有咳嗽、頭痛等症狀。胸部 X 光片可能(50%~90%)出現粟粒性小點。也可能出現其他結核病的變化，例如肺上葉浸潤性病變，空洞，肋膜積水或心包膜積水。粟粒性結核常會同時侵犯多個器官，肺部，肝臟和脾臟最常被侵犯(80%~100%)，其次是腎臟(60%)，和骨髓(25%~75%)。死亡率相當高(22%~38%)。高死亡率的主因是延遲診斷，延遲治療或是腦膜炎。懷疑此症時最好要做脊髓液抽取，以確定有無腦膜炎。</w:t>
      </w:r>
    </w:p>
    <w:p>
      <w:pPr>
        <w:pStyle w:val="BodyText"/>
        <w:spacing w:before="13"/>
        <w:rPr>
          <w:sz w:val="19"/>
        </w:rPr>
      </w:pPr>
    </w:p>
    <w:p>
      <w:pPr>
        <w:pStyle w:val="Heading6"/>
        <w:numPr>
          <w:ilvl w:val="1"/>
          <w:numId w:val="104"/>
        </w:numPr>
        <w:tabs>
          <w:tab w:pos="649" w:val="left" w:leader="none"/>
        </w:tabs>
        <w:spacing w:line="456" w:lineRule="exact" w:before="0" w:after="0"/>
        <w:ind w:left="648" w:right="0" w:hanging="509"/>
        <w:jc w:val="both"/>
      </w:pPr>
      <w:r>
        <w:rPr>
          <w:spacing w:val="3"/>
        </w:rPr>
        <w:t>結核性淋巴腺炎</w:t>
      </w:r>
    </w:p>
    <w:p>
      <w:pPr>
        <w:pStyle w:val="BodyText"/>
        <w:spacing w:line="225" w:lineRule="auto" w:before="15"/>
        <w:ind w:left="636" w:right="1361" w:firstLine="487"/>
        <w:jc w:val="both"/>
      </w:pPr>
      <w:r>
        <w:rPr>
          <w:spacing w:val="2"/>
        </w:rPr>
        <w:t>通常以無痛性淋巴腺腫大為表徵。常患部位是下頸部的淋巴結。早期可能只有數個各自獨立的腫大淋巴結，晚期會融合在一起，表面皮膚會紅腫，甚至淋巴結破出， </w:t>
      </w:r>
      <w:r>
        <w:rPr>
          <w:spacing w:val="-5"/>
        </w:rPr>
        <w:t>形成廔管。可以施行淋巴腺切除以獲取病理學或細菌學證據。曾有人報告高達 </w:t>
      </w:r>
      <w:r>
        <w:rPr/>
        <w:t>70%的</w:t>
      </w:r>
      <w:r>
        <w:rPr>
          <w:spacing w:val="3"/>
        </w:rPr>
        <w:t>結核性淋巴腺炎病人會有肺部結核病變。</w:t>
      </w:r>
    </w:p>
    <w:p>
      <w:pPr>
        <w:pStyle w:val="BodyText"/>
        <w:spacing w:before="13"/>
        <w:rPr>
          <w:sz w:val="19"/>
        </w:rPr>
      </w:pPr>
    </w:p>
    <w:p>
      <w:pPr>
        <w:pStyle w:val="Heading6"/>
        <w:numPr>
          <w:ilvl w:val="1"/>
          <w:numId w:val="104"/>
        </w:numPr>
        <w:tabs>
          <w:tab w:pos="649" w:val="left" w:leader="none"/>
        </w:tabs>
        <w:spacing w:line="456" w:lineRule="exact" w:before="0" w:after="0"/>
        <w:ind w:left="648" w:right="0" w:hanging="509"/>
        <w:jc w:val="left"/>
      </w:pPr>
      <w:r>
        <w:rPr>
          <w:spacing w:val="3"/>
        </w:rPr>
        <w:t>結核性肋膜炎</w:t>
      </w:r>
    </w:p>
    <w:p>
      <w:pPr>
        <w:pStyle w:val="BodyText"/>
        <w:spacing w:line="437" w:lineRule="exact"/>
        <w:ind w:left="1123"/>
      </w:pPr>
      <w:r>
        <w:rPr/>
        <w:t>有兩種機轉導致此病，第一種是少數細菌進入肋膜腔，體內對結核分枝桿菌的蛋</w:t>
      </w:r>
    </w:p>
    <w:p>
      <w:pPr>
        <w:spacing w:after="0" w:line="437" w:lineRule="exact"/>
        <w:sectPr>
          <w:footerReference w:type="default" r:id="rId51"/>
          <w:pgSz w:w="12250" w:h="17190"/>
          <w:pgMar w:footer="828" w:header="0" w:top="1380" w:bottom="1020" w:left="1220" w:right="0"/>
          <w:pgNumType w:start="91"/>
        </w:sectPr>
      </w:pPr>
    </w:p>
    <w:p>
      <w:pPr>
        <w:pStyle w:val="BodyText"/>
        <w:spacing w:line="225" w:lineRule="auto" w:before="45"/>
        <w:ind w:left="636" w:right="1358"/>
        <w:jc w:val="both"/>
      </w:pPr>
      <w:r>
        <w:rPr/>
        <w:t>白形成過敏反應，產生肋膜液。病人會有發燒，胸痛等症狀，如果肋膜液量很多時會使病人呼吸困難。第二種機轉是大量結核分枝桿菌侵犯肋膜腔造成結核性膿胸。此種病例大多有嚴重的肺結核，肺結核的空洞破入肋膜腔或是形成支氣管肋膜廔管。結核性肋膜炎的診斷通常靠胸部穿刺取得肋膜液做鑑別診斷，或是做肋膜切片以獲取病理學或細菌學證據，也可以用肋膜積液做核酸檢測。胸部 X 光片常會出現肺實質病變(20% ~50%)，此時送痰做結核分枝桿菌培養或耐酸性染色也是另一種診斷方法。</w:t>
      </w:r>
    </w:p>
    <w:p>
      <w:pPr>
        <w:pStyle w:val="BodyText"/>
        <w:spacing w:before="5"/>
        <w:rPr>
          <w:sz w:val="20"/>
        </w:rPr>
      </w:pPr>
    </w:p>
    <w:p>
      <w:pPr>
        <w:pStyle w:val="Heading6"/>
        <w:numPr>
          <w:ilvl w:val="1"/>
          <w:numId w:val="104"/>
        </w:numPr>
        <w:tabs>
          <w:tab w:pos="649" w:val="left" w:leader="none"/>
        </w:tabs>
        <w:spacing w:line="456" w:lineRule="exact" w:before="0" w:after="0"/>
        <w:ind w:left="648" w:right="0" w:hanging="509"/>
        <w:jc w:val="left"/>
      </w:pPr>
      <w:r>
        <w:rPr>
          <w:spacing w:val="3"/>
        </w:rPr>
        <w:t>生殖泌尿道結核</w:t>
      </w:r>
    </w:p>
    <w:p>
      <w:pPr>
        <w:pStyle w:val="BodyText"/>
        <w:spacing w:line="225" w:lineRule="auto" w:before="15"/>
        <w:ind w:left="636" w:right="1361" w:firstLine="487"/>
      </w:pPr>
      <w:r>
        <w:rPr>
          <w:spacing w:val="2"/>
        </w:rPr>
        <w:t>通常出現局部性症狀例如：排尿疼痛、血尿、頻尿和腰痛，全身症狀如發燒則較</w:t>
      </w:r>
      <w:r>
        <w:rPr>
          <w:spacing w:val="3"/>
        </w:rPr>
        <w:t>少見</w:t>
      </w:r>
      <w:r>
        <w:rPr/>
        <w:t>(15%~20%</w:t>
      </w:r>
      <w:r>
        <w:rPr>
          <w:spacing w:val="2"/>
        </w:rPr>
        <w:t>)。女性則容易出現下腹痛，月經不順和不孕。男性生殖系統結核最</w:t>
      </w:r>
      <w:r>
        <w:rPr>
          <w:spacing w:val="-4"/>
        </w:rPr>
        <w:t>常見的表現是無痛性陰囊腫塊。病人的尿液檢查大多(＞</w:t>
      </w:r>
      <w:r>
        <w:rPr>
          <w:spacing w:val="-6"/>
        </w:rPr>
        <w:t>90%</w:t>
      </w:r>
      <w:r>
        <w:rPr>
          <w:spacing w:val="-4"/>
        </w:rPr>
        <w:t>)不正常，會出現白血球 </w:t>
      </w:r>
      <w:r>
        <w:rPr/>
        <w:t>和紅血球增多。尿化膿但是一般細菌培養陰性時即須懷疑此症，須立刻送尿做耐酸性</w:t>
      </w:r>
      <w:r>
        <w:rPr>
          <w:spacing w:val="3"/>
        </w:rPr>
        <w:t>染色和結核分枝桿菌培養，也可以施行核酸檢測。大部份</w:t>
      </w:r>
      <w:r>
        <w:rPr/>
        <w:t>(40%~75</w:t>
      </w:r>
      <w:r>
        <w:rPr>
          <w:spacing w:val="1"/>
        </w:rPr>
        <w:t>%)生殖泌尿道結</w:t>
      </w:r>
      <w:r>
        <w:rPr>
          <w:spacing w:val="2"/>
        </w:rPr>
        <w:t>核病人的胸部 </w:t>
      </w:r>
      <w:r>
        <w:rPr/>
        <w:t>X</w:t>
      </w:r>
      <w:r>
        <w:rPr>
          <w:spacing w:val="2"/>
        </w:rPr>
        <w:t> 光片會出現結核性病變。診斷主要靠尿的細菌學檢查或是組織的病</w:t>
      </w:r>
      <w:r>
        <w:rPr>
          <w:spacing w:val="3"/>
        </w:rPr>
        <w:t>理切片。</w:t>
      </w:r>
    </w:p>
    <w:p>
      <w:pPr>
        <w:pStyle w:val="BodyText"/>
        <w:spacing w:before="4"/>
        <w:rPr>
          <w:sz w:val="20"/>
        </w:rPr>
      </w:pPr>
    </w:p>
    <w:p>
      <w:pPr>
        <w:pStyle w:val="Heading6"/>
        <w:numPr>
          <w:ilvl w:val="1"/>
          <w:numId w:val="104"/>
        </w:numPr>
        <w:tabs>
          <w:tab w:pos="649" w:val="left" w:leader="none"/>
        </w:tabs>
        <w:spacing w:line="456" w:lineRule="exact" w:before="0" w:after="0"/>
        <w:ind w:left="648" w:right="0" w:hanging="509"/>
        <w:jc w:val="both"/>
      </w:pPr>
      <w:r>
        <w:rPr>
          <w:spacing w:val="4"/>
        </w:rPr>
        <w:t>骨結核</w:t>
      </w:r>
    </w:p>
    <w:p>
      <w:pPr>
        <w:pStyle w:val="BodyText"/>
        <w:spacing w:line="225" w:lineRule="auto" w:before="15"/>
        <w:ind w:left="636" w:right="1302" w:firstLine="487"/>
        <w:jc w:val="both"/>
      </w:pPr>
      <w:r>
        <w:rPr/>
        <w:t>最常見的症狀是疼痛，偶而會有關節腫大。年輕孩童有結核病時 1%會侵犯骨頭。症狀通常不明顯，不太會發燒，因此獲得診斷時通常病變已經很嚴重。特別要注意的是脊椎結核診斷太慢時常會造成嚴重和不可逆的神經損傷，例如下半身不遂。</w:t>
      </w:r>
    </w:p>
    <w:p>
      <w:pPr>
        <w:pStyle w:val="BodyText"/>
        <w:spacing w:line="225" w:lineRule="auto" w:before="1"/>
        <w:ind w:left="636" w:right="1358" w:firstLine="487"/>
        <w:jc w:val="both"/>
      </w:pPr>
      <w:r>
        <w:rPr>
          <w:spacing w:val="2"/>
        </w:rPr>
        <w:t>骨頭的 </w:t>
      </w:r>
      <w:r>
        <w:rPr/>
        <w:t>X</w:t>
      </w:r>
      <w:r>
        <w:rPr>
          <w:spacing w:val="-1"/>
        </w:rPr>
        <w:t> 光片會有典型的變化如骨頭的腐蝕性病變，沒有新骨形成，骨頭周邊紡</w:t>
      </w:r>
      <w:r>
        <w:rPr>
          <w:spacing w:val="3"/>
        </w:rPr>
        <w:t>錘形冷膿瘍</w:t>
      </w:r>
      <w:r>
        <w:rPr/>
        <w:t>（cold</w:t>
      </w:r>
      <w:r>
        <w:rPr>
          <w:spacing w:val="51"/>
        </w:rPr>
        <w:t> </w:t>
      </w:r>
      <w:r>
        <w:rPr/>
        <w:t>abscess）</w:t>
      </w:r>
      <w:r>
        <w:rPr>
          <w:spacing w:val="1"/>
        </w:rPr>
        <w:t>。但是電腦斷層攝影和核磁共振的敏感度更高，因此當</w:t>
      </w:r>
      <w:r>
        <w:rPr>
          <w:spacing w:val="2"/>
        </w:rPr>
        <w:t>懷疑有骨結核時即須施行上述檢查。確診通常須要靠開刀拿取骨頭或關節膜標本或關節液，做耐酸性染色和結核分枝桿菌培養，也可以施行核酸檢測。</w:t>
      </w:r>
    </w:p>
    <w:p>
      <w:pPr>
        <w:pStyle w:val="BodyText"/>
        <w:spacing w:before="5"/>
        <w:rPr>
          <w:sz w:val="20"/>
        </w:rPr>
      </w:pPr>
    </w:p>
    <w:p>
      <w:pPr>
        <w:pStyle w:val="Heading6"/>
        <w:numPr>
          <w:ilvl w:val="1"/>
          <w:numId w:val="104"/>
        </w:numPr>
        <w:tabs>
          <w:tab w:pos="649" w:val="left" w:leader="none"/>
        </w:tabs>
        <w:spacing w:line="456" w:lineRule="exact" w:before="0" w:after="0"/>
        <w:ind w:left="648" w:right="0" w:hanging="509"/>
        <w:jc w:val="both"/>
      </w:pPr>
      <w:r>
        <w:rPr>
          <w:spacing w:val="3"/>
        </w:rPr>
        <w:t>中樞神經系統結核</w:t>
      </w:r>
    </w:p>
    <w:p>
      <w:pPr>
        <w:pStyle w:val="BodyText"/>
        <w:spacing w:line="225" w:lineRule="auto" w:before="15"/>
        <w:ind w:left="636" w:right="1301" w:firstLine="487"/>
        <w:jc w:val="both"/>
      </w:pPr>
      <w:r>
        <w:rPr>
          <w:spacing w:val="2"/>
        </w:rPr>
        <w:t>此病的死亡率很高。腦膜炎的病因是在結核分枝桿菌初次感染或發作時結核分枝桿菌經由血流播種在腦膜上或者是腦部病灶破入蜘蛛膜下腔(</w:t>
      </w:r>
      <w:r>
        <w:rPr/>
        <w:t>subarachnoid space)內</w:t>
      </w:r>
      <w:r>
        <w:rPr>
          <w:spacing w:val="2"/>
        </w:rPr>
        <w:t>引起的。最嚴重的部位通常是腦的底部，症狀主要是頭痛、神智不清、頸部僵硬。過半數病人的胸部 </w:t>
      </w:r>
      <w:r>
        <w:rPr/>
        <w:t>X</w:t>
      </w:r>
      <w:r>
        <w:rPr>
          <w:spacing w:val="-1"/>
        </w:rPr>
        <w:t> 光片有結核病灶。病人出現腦膜炎病徵時必須抽取脊髓液做鑑別診</w:t>
      </w:r>
      <w:r>
        <w:rPr>
          <w:spacing w:val="3"/>
        </w:rPr>
        <w:t>斷，但是如果有腦壓上升可能時，抽脊髓液前最好施行頭部電腦斷層攝影(</w:t>
      </w:r>
      <w:r>
        <w:rPr/>
        <w:t>CT)</w:t>
      </w:r>
      <w:r>
        <w:rPr>
          <w:spacing w:val="3"/>
        </w:rPr>
        <w:t>。結核</w:t>
      </w:r>
      <w:r>
        <w:rPr>
          <w:spacing w:val="-2"/>
        </w:rPr>
        <w:t>性腦膜炎時，</w:t>
      </w:r>
      <w:r>
        <w:rPr>
          <w:spacing w:val="-5"/>
        </w:rPr>
        <w:t>CT</w:t>
      </w:r>
      <w:r>
        <w:rPr>
          <w:spacing w:val="-4"/>
        </w:rPr>
        <w:t> 可以是正常或腦膜增厚，或局部腦梗塞或水腦症，偶而可以看到周邊</w:t>
      </w:r>
      <w:r>
        <w:rPr>
          <w:spacing w:val="2"/>
        </w:rPr>
        <w:t>加強的腫塊病變即結核瘤(</w:t>
      </w:r>
      <w:r>
        <w:rPr/>
        <w:t>tuberculoma</w:t>
      </w:r>
      <w:r>
        <w:rPr>
          <w:spacing w:val="-6"/>
        </w:rPr>
        <w:t>)。結核瘤的診斷更困難，因為症狀不很明顯， </w:t>
      </w:r>
      <w:r>
        <w:rPr>
          <w:spacing w:val="3"/>
        </w:rPr>
        <w:t>病人偶而有腦壓上升或局部神經病變的現象，診斷通常靠 </w:t>
      </w:r>
      <w:r>
        <w:rPr/>
        <w:t>CT</w:t>
      </w:r>
      <w:r>
        <w:rPr>
          <w:spacing w:val="3"/>
        </w:rPr>
        <w:t> 或核磁共振發現腫塊，</w:t>
      </w:r>
    </w:p>
    <w:p>
      <w:pPr>
        <w:spacing w:after="0" w:line="225" w:lineRule="auto"/>
        <w:jc w:val="both"/>
        <w:sectPr>
          <w:pgSz w:w="12250" w:h="17190"/>
          <w:pgMar w:header="0" w:footer="828" w:top="1460" w:bottom="1020" w:left="1220" w:right="0"/>
        </w:sectPr>
      </w:pPr>
    </w:p>
    <w:p>
      <w:pPr>
        <w:pStyle w:val="BodyText"/>
        <w:spacing w:line="225" w:lineRule="auto" w:before="45"/>
        <w:ind w:left="636" w:right="1361"/>
      </w:pPr>
      <w:r>
        <w:rPr/>
        <w:pict>
          <v:group style="position:absolute;margin-left:568.5pt;margin-top:.602952pt;width:43.9pt;height:103.15pt;mso-position-horizontal-relative:page;mso-position-vertical-relative:paragraph;z-index:251813888" coordorigin="11370,12" coordsize="878,2063">
            <v:shape style="position:absolute;left:11370;top:12;width:878;height:2063" coordorigin="11370,12" coordsize="878,2063" path="m12197,12l11535,12,11471,25,11418,60,11383,113,11370,177,11370,1910,11383,1974,11418,2027,11471,2062,11535,2075,12197,2075,12247,2065,12247,22,12197,12xe" filled="true" fillcolor="#a6a6a6" stroked="false">
              <v:path arrowok="t"/>
              <v:fill type="solid"/>
            </v:shape>
            <v:shape style="position:absolute;left:11370;top:12;width:878;height:2063" type="#_x0000_t202" filled="false" stroked="false">
              <v:textbox inset="0,0,0,0">
                <w:txbxContent>
                  <w:p>
                    <w:pPr>
                      <w:spacing w:line="146" w:lineRule="auto" w:before="127"/>
                      <w:ind w:left="136" w:right="518" w:firstLine="0"/>
                      <w:jc w:val="both"/>
                      <w:rPr>
                        <w:sz w:val="22"/>
                      </w:rPr>
                    </w:pPr>
                    <w:r>
                      <w:rPr>
                        <w:sz w:val="22"/>
                      </w:rPr>
                      <w:t>第七章</w:t>
                    </w:r>
                  </w:p>
                  <w:p>
                    <w:pPr>
                      <w:spacing w:line="141" w:lineRule="auto" w:before="175"/>
                      <w:ind w:left="136" w:right="518" w:firstLine="0"/>
                      <w:jc w:val="both"/>
                      <w:rPr>
                        <w:sz w:val="22"/>
                      </w:rPr>
                    </w:pPr>
                    <w:r>
                      <w:rPr>
                        <w:sz w:val="22"/>
                      </w:rPr>
                      <w:t>肺外結核</w:t>
                    </w:r>
                  </w:p>
                </w:txbxContent>
              </v:textbox>
              <w10:wrap type="none"/>
            </v:shape>
            <w10:wrap type="none"/>
          </v:group>
        </w:pict>
      </w:r>
      <w:r>
        <w:rPr/>
        <w:t>再進一步取得組織或抽膿，做耐酸性染色和結核分枝桿菌培養才能證實，也可以用脊髓液做核酸檢測。</w:t>
      </w:r>
    </w:p>
    <w:p>
      <w:pPr>
        <w:pStyle w:val="Heading6"/>
        <w:numPr>
          <w:ilvl w:val="1"/>
          <w:numId w:val="104"/>
        </w:numPr>
        <w:tabs>
          <w:tab w:pos="649" w:val="left" w:leader="none"/>
        </w:tabs>
        <w:spacing w:line="387" w:lineRule="exact" w:before="0" w:after="0"/>
        <w:ind w:left="648" w:right="0" w:hanging="509"/>
        <w:jc w:val="left"/>
      </w:pPr>
      <w:r>
        <w:rPr>
          <w:spacing w:val="4"/>
        </w:rPr>
        <w:t>腹部結核</w:t>
      </w:r>
    </w:p>
    <w:p>
      <w:pPr>
        <w:pStyle w:val="BodyText"/>
        <w:spacing w:line="225" w:lineRule="auto" w:before="6"/>
        <w:ind w:left="636" w:right="1301" w:firstLine="487"/>
        <w:jc w:val="both"/>
      </w:pPr>
      <w:r>
        <w:rPr>
          <w:spacing w:val="18"/>
        </w:rPr>
        <w:t>結核病可以侵犯腹部任何器官包括腹膜。腸結核最常侵犯的部位是終端迴腸(terminal</w:t>
      </w:r>
      <w:r>
        <w:rPr>
          <w:spacing w:val="-4"/>
        </w:rPr>
        <w:t> </w:t>
      </w:r>
      <w:r>
        <w:rPr/>
        <w:t>ileum)和盲腸(cecum)，會引起腹部疼痛和腸道阻塞現象，很難和闌尾炎或</w:t>
      </w:r>
      <w:r>
        <w:rPr>
          <w:spacing w:val="2"/>
        </w:rPr>
        <w:t>腸腫瘤鑑別診斷。直腸病變會以肛門廔管，肛門裂或肛門周邊膿瘍的形式出現。各種</w:t>
      </w:r>
      <w:r>
        <w:rPr>
          <w:spacing w:val="-6"/>
        </w:rPr>
        <w:t>內視鏡的切片或是手術切片可以診斷此病。結核性腹膜炎會有腹痛和腹部腫脹的現象。</w:t>
      </w:r>
      <w:r>
        <w:rPr>
          <w:spacing w:val="2"/>
        </w:rPr>
        <w:t>也會出現發燒、體重減輕、食慾不振。診斷相當困難，病人有腹痛和腹水現象，疑為腹部感染時通常須抽取腹水。腹水檢查通常無法確診結核性腹膜炎，須要進一步做腹</w:t>
      </w:r>
      <w:r>
        <w:rPr>
          <w:spacing w:val="8"/>
        </w:rPr>
        <w:t>腔鏡拿取切片組織才能確診。糞便的結核分枝桿菌培養也是另一診斷方法。大部分(82%</w:t>
      </w:r>
      <w:r>
        <w:rPr>
          <w:spacing w:val="2"/>
        </w:rPr>
        <w:t>)腹部結核的病人胸部 </w:t>
      </w:r>
      <w:r>
        <w:rPr/>
        <w:t>X</w:t>
      </w:r>
      <w:r>
        <w:rPr>
          <w:spacing w:val="1"/>
        </w:rPr>
        <w:t> 光片會有肺結核的變化。</w:t>
      </w:r>
    </w:p>
    <w:p>
      <w:pPr>
        <w:pStyle w:val="BodyText"/>
        <w:spacing w:before="1"/>
        <w:rPr>
          <w:sz w:val="18"/>
        </w:rPr>
      </w:pPr>
    </w:p>
    <w:p>
      <w:pPr>
        <w:pStyle w:val="Heading6"/>
        <w:numPr>
          <w:ilvl w:val="1"/>
          <w:numId w:val="104"/>
        </w:numPr>
        <w:tabs>
          <w:tab w:pos="649" w:val="left" w:leader="none"/>
        </w:tabs>
        <w:spacing w:line="451" w:lineRule="exact" w:before="0" w:after="0"/>
        <w:ind w:left="648" w:right="0" w:hanging="509"/>
        <w:jc w:val="left"/>
      </w:pPr>
      <w:r>
        <w:rPr>
          <w:spacing w:val="3"/>
        </w:rPr>
        <w:t>結核性心包膜炎</w:t>
      </w:r>
    </w:p>
    <w:p>
      <w:pPr>
        <w:pStyle w:val="BodyText"/>
        <w:spacing w:line="225" w:lineRule="auto" w:before="10"/>
        <w:ind w:left="636" w:right="1298" w:firstLine="480"/>
        <w:jc w:val="right"/>
      </w:pPr>
      <w:r>
        <w:rPr>
          <w:spacing w:val="-4"/>
        </w:rPr>
        <w:t>此病的表現主要是感染本身和心包膜發炎造成的後果。感染本身會引起發燒、體重</w:t>
      </w:r>
      <w:r>
        <w:rPr>
          <w:spacing w:val="2"/>
        </w:rPr>
        <w:t>減輕和夜間盜汗等症狀。心臟受損的症狀較晚出現，這包括呼吸困難、咳嗽、端坐呼</w:t>
      </w:r>
      <w:r>
        <w:rPr>
          <w:spacing w:val="-6"/>
        </w:rPr>
        <w:t>吸、水腫和胸痛。胸痛有些類似心絞痛，但是通常是悶痛，深呼吸和更換姿勢時較痛。</w:t>
      </w:r>
      <w:r>
        <w:rPr>
          <w:spacing w:val="34"/>
        </w:rPr>
        <w:t>主要的理學檢查變化是因為心包膜積水或纖維化造成的心填塞 </w:t>
      </w:r>
      <w:r>
        <w:rPr/>
        <w:t>(cardiac tamponade)</w:t>
      </w:r>
      <w:r>
        <w:rPr>
          <w:spacing w:val="-11"/>
        </w:rPr>
        <w:t>現象。有些病人初次發現時即有嚴重的窄縮性心包膜炎變化，這些病人早</w:t>
      </w:r>
      <w:r>
        <w:rPr>
          <w:spacing w:val="2"/>
        </w:rPr>
        <w:t>期的急性發炎變化可能被忽略了。診斷主要靠心包膜穿刺抽取心包液或心包膜切片檢</w:t>
      </w:r>
    </w:p>
    <w:p>
      <w:pPr>
        <w:pStyle w:val="BodyText"/>
        <w:spacing w:line="423" w:lineRule="exact"/>
        <w:ind w:left="636"/>
      </w:pPr>
      <w:r>
        <w:rPr/>
        <w:t>查以獲取細菌學或病理學證據。</w:t>
      </w:r>
    </w:p>
    <w:p>
      <w:pPr>
        <w:pStyle w:val="BodyText"/>
        <w:spacing w:before="11"/>
        <w:rPr>
          <w:sz w:val="17"/>
        </w:rPr>
      </w:pPr>
    </w:p>
    <w:p>
      <w:pPr>
        <w:pStyle w:val="Heading6"/>
        <w:numPr>
          <w:ilvl w:val="1"/>
          <w:numId w:val="104"/>
        </w:numPr>
        <w:tabs>
          <w:tab w:pos="649" w:val="left" w:leader="none"/>
        </w:tabs>
        <w:spacing w:line="451" w:lineRule="exact" w:before="0" w:after="0"/>
        <w:ind w:left="648" w:right="0" w:hanging="509"/>
        <w:jc w:val="both"/>
      </w:pPr>
      <w:r>
        <w:rPr>
          <w:spacing w:val="3"/>
        </w:rPr>
        <w:t>肺外結核之治療</w:t>
      </w:r>
    </w:p>
    <w:p>
      <w:pPr>
        <w:pStyle w:val="BodyText"/>
        <w:spacing w:line="225" w:lineRule="auto" w:before="11"/>
        <w:ind w:left="636" w:right="1357" w:firstLine="487"/>
        <w:jc w:val="both"/>
      </w:pPr>
      <w:r>
        <w:rPr>
          <w:spacing w:val="2"/>
        </w:rPr>
        <w:t>肺外結核的治療基本上與肺結核的治療相同，唯一的差別是治療期間是否延長。</w:t>
      </w:r>
      <w:r>
        <w:rPr/>
        <w:t>美國胸腔學會的結核病治療指引（2016</w:t>
      </w:r>
      <w:r>
        <w:rPr>
          <w:spacing w:val="3"/>
        </w:rPr>
        <w:t> 年版</w:t>
      </w:r>
      <w:r>
        <w:rPr>
          <w:spacing w:val="-32"/>
        </w:rPr>
        <w:t>）</w:t>
      </w:r>
      <w:r>
        <w:rPr>
          <w:spacing w:val="2"/>
        </w:rPr>
        <w:t>建議結核性腦膜炎採用 </w:t>
      </w:r>
      <w:r>
        <w:rPr/>
        <w:t>9</w:t>
      </w:r>
      <w:r>
        <w:rPr>
          <w:spacing w:val="3"/>
        </w:rPr>
        <w:t> 到 </w:t>
      </w:r>
      <w:r>
        <w:rPr/>
        <w:t>12</w:t>
      </w:r>
      <w:r>
        <w:rPr>
          <w:spacing w:val="3"/>
        </w:rPr>
        <w:t> 個月的</w:t>
      </w:r>
    </w:p>
    <w:p>
      <w:pPr>
        <w:pStyle w:val="BodyText"/>
        <w:spacing w:line="225" w:lineRule="auto"/>
        <w:ind w:left="636" w:right="1357"/>
        <w:jc w:val="both"/>
      </w:pPr>
      <w:r>
        <w:rPr>
          <w:spacing w:val="-1"/>
        </w:rPr>
        <w:t>治療，其餘的肺外結核可採用 </w:t>
      </w:r>
      <w:r>
        <w:rPr/>
        <w:t>6</w:t>
      </w:r>
      <w:r>
        <w:rPr>
          <w:spacing w:val="2"/>
        </w:rPr>
        <w:t> 到 </w:t>
      </w:r>
      <w:r>
        <w:rPr/>
        <w:t>9</w:t>
      </w:r>
      <w:r>
        <w:rPr>
          <w:spacing w:val="-2"/>
        </w:rPr>
        <w:t> 個月的治療。治療的藥物採用 </w:t>
      </w:r>
      <w:r>
        <w:rPr>
          <w:spacing w:val="-3"/>
        </w:rPr>
        <w:t>INH</w:t>
      </w:r>
      <w:r>
        <w:rPr>
          <w:spacing w:val="-6"/>
        </w:rPr>
        <w:t>、</w:t>
      </w:r>
      <w:r>
        <w:rPr/>
        <w:t>RMP</w:t>
      </w:r>
      <w:r>
        <w:rPr>
          <w:spacing w:val="-6"/>
        </w:rPr>
        <w:t>、</w:t>
      </w:r>
      <w:r>
        <w:rPr/>
        <w:t>PZA </w:t>
      </w:r>
      <w:r>
        <w:rPr>
          <w:spacing w:val="3"/>
        </w:rPr>
        <w:t>和 </w:t>
      </w:r>
      <w:r>
        <w:rPr/>
        <w:t>EMB</w:t>
      </w:r>
      <w:r>
        <w:rPr>
          <w:spacing w:val="-11"/>
        </w:rPr>
        <w:t> </w:t>
      </w:r>
      <w:r>
        <w:rPr/>
        <w:t>2</w:t>
      </w:r>
      <w:r>
        <w:rPr>
          <w:spacing w:val="-1"/>
        </w:rPr>
        <w:t> 個月，然後改成 </w:t>
      </w:r>
      <w:r>
        <w:rPr>
          <w:spacing w:val="-3"/>
        </w:rPr>
        <w:t>INH</w:t>
      </w:r>
      <w:r>
        <w:rPr>
          <w:spacing w:val="-9"/>
        </w:rPr>
        <w:t>、</w:t>
      </w:r>
      <w:r>
        <w:rPr>
          <w:spacing w:val="-3"/>
        </w:rPr>
        <w:t>RMP，4</w:t>
      </w:r>
      <w:r>
        <w:rPr>
          <w:spacing w:val="3"/>
        </w:rPr>
        <w:t> 到 </w:t>
      </w:r>
      <w:r>
        <w:rPr/>
        <w:t>10</w:t>
      </w:r>
      <w:r>
        <w:rPr>
          <w:spacing w:val="-2"/>
        </w:rPr>
        <w:t> 個月。另外建議外科手術須要用在(</w:t>
      </w:r>
      <w:r>
        <w:rPr/>
        <w:t>1) </w:t>
      </w:r>
      <w:r>
        <w:rPr>
          <w:spacing w:val="-3"/>
        </w:rPr>
        <w:t>獲取切片；(2)</w:t>
      </w:r>
      <w:r>
        <w:rPr>
          <w:spacing w:val="-2"/>
        </w:rPr>
        <w:t>窄縮性心包膜炎；和</w:t>
      </w:r>
      <w:r>
        <w:rPr/>
        <w:t>(3</w:t>
      </w:r>
      <w:r>
        <w:rPr>
          <w:spacing w:val="-3"/>
        </w:rPr>
        <w:t>)脊椎結核造成脊柱壓迫。也建議在結核性腦膜炎</w:t>
      </w:r>
      <w:r>
        <w:rPr>
          <w:spacing w:val="-1"/>
        </w:rPr>
        <w:t>和結核性心包膜炎時須併用類固醇。但是英國胸腔學會發表的結核病治療指引</w:t>
      </w:r>
      <w:r>
        <w:rPr/>
        <w:t>（2011 </w:t>
      </w:r>
      <w:r>
        <w:rPr>
          <w:spacing w:val="3"/>
        </w:rPr>
        <w:t>年版）</w:t>
      </w:r>
      <w:r>
        <w:rPr>
          <w:spacing w:val="2"/>
        </w:rPr>
        <w:t>卻有些微的差異。它們推薦肺外結核的治療同肺結核，唯一例外是結核性腦膜</w:t>
      </w:r>
      <w:r>
        <w:rPr>
          <w:spacing w:val="4"/>
        </w:rPr>
        <w:t>炎須延長到 </w:t>
      </w:r>
      <w:r>
        <w:rPr/>
        <w:t>12</w:t>
      </w:r>
      <w:r>
        <w:rPr>
          <w:spacing w:val="3"/>
        </w:rPr>
        <w:t> 個月。世界衛生組織</w:t>
      </w:r>
      <w:r>
        <w:rPr/>
        <w:t>(2017</w:t>
      </w:r>
      <w:r>
        <w:rPr>
          <w:spacing w:val="3"/>
        </w:rPr>
        <w:t> 年版)的建議為肺外結核的治療同肺結核， </w:t>
      </w:r>
      <w:r>
        <w:rPr>
          <w:spacing w:val="2"/>
        </w:rPr>
        <w:t>文中提到某些專家認為結核性腦膜炎採用 </w:t>
      </w:r>
      <w:r>
        <w:rPr/>
        <w:t>9–12</w:t>
      </w:r>
      <w:r>
        <w:rPr>
          <w:spacing w:val="-1"/>
        </w:rPr>
        <w:t> 個月的治療，骨結核採用 </w:t>
      </w:r>
      <w:r>
        <w:rPr/>
        <w:t>9</w:t>
      </w:r>
      <w:r>
        <w:rPr>
          <w:spacing w:val="2"/>
        </w:rPr>
        <w:t>  個月的治</w:t>
      </w:r>
    </w:p>
    <w:p>
      <w:pPr>
        <w:pStyle w:val="BodyText"/>
        <w:spacing w:line="225" w:lineRule="auto" w:before="2"/>
        <w:ind w:left="636" w:right="1362"/>
        <w:jc w:val="both"/>
      </w:pPr>
      <w:r>
        <w:rPr/>
        <w:t>療。本指引建議結核性腦膜炎採用 12–18 個月的治療，骨結核 9–12 個月的治療，其餘肺外結核的治療相同於肺結核。</w:t>
      </w:r>
    </w:p>
    <w:p>
      <w:pPr>
        <w:pStyle w:val="BodyText"/>
        <w:spacing w:line="220" w:lineRule="auto"/>
        <w:ind w:left="636" w:right="1361" w:firstLine="487"/>
        <w:jc w:val="right"/>
      </w:pPr>
      <w:r>
        <w:rPr/>
        <w:t>理論上，肺外結核的治療應當比肺結核容易，因為肺外結核病變處的細菌數量比在肺結核的空洞病變處少很多，再加上抗結核藥物到各個組織的濃度都很高，治療期</w:t>
      </w:r>
    </w:p>
    <w:p>
      <w:pPr>
        <w:spacing w:after="0" w:line="220" w:lineRule="auto"/>
        <w:jc w:val="right"/>
        <w:sectPr>
          <w:pgSz w:w="12250" w:h="17190"/>
          <w:pgMar w:header="0" w:footer="828" w:top="1460" w:bottom="1020" w:left="1220" w:right="0"/>
        </w:sectPr>
      </w:pPr>
    </w:p>
    <w:p>
      <w:pPr>
        <w:pStyle w:val="BodyText"/>
        <w:spacing w:line="220" w:lineRule="auto" w:before="44"/>
        <w:ind w:left="636" w:right="1361"/>
        <w:jc w:val="both"/>
      </w:pPr>
      <w:r>
        <w:rPr/>
        <w:t>間理論上可以相同。但是困難的地方是肺外結核的病例數少，診斷較困難，治療的評估也較難，不像肺結核可以用痰培養和胸部Ｘ光片來評估。所以大規模的臨床對照研究很難完成。下面介紹一些較新、個案較多的肺外結核治療的研究成果。</w:t>
      </w:r>
    </w:p>
    <w:p>
      <w:pPr>
        <w:pStyle w:val="BodyText"/>
        <w:spacing w:line="406" w:lineRule="exact"/>
        <w:ind w:right="1357"/>
        <w:jc w:val="right"/>
      </w:pPr>
      <w:r>
        <w:rPr>
          <w:spacing w:val="1"/>
        </w:rPr>
        <w:t>英國胸腔學會研究小組進行了結核性淋巴腺炎的 </w:t>
      </w:r>
      <w:r>
        <w:rPr/>
        <w:t>6</w:t>
      </w:r>
      <w:r>
        <w:rPr>
          <w:spacing w:val="-1"/>
        </w:rPr>
        <w:t> 個月和 </w:t>
      </w:r>
      <w:r>
        <w:rPr/>
        <w:t>9</w:t>
      </w:r>
      <w:r>
        <w:rPr>
          <w:spacing w:val="1"/>
        </w:rPr>
        <w:t> 個月治療方式的對照</w:t>
      </w:r>
    </w:p>
    <w:p>
      <w:pPr>
        <w:pStyle w:val="BodyText"/>
        <w:spacing w:line="412" w:lineRule="exact"/>
        <w:ind w:right="1363"/>
        <w:jc w:val="right"/>
      </w:pPr>
      <w:r>
        <w:rPr/>
        <w:t>臨床研究。此研究証實 6</w:t>
      </w:r>
      <w:r>
        <w:rPr>
          <w:spacing w:val="1"/>
        </w:rPr>
        <w:t> 個月的治療方式和 </w:t>
      </w:r>
      <w:r>
        <w:rPr/>
        <w:t>9 個月的一樣好，因而推薦結核性淋巴腺</w:t>
      </w:r>
    </w:p>
    <w:p>
      <w:pPr>
        <w:pStyle w:val="BodyText"/>
        <w:spacing w:line="412" w:lineRule="exact"/>
        <w:ind w:left="624"/>
        <w:jc w:val="both"/>
      </w:pPr>
      <w:r>
        <w:rPr/>
        <w:t>炎可以採用 6 個月的治療方式。</w:t>
      </w:r>
    </w:p>
    <w:p>
      <w:pPr>
        <w:pStyle w:val="BodyText"/>
        <w:spacing w:line="223" w:lineRule="auto" w:before="8"/>
        <w:ind w:left="624" w:right="1357" w:firstLine="488"/>
        <w:jc w:val="both"/>
      </w:pPr>
      <w:r>
        <w:rPr>
          <w:spacing w:val="20"/>
        </w:rPr>
        <w:t>針對脊椎結核的治療，醫學研究小組</w:t>
      </w:r>
      <w:r>
        <w:rPr/>
        <w:t>（ Medical</w:t>
      </w:r>
      <w:r>
        <w:rPr>
          <w:spacing w:val="58"/>
        </w:rPr>
        <w:t> </w:t>
      </w:r>
      <w:r>
        <w:rPr/>
        <w:t>Research</w:t>
      </w:r>
      <w:r>
        <w:rPr>
          <w:spacing w:val="58"/>
        </w:rPr>
        <w:t> </w:t>
      </w:r>
      <w:r>
        <w:rPr/>
        <w:t>Council</w:t>
      </w:r>
      <w:r>
        <w:rPr>
          <w:spacing w:val="58"/>
        </w:rPr>
        <w:t> </w:t>
      </w:r>
      <w:r>
        <w:rPr/>
        <w:t>Working Party on Tuberculosis of the Spine）</w:t>
      </w:r>
      <w:r>
        <w:rPr>
          <w:spacing w:val="2"/>
        </w:rPr>
        <w:t>進行了一系列的研究。在 </w:t>
      </w:r>
      <w:r>
        <w:rPr/>
        <w:t>1999</w:t>
      </w:r>
      <w:r>
        <w:rPr>
          <w:spacing w:val="3"/>
        </w:rPr>
        <w:t> 年發表的第 </w:t>
      </w:r>
      <w:r>
        <w:rPr/>
        <w:t>14 </w:t>
      </w:r>
      <w:r>
        <w:rPr>
          <w:spacing w:val="2"/>
        </w:rPr>
        <w:t>次論文報告中總結了三個國家的五年追蹤報告。結論是短程化學治療是最重要的治療</w:t>
      </w:r>
      <w:r>
        <w:rPr>
          <w:spacing w:val="-3"/>
        </w:rPr>
        <w:t>因素，不一定須要加上外科手術，但是如有下列三情況時還是須要手術：(</w:t>
      </w:r>
      <w:r>
        <w:rPr/>
        <w:t>1</w:t>
      </w:r>
      <w:r>
        <w:rPr>
          <w:spacing w:val="2"/>
        </w:rPr>
        <w:t>)化學藥物治療失敗；(2)</w:t>
      </w:r>
      <w:r>
        <w:rPr>
          <w:spacing w:val="3"/>
        </w:rPr>
        <w:t>減輕脊髓的壓迫；及</w:t>
      </w:r>
      <w:r>
        <w:rPr/>
        <w:t>(3</w:t>
      </w:r>
      <w:r>
        <w:rPr>
          <w:spacing w:val="1"/>
        </w:rPr>
        <w:t>)脊柱不穩時。</w:t>
      </w:r>
    </w:p>
    <w:p>
      <w:pPr>
        <w:pStyle w:val="BodyText"/>
        <w:spacing w:line="223" w:lineRule="auto" w:before="8"/>
        <w:ind w:left="624" w:right="1298" w:firstLine="488"/>
      </w:pPr>
      <w:r>
        <w:rPr>
          <w:spacing w:val="20"/>
        </w:rPr>
        <w:t>在南非的 </w:t>
      </w:r>
      <w:r>
        <w:rPr>
          <w:spacing w:val="7"/>
        </w:rPr>
        <w:t>Transkei</w:t>
      </w:r>
      <w:r>
        <w:rPr>
          <w:spacing w:val="21"/>
        </w:rPr>
        <w:t>，結核性心包膜炎是常見的心衰竭病因，因此被戲稱為Transkei</w:t>
      </w:r>
      <w:r>
        <w:rPr>
          <w:spacing w:val="5"/>
        </w:rPr>
        <w:t> 心臟病</w:t>
      </w:r>
      <w:r>
        <w:rPr/>
        <w:t>（Transkei heart）</w:t>
      </w:r>
      <w:r>
        <w:rPr>
          <w:spacing w:val="6"/>
        </w:rPr>
        <w:t>。在 </w:t>
      </w:r>
      <w:r>
        <w:rPr/>
        <w:t>1987</w:t>
      </w:r>
      <w:r>
        <w:rPr>
          <w:spacing w:val="2"/>
        </w:rPr>
        <w:t>  年發表的論文，當地學者 </w:t>
      </w:r>
      <w:r>
        <w:rPr/>
        <w:t>Strang</w:t>
      </w:r>
      <w:r>
        <w:rPr>
          <w:spacing w:val="3"/>
        </w:rPr>
        <w:t> 等人進行了短程化學治療</w:t>
      </w:r>
      <w:r>
        <w:rPr/>
        <w:t>（6</w:t>
      </w:r>
      <w:r>
        <w:rPr>
          <w:spacing w:val="8"/>
        </w:rPr>
        <w:t> 個月的 </w:t>
      </w:r>
      <w:r>
        <w:rPr>
          <w:spacing w:val="2"/>
        </w:rPr>
        <w:t>HR</w:t>
      </w:r>
      <w:r>
        <w:rPr>
          <w:spacing w:val="7"/>
        </w:rPr>
        <w:t>，前 </w:t>
      </w:r>
      <w:r>
        <w:rPr/>
        <w:t>14</w:t>
      </w:r>
      <w:r>
        <w:rPr>
          <w:spacing w:val="6"/>
        </w:rPr>
        <w:t> 週再加用 </w:t>
      </w:r>
      <w:r>
        <w:rPr>
          <w:spacing w:val="2"/>
        </w:rPr>
        <w:t>ZS），</w:t>
      </w:r>
      <w:r>
        <w:rPr>
          <w:spacing w:val="5"/>
        </w:rPr>
        <w:t>結論是使用 </w:t>
      </w:r>
      <w:r>
        <w:rPr/>
        <w:t>6</w:t>
      </w:r>
      <w:r>
        <w:rPr>
          <w:spacing w:val="6"/>
        </w:rPr>
        <w:t> 個月的</w:t>
      </w:r>
      <w:r>
        <w:rPr>
          <w:spacing w:val="3"/>
        </w:rPr>
        <w:t>短程化學藥物再輔佐類固醇對結核性心包膜炎的療效很好。類固醇劑量是每天 </w:t>
      </w:r>
      <w:r>
        <w:rPr/>
        <w:t>60</w:t>
      </w:r>
      <w:r>
        <w:rPr>
          <w:spacing w:val="25"/>
        </w:rPr>
        <w:t> ㎎prednisolone，</w:t>
      </w:r>
      <w:r>
        <w:rPr>
          <w:spacing w:val="21"/>
        </w:rPr>
        <w:t>第二個月減為每天 </w:t>
      </w:r>
      <w:r>
        <w:rPr/>
        <w:t>30</w:t>
      </w:r>
      <w:r>
        <w:rPr>
          <w:spacing w:val="14"/>
        </w:rPr>
        <w:t> ㎎ </w:t>
      </w:r>
      <w:r>
        <w:rPr/>
        <w:t>prednisolone，第三個月繼續減量，總共使</w:t>
      </w:r>
      <w:r>
        <w:rPr>
          <w:spacing w:val="3"/>
        </w:rPr>
        <w:t>用 </w:t>
      </w:r>
      <w:r>
        <w:rPr/>
        <w:t>3</w:t>
      </w:r>
      <w:r>
        <w:rPr>
          <w:spacing w:val="-5"/>
        </w:rPr>
        <w:t> 個月。</w:t>
      </w:r>
      <w:r>
        <w:rPr/>
        <w:t>53 位併用類固醇的案例中，只有 2</w:t>
      </w:r>
      <w:r>
        <w:rPr>
          <w:spacing w:val="-12"/>
        </w:rPr>
        <w:t> 位</w:t>
      </w:r>
      <w:r>
        <w:rPr>
          <w:spacing w:val="-5"/>
        </w:rPr>
        <w:t>（4%）</w:t>
      </w:r>
      <w:r>
        <w:rPr>
          <w:spacing w:val="-4"/>
        </w:rPr>
        <w:t>死亡，</w:t>
      </w:r>
      <w:r>
        <w:rPr>
          <w:spacing w:val="-3"/>
        </w:rPr>
        <w:t>61</w:t>
      </w:r>
      <w:r>
        <w:rPr>
          <w:spacing w:val="1"/>
        </w:rPr>
        <w:t> 位未使用類固醇的</w:t>
      </w:r>
      <w:r>
        <w:rPr>
          <w:spacing w:val="-20"/>
        </w:rPr>
        <w:t>案例，卻有 </w:t>
      </w:r>
      <w:r>
        <w:rPr/>
        <w:t>7</w:t>
      </w:r>
      <w:r>
        <w:rPr>
          <w:spacing w:val="-58"/>
        </w:rPr>
        <w:t> 位</w:t>
      </w:r>
      <w:r>
        <w:rPr/>
        <w:t>（11%</w:t>
      </w:r>
      <w:r>
        <w:rPr>
          <w:spacing w:val="-116"/>
        </w:rPr>
        <w:t>）</w:t>
      </w:r>
      <w:r>
        <w:rPr>
          <w:spacing w:val="-16"/>
        </w:rPr>
        <w:t>死亡。前者只有 </w:t>
      </w:r>
      <w:r>
        <w:rPr/>
        <w:t>21%</w:t>
      </w:r>
      <w:r>
        <w:rPr>
          <w:spacing w:val="-12"/>
        </w:rPr>
        <w:t>需要施行心包膜切除術</w:t>
      </w:r>
      <w:r>
        <w:rPr/>
        <w:t>（</w:t>
      </w:r>
      <w:r>
        <w:rPr>
          <w:spacing w:val="-1"/>
        </w:rPr>
        <w:t>p</w:t>
      </w:r>
      <w:r>
        <w:rPr/>
        <w:t>e</w:t>
      </w:r>
      <w:r>
        <w:rPr>
          <w:spacing w:val="-1"/>
        </w:rPr>
        <w:t>r</w:t>
      </w:r>
      <w:r>
        <w:rPr/>
        <w:t>ic</w:t>
      </w:r>
      <w:r>
        <w:rPr>
          <w:spacing w:val="-1"/>
        </w:rPr>
        <w:t>ar</w:t>
      </w:r>
      <w:r>
        <w:rPr/>
        <w:t>diect</w:t>
      </w:r>
      <w:r>
        <w:rPr>
          <w:spacing w:val="-1"/>
        </w:rPr>
        <w:t>om</w:t>
      </w:r>
      <w:r>
        <w:rPr/>
        <w:t>y</w:t>
      </w:r>
      <w:r>
        <w:rPr>
          <w:spacing w:val="-173"/>
        </w:rPr>
        <w:t>），</w:t>
      </w:r>
      <w:r>
        <w:rPr>
          <w:spacing w:val="5"/>
        </w:rPr>
        <w:t>後者有 </w:t>
      </w:r>
      <w:r>
        <w:rPr/>
        <w:t>30</w:t>
      </w:r>
      <w:r>
        <w:rPr>
          <w:spacing w:val="1"/>
        </w:rPr>
        <w:t>%須要施行心包膜切除術。但是 </w:t>
      </w:r>
      <w:r>
        <w:rPr/>
        <w:t>2014</w:t>
      </w:r>
      <w:r>
        <w:rPr>
          <w:spacing w:val="3"/>
        </w:rPr>
        <w:t> 年的論文收集了 </w:t>
      </w:r>
      <w:r>
        <w:rPr/>
        <w:t>1,400</w:t>
      </w:r>
      <w:r>
        <w:rPr>
          <w:spacing w:val="2"/>
        </w:rPr>
        <w:t> 位結核性心包</w:t>
      </w:r>
      <w:r>
        <w:rPr>
          <w:spacing w:val="-17"/>
        </w:rPr>
        <w:t>膜炎的案例，顯示兩者並無統計學上的差異；但是此系列的案例有三分之二合併愛滋病。</w:t>
      </w:r>
      <w:r>
        <w:rPr/>
        <w:t>愛滋感染者使用類固醇、反而會增加罹患惡性腫瘤的機率。</w:t>
      </w:r>
    </w:p>
    <w:p>
      <w:pPr>
        <w:pStyle w:val="BodyText"/>
        <w:spacing w:line="223" w:lineRule="auto" w:before="15"/>
        <w:ind w:left="624" w:right="1361" w:firstLine="488"/>
        <w:jc w:val="both"/>
      </w:pPr>
      <w:r>
        <w:rPr>
          <w:spacing w:val="2"/>
        </w:rPr>
        <w:t>然而，</w:t>
      </w:r>
      <w:r>
        <w:rPr/>
        <w:t>Cochrane</w:t>
      </w:r>
      <w:r>
        <w:rPr>
          <w:spacing w:val="6"/>
        </w:rPr>
        <w:t> 資料庫在 </w:t>
      </w:r>
      <w:r>
        <w:rPr/>
        <w:t>2017</w:t>
      </w:r>
      <w:r>
        <w:rPr>
          <w:spacing w:val="3"/>
        </w:rPr>
        <w:t> 年的論文中，收集 </w:t>
      </w:r>
      <w:r>
        <w:rPr/>
        <w:t>1,959</w:t>
      </w:r>
      <w:r>
        <w:rPr>
          <w:spacing w:val="2"/>
        </w:rPr>
        <w:t> 位案例，結論是：沒有合併愛滋病的結核性心包膜炎病人，使用類固醇可以降低死亡率。愛滋病控制良好</w:t>
      </w:r>
      <w:r>
        <w:rPr>
          <w:spacing w:val="-1"/>
        </w:rPr>
        <w:t>的結核性心包膜炎病人也應當使用類固醇。因此表 </w:t>
      </w:r>
      <w:r>
        <w:rPr/>
        <w:t>7-1</w:t>
      </w:r>
      <w:r>
        <w:rPr>
          <w:spacing w:val="-6"/>
        </w:rPr>
        <w:t> 的建議改為「部份建議使用類</w:t>
      </w:r>
      <w:r>
        <w:rPr>
          <w:spacing w:val="3"/>
        </w:rPr>
        <w:t>固醇」。</w:t>
      </w:r>
    </w:p>
    <w:p>
      <w:pPr>
        <w:pStyle w:val="BodyText"/>
        <w:spacing w:line="411" w:lineRule="exact"/>
        <w:ind w:left="1112"/>
        <w:jc w:val="both"/>
      </w:pPr>
      <w:r>
        <w:rPr/>
        <w:t>到目前為止，尚無大規模的對照研究證實結核性腦膜炎的治療是否可縮短到 9 個</w:t>
      </w:r>
    </w:p>
    <w:p>
      <w:pPr>
        <w:pStyle w:val="BodyText"/>
        <w:spacing w:line="223" w:lineRule="auto" w:before="8"/>
        <w:ind w:left="624" w:right="1361"/>
        <w:jc w:val="both"/>
      </w:pPr>
      <w:r>
        <w:rPr/>
        <w:t>月。因此大部分的專家建議使用 12 個月的治療。比較確定的是早期使用類固醇可以降低病人的死亡率。</w:t>
      </w:r>
    </w:p>
    <w:p>
      <w:pPr>
        <w:pStyle w:val="BodyText"/>
        <w:spacing w:line="223" w:lineRule="auto" w:before="3"/>
        <w:ind w:left="624" w:right="1307" w:firstLine="488"/>
        <w:jc w:val="both"/>
      </w:pPr>
      <w:r>
        <w:rPr>
          <w:spacing w:val="2"/>
        </w:rPr>
        <w:t>結核性肋膜炎通常使用 </w:t>
      </w:r>
      <w:r>
        <w:rPr/>
        <w:t>6</w:t>
      </w:r>
      <w:r>
        <w:rPr>
          <w:spacing w:val="-2"/>
        </w:rPr>
        <w:t> 個月的藥物治療。添加類固醇可以讓病人的症狀(發燒， </w:t>
      </w:r>
      <w:r>
        <w:rPr>
          <w:spacing w:val="-5"/>
        </w:rPr>
        <w:t>胸痛，呼吸困難)迅速消失，也可以使得肋膜積水迅速消退，但是對於殘餘的肋膜肥厚</w:t>
      </w:r>
      <w:r>
        <w:rPr>
          <w:spacing w:val="2"/>
        </w:rPr>
        <w:t>則無助益。結核性膿胸的治療須併用外科引流和抗結核藥物治療，治療時間多長則無</w:t>
      </w:r>
      <w:r>
        <w:rPr>
          <w:spacing w:val="3"/>
        </w:rPr>
        <w:t>定論。</w:t>
      </w:r>
    </w:p>
    <w:p>
      <w:pPr>
        <w:pStyle w:val="BodyText"/>
        <w:spacing w:before="6"/>
        <w:rPr>
          <w:sz w:val="20"/>
        </w:rPr>
      </w:pPr>
    </w:p>
    <w:p>
      <w:pPr>
        <w:pStyle w:val="ListParagraph"/>
        <w:numPr>
          <w:ilvl w:val="1"/>
          <w:numId w:val="104"/>
        </w:numPr>
        <w:tabs>
          <w:tab w:pos="753" w:val="left" w:leader="none"/>
        </w:tabs>
        <w:spacing w:line="458" w:lineRule="exact" w:before="0" w:after="0"/>
        <w:ind w:left="752" w:right="0" w:hanging="613"/>
        <w:jc w:val="left"/>
        <w:rPr>
          <w:b/>
          <w:color w:val="FF0000"/>
          <w:sz w:val="25"/>
        </w:rPr>
      </w:pPr>
      <w:r>
        <w:rPr>
          <w:b/>
          <w:color w:val="FF0000"/>
          <w:spacing w:val="3"/>
          <w:sz w:val="25"/>
        </w:rPr>
        <w:t>核酸檢測</w:t>
      </w:r>
      <w:r>
        <w:rPr>
          <w:b/>
          <w:color w:val="FF0000"/>
          <w:spacing w:val="2"/>
          <w:sz w:val="25"/>
        </w:rPr>
        <w:t>（NAA）</w:t>
      </w:r>
      <w:r>
        <w:rPr>
          <w:b/>
          <w:color w:val="FF0000"/>
          <w:spacing w:val="3"/>
          <w:sz w:val="25"/>
        </w:rPr>
        <w:t>在肺外結核的應用</w:t>
      </w:r>
    </w:p>
    <w:p>
      <w:pPr>
        <w:pStyle w:val="BodyText"/>
        <w:spacing w:line="440" w:lineRule="exact"/>
        <w:ind w:left="1266"/>
        <w:jc w:val="both"/>
      </w:pPr>
      <w:r>
        <w:rPr>
          <w:color w:val="FF0000"/>
        </w:rPr>
        <w:t>使用肋膜積液做核酸檢測（如 Xpert）在 Cochrane 的資料庫分析顯示，敏感性</w:t>
      </w:r>
    </w:p>
    <w:p>
      <w:pPr>
        <w:spacing w:after="0" w:line="440" w:lineRule="exact"/>
        <w:jc w:val="both"/>
        <w:sectPr>
          <w:pgSz w:w="12250" w:h="17190"/>
          <w:pgMar w:header="0" w:footer="828" w:top="1460" w:bottom="1020" w:left="1220" w:right="0"/>
        </w:sectPr>
      </w:pPr>
    </w:p>
    <w:p>
      <w:pPr>
        <w:pStyle w:val="BodyText"/>
        <w:spacing w:line="225" w:lineRule="auto" w:before="45"/>
        <w:ind w:left="779" w:right="1302"/>
        <w:jc w:val="both"/>
      </w:pPr>
      <w:r>
        <w:rPr/>
        <w:pict>
          <v:group style="position:absolute;margin-left:568.5pt;margin-top:.602952pt;width:43.9pt;height:103.15pt;mso-position-horizontal-relative:page;mso-position-vertical-relative:paragraph;z-index:251815936" coordorigin="11370,12" coordsize="878,2063">
            <v:shape style="position:absolute;left:11370;top:12;width:878;height:2063" coordorigin="11370,12" coordsize="878,2063" path="m12197,12l11535,12,11471,25,11418,60,11383,113,11370,177,11370,1910,11383,1974,11418,2027,11471,2062,11535,2075,12197,2075,12247,2065,12247,22,12197,12xe" filled="true" fillcolor="#a6a6a6" stroked="false">
              <v:path arrowok="t"/>
              <v:fill type="solid"/>
            </v:shape>
            <v:shape style="position:absolute;left:11370;top:12;width:878;height:2063" type="#_x0000_t202" filled="false" stroked="false">
              <v:textbox inset="0,0,0,0">
                <w:txbxContent>
                  <w:p>
                    <w:pPr>
                      <w:spacing w:line="146" w:lineRule="auto" w:before="127"/>
                      <w:ind w:left="136" w:right="518" w:firstLine="0"/>
                      <w:jc w:val="both"/>
                      <w:rPr>
                        <w:sz w:val="22"/>
                      </w:rPr>
                    </w:pPr>
                    <w:r>
                      <w:rPr>
                        <w:sz w:val="22"/>
                      </w:rPr>
                      <w:t>第七章</w:t>
                    </w:r>
                  </w:p>
                  <w:p>
                    <w:pPr>
                      <w:spacing w:line="141" w:lineRule="auto" w:before="175"/>
                      <w:ind w:left="136" w:right="518" w:firstLine="0"/>
                      <w:jc w:val="both"/>
                      <w:rPr>
                        <w:sz w:val="22"/>
                      </w:rPr>
                    </w:pPr>
                    <w:r>
                      <w:rPr>
                        <w:sz w:val="22"/>
                      </w:rPr>
                      <w:t>肺外結核</w:t>
                    </w:r>
                  </w:p>
                </w:txbxContent>
              </v:textbox>
              <w10:wrap type="none"/>
            </v:shape>
            <w10:wrap type="none"/>
          </v:group>
        </w:pict>
      </w:r>
      <w:r>
        <w:rPr>
          <w:color w:val="FF0000"/>
          <w:spacing w:val="20"/>
        </w:rPr>
        <w:t>只有</w:t>
      </w:r>
      <w:r>
        <w:rPr>
          <w:color w:val="FF0000"/>
          <w:spacing w:val="-19"/>
        </w:rPr>
        <w:t>50.9</w:t>
      </w:r>
      <w:r>
        <w:rPr>
          <w:color w:val="FF0000"/>
        </w:rPr>
        <w:t>%，但是特異性高達</w:t>
      </w:r>
      <w:r>
        <w:rPr>
          <w:color w:val="FF0000"/>
          <w:spacing w:val="-19"/>
        </w:rPr>
        <w:t>99.2</w:t>
      </w:r>
      <w:r>
        <w:rPr>
          <w:color w:val="FF0000"/>
          <w:spacing w:val="-2"/>
        </w:rPr>
        <w:t>%；使用腦脊髓液做核酸檢測的敏感性只有</w:t>
      </w:r>
      <w:r>
        <w:rPr>
          <w:color w:val="FF0000"/>
          <w:spacing w:val="-9"/>
        </w:rPr>
        <w:t>71.1%， </w:t>
      </w:r>
      <w:r>
        <w:rPr>
          <w:color w:val="FF0000"/>
          <w:spacing w:val="3"/>
        </w:rPr>
        <w:t>但是特異性亦高達 </w:t>
      </w:r>
      <w:r>
        <w:rPr>
          <w:color w:val="FF0000"/>
        </w:rPr>
        <w:t>98</w:t>
      </w:r>
      <w:r>
        <w:rPr>
          <w:color w:val="FF0000"/>
          <w:spacing w:val="2"/>
        </w:rPr>
        <w:t>%；在 </w:t>
      </w:r>
      <w:r>
        <w:rPr>
          <w:color w:val="FF0000"/>
        </w:rPr>
        <w:t>2020</w:t>
      </w:r>
      <w:r>
        <w:rPr>
          <w:color w:val="FF0000"/>
          <w:spacing w:val="2"/>
        </w:rPr>
        <w:t> 年的一篇論文中，使用 </w:t>
      </w:r>
      <w:r>
        <w:rPr>
          <w:color w:val="FF0000"/>
        </w:rPr>
        <w:t>Xpert</w:t>
      </w:r>
      <w:r>
        <w:rPr>
          <w:color w:val="FF0000"/>
          <w:spacing w:val="6"/>
        </w:rPr>
        <w:t> 和 </w:t>
      </w:r>
      <w:r>
        <w:rPr>
          <w:color w:val="FF0000"/>
        </w:rPr>
        <w:t>Xpert Ultra</w:t>
      </w:r>
      <w:r>
        <w:rPr>
          <w:color w:val="FF0000"/>
          <w:spacing w:val="3"/>
        </w:rPr>
        <w:t> 的</w:t>
      </w:r>
      <w:r>
        <w:rPr>
          <w:color w:val="FF0000"/>
          <w:spacing w:val="2"/>
        </w:rPr>
        <w:t>敏感性只有 </w:t>
      </w:r>
      <w:r>
        <w:rPr>
          <w:color w:val="FF0000"/>
          <w:spacing w:val="-6"/>
        </w:rPr>
        <w:t>47.2</w:t>
      </w:r>
      <w:r>
        <w:rPr>
          <w:color w:val="FF0000"/>
          <w:spacing w:val="-1"/>
        </w:rPr>
        <w:t>%，但是特異性高達 </w:t>
      </w:r>
      <w:r>
        <w:rPr>
          <w:color w:val="FF0000"/>
          <w:spacing w:val="-4"/>
        </w:rPr>
        <w:t>100</w:t>
      </w:r>
      <w:r>
        <w:rPr>
          <w:color w:val="FF0000"/>
          <w:spacing w:val="-5"/>
        </w:rPr>
        <w:t>%。因此不反對使用核酸檢測，核酸檢測的</w:t>
      </w:r>
      <w:r>
        <w:rPr>
          <w:color w:val="FF0000"/>
          <w:spacing w:val="-6"/>
        </w:rPr>
        <w:t>高特異性可以提早確定診斷、迅速治療。但是核酸檢測呈陰性時，無法排除結核病的</w:t>
      </w:r>
      <w:r>
        <w:rPr>
          <w:color w:val="FF0000"/>
          <w:spacing w:val="3"/>
        </w:rPr>
        <w:t>診斷。</w:t>
      </w:r>
    </w:p>
    <w:p>
      <w:pPr>
        <w:spacing w:after="0" w:line="225" w:lineRule="auto"/>
        <w:jc w:val="both"/>
        <w:sectPr>
          <w:pgSz w:w="12250" w:h="17190"/>
          <w:pgMar w:header="0" w:footer="828" w:top="1460" w:bottom="1020" w:left="1220" w:right="0"/>
        </w:sectPr>
      </w:pPr>
    </w:p>
    <w:p>
      <w:pPr>
        <w:pStyle w:val="Heading6"/>
        <w:spacing w:before="9"/>
        <w:ind w:left="140"/>
      </w:pPr>
      <w:bookmarkStart w:name="參考文獻" w:id="82"/>
      <w:bookmarkEnd w:id="82"/>
      <w:r>
        <w:rPr>
          <w:b w:val="0"/>
        </w:rPr>
      </w:r>
      <w:r>
        <w:rPr/>
        <w:t>參考文獻</w:t>
      </w:r>
    </w:p>
    <w:p>
      <w:pPr>
        <w:pStyle w:val="ListParagraph"/>
        <w:numPr>
          <w:ilvl w:val="2"/>
          <w:numId w:val="104"/>
        </w:numPr>
        <w:tabs>
          <w:tab w:pos="840" w:val="left" w:leader="none"/>
        </w:tabs>
        <w:spacing w:line="425" w:lineRule="exact" w:before="0" w:after="0"/>
        <w:ind w:left="839" w:right="0" w:hanging="336"/>
        <w:jc w:val="both"/>
        <w:rPr>
          <w:sz w:val="23"/>
        </w:rPr>
      </w:pPr>
      <w:r>
        <w:rPr>
          <w:color w:val="FF0000"/>
          <w:sz w:val="23"/>
        </w:rPr>
        <w:t>Yu</w:t>
      </w:r>
      <w:r>
        <w:rPr>
          <w:color w:val="FF0000"/>
          <w:spacing w:val="-1"/>
          <w:sz w:val="23"/>
        </w:rPr>
        <w:t> </w:t>
      </w:r>
      <w:r>
        <w:rPr>
          <w:color w:val="FF0000"/>
          <w:sz w:val="23"/>
        </w:rPr>
        <w:t>MC</w:t>
      </w:r>
      <w:r>
        <w:rPr>
          <w:color w:val="FF0000"/>
          <w:spacing w:val="-1"/>
          <w:sz w:val="23"/>
        </w:rPr>
        <w:t>, </w:t>
      </w:r>
      <w:r>
        <w:rPr>
          <w:color w:val="FF0000"/>
          <w:sz w:val="23"/>
        </w:rPr>
        <w:t>Suo</w:t>
      </w:r>
      <w:r>
        <w:rPr>
          <w:color w:val="FF0000"/>
          <w:spacing w:val="-2"/>
          <w:sz w:val="23"/>
        </w:rPr>
        <w:t> </w:t>
      </w:r>
      <w:r>
        <w:rPr>
          <w:color w:val="FF0000"/>
          <w:sz w:val="23"/>
        </w:rPr>
        <w:t>J,</w:t>
      </w:r>
      <w:r>
        <w:rPr>
          <w:color w:val="FF0000"/>
          <w:spacing w:val="-2"/>
          <w:sz w:val="23"/>
        </w:rPr>
        <w:t> </w:t>
      </w:r>
      <w:r>
        <w:rPr>
          <w:color w:val="FF0000"/>
          <w:sz w:val="23"/>
        </w:rPr>
        <w:t>Bai</w:t>
      </w:r>
      <w:r>
        <w:rPr>
          <w:color w:val="FF0000"/>
          <w:spacing w:val="-1"/>
          <w:sz w:val="23"/>
        </w:rPr>
        <w:t> </w:t>
      </w:r>
      <w:r>
        <w:rPr>
          <w:color w:val="FF0000"/>
          <w:sz w:val="23"/>
        </w:rPr>
        <w:t>KJ,</w:t>
      </w:r>
      <w:r>
        <w:rPr>
          <w:color w:val="FF0000"/>
          <w:spacing w:val="-3"/>
          <w:sz w:val="23"/>
        </w:rPr>
        <w:t> </w:t>
      </w:r>
      <w:r>
        <w:rPr>
          <w:color w:val="FF0000"/>
          <w:sz w:val="23"/>
        </w:rPr>
        <w:t>et</w:t>
      </w:r>
      <w:r>
        <w:rPr>
          <w:color w:val="FF0000"/>
          <w:spacing w:val="-1"/>
          <w:sz w:val="23"/>
        </w:rPr>
        <w:t> </w:t>
      </w:r>
      <w:r>
        <w:rPr>
          <w:color w:val="FF0000"/>
          <w:sz w:val="23"/>
        </w:rPr>
        <w:t>al.</w:t>
      </w:r>
      <w:r>
        <w:rPr>
          <w:color w:val="FF0000"/>
          <w:spacing w:val="6"/>
          <w:sz w:val="23"/>
        </w:rPr>
        <w:t> 臺灣地區的肺外結核. </w:t>
      </w:r>
      <w:r>
        <w:rPr>
          <w:i/>
          <w:color w:val="FF0000"/>
          <w:spacing w:val="-1"/>
          <w:sz w:val="24"/>
        </w:rPr>
        <w:t>胸腔醫學. </w:t>
      </w:r>
      <w:r>
        <w:rPr>
          <w:color w:val="FF0000"/>
          <w:sz w:val="23"/>
        </w:rPr>
        <w:t>1997</w:t>
      </w:r>
      <w:r>
        <w:rPr>
          <w:color w:val="FF0000"/>
          <w:spacing w:val="-1"/>
          <w:sz w:val="23"/>
        </w:rPr>
        <w:t>: </w:t>
      </w:r>
      <w:r>
        <w:rPr>
          <w:color w:val="FF0000"/>
          <w:sz w:val="23"/>
        </w:rPr>
        <w:t>99–104.</w:t>
      </w:r>
    </w:p>
    <w:p>
      <w:pPr>
        <w:pStyle w:val="ListParagraph"/>
        <w:numPr>
          <w:ilvl w:val="2"/>
          <w:numId w:val="104"/>
        </w:numPr>
        <w:tabs>
          <w:tab w:pos="840" w:val="left" w:leader="none"/>
        </w:tabs>
        <w:spacing w:line="225" w:lineRule="auto" w:before="3" w:after="0"/>
        <w:ind w:left="839" w:right="1393" w:hanging="335"/>
        <w:jc w:val="both"/>
        <w:rPr>
          <w:sz w:val="23"/>
        </w:rPr>
      </w:pPr>
      <w:r>
        <w:rPr>
          <w:i/>
          <w:sz w:val="24"/>
        </w:rPr>
        <w:t>Tuberculosis:</w:t>
      </w:r>
      <w:r>
        <w:rPr>
          <w:i/>
          <w:spacing w:val="-31"/>
          <w:sz w:val="24"/>
        </w:rPr>
        <w:t> </w:t>
      </w:r>
      <w:r>
        <w:rPr>
          <w:i/>
          <w:sz w:val="24"/>
        </w:rPr>
        <w:t>Clinical</w:t>
      </w:r>
      <w:r>
        <w:rPr>
          <w:i/>
          <w:spacing w:val="-32"/>
          <w:sz w:val="24"/>
        </w:rPr>
        <w:t> </w:t>
      </w:r>
      <w:r>
        <w:rPr>
          <w:i/>
          <w:sz w:val="24"/>
        </w:rPr>
        <w:t>Diagnosis</w:t>
      </w:r>
      <w:r>
        <w:rPr>
          <w:i/>
          <w:spacing w:val="-31"/>
          <w:sz w:val="24"/>
        </w:rPr>
        <w:t> </w:t>
      </w:r>
      <w:r>
        <w:rPr>
          <w:i/>
          <w:sz w:val="24"/>
        </w:rPr>
        <w:t>and</w:t>
      </w:r>
      <w:r>
        <w:rPr>
          <w:i/>
          <w:spacing w:val="-31"/>
          <w:sz w:val="24"/>
        </w:rPr>
        <w:t> </w:t>
      </w:r>
      <w:r>
        <w:rPr>
          <w:i/>
          <w:sz w:val="24"/>
        </w:rPr>
        <w:t>Management</w:t>
      </w:r>
      <w:r>
        <w:rPr>
          <w:i/>
          <w:spacing w:val="-31"/>
          <w:sz w:val="24"/>
        </w:rPr>
        <w:t> </w:t>
      </w:r>
      <w:r>
        <w:rPr>
          <w:i/>
          <w:sz w:val="24"/>
        </w:rPr>
        <w:t>of</w:t>
      </w:r>
      <w:r>
        <w:rPr>
          <w:i/>
          <w:spacing w:val="-31"/>
          <w:sz w:val="24"/>
        </w:rPr>
        <w:t> </w:t>
      </w:r>
      <w:r>
        <w:rPr>
          <w:i/>
          <w:sz w:val="24"/>
        </w:rPr>
        <w:t>Tuberculosis,</w:t>
      </w:r>
      <w:r>
        <w:rPr>
          <w:i/>
          <w:spacing w:val="-31"/>
          <w:sz w:val="24"/>
        </w:rPr>
        <w:t> </w:t>
      </w:r>
      <w:r>
        <w:rPr>
          <w:i/>
          <w:sz w:val="24"/>
        </w:rPr>
        <w:t>and</w:t>
      </w:r>
      <w:r>
        <w:rPr>
          <w:i/>
          <w:spacing w:val="-31"/>
          <w:sz w:val="24"/>
        </w:rPr>
        <w:t> </w:t>
      </w:r>
      <w:r>
        <w:rPr>
          <w:i/>
          <w:sz w:val="24"/>
        </w:rPr>
        <w:t>Measures for Its Prevention and Control. </w:t>
      </w:r>
      <w:r>
        <w:rPr>
          <w:sz w:val="23"/>
        </w:rPr>
        <w:t>London: National Institute for Health and Clinical Excellence (UK);</w:t>
      </w:r>
      <w:r>
        <w:rPr>
          <w:spacing w:val="-4"/>
          <w:sz w:val="23"/>
        </w:rPr>
        <w:t> </w:t>
      </w:r>
      <w:r>
        <w:rPr>
          <w:sz w:val="23"/>
        </w:rPr>
        <w:t>2011.</w:t>
      </w:r>
    </w:p>
    <w:p>
      <w:pPr>
        <w:pStyle w:val="ListParagraph"/>
        <w:numPr>
          <w:ilvl w:val="2"/>
          <w:numId w:val="104"/>
        </w:numPr>
        <w:tabs>
          <w:tab w:pos="839" w:val="left" w:leader="none"/>
        </w:tabs>
        <w:spacing w:line="416" w:lineRule="exact" w:before="0" w:after="0"/>
        <w:ind w:left="838" w:right="0" w:hanging="335"/>
        <w:jc w:val="both"/>
        <w:rPr>
          <w:i/>
          <w:sz w:val="24"/>
        </w:rPr>
      </w:pPr>
      <w:r>
        <w:rPr>
          <w:sz w:val="23"/>
        </w:rPr>
        <w:t>WHO.</w:t>
      </w:r>
      <w:r>
        <w:rPr>
          <w:spacing w:val="-8"/>
          <w:sz w:val="23"/>
        </w:rPr>
        <w:t> </w:t>
      </w:r>
      <w:r>
        <w:rPr>
          <w:i/>
          <w:sz w:val="24"/>
        </w:rPr>
        <w:t>Guidelines</w:t>
      </w:r>
      <w:r>
        <w:rPr>
          <w:i/>
          <w:spacing w:val="-10"/>
          <w:sz w:val="24"/>
        </w:rPr>
        <w:t> </w:t>
      </w:r>
      <w:r>
        <w:rPr>
          <w:i/>
          <w:sz w:val="24"/>
        </w:rPr>
        <w:t>for</w:t>
      </w:r>
      <w:r>
        <w:rPr>
          <w:i/>
          <w:spacing w:val="-12"/>
          <w:sz w:val="24"/>
        </w:rPr>
        <w:t> </w:t>
      </w:r>
      <w:r>
        <w:rPr>
          <w:i/>
          <w:sz w:val="24"/>
        </w:rPr>
        <w:t>treatment</w:t>
      </w:r>
      <w:r>
        <w:rPr>
          <w:i/>
          <w:spacing w:val="-10"/>
          <w:sz w:val="24"/>
        </w:rPr>
        <w:t> </w:t>
      </w:r>
      <w:r>
        <w:rPr>
          <w:i/>
          <w:sz w:val="24"/>
        </w:rPr>
        <w:t>of</w:t>
      </w:r>
      <w:r>
        <w:rPr>
          <w:i/>
          <w:spacing w:val="-11"/>
          <w:sz w:val="24"/>
        </w:rPr>
        <w:t> </w:t>
      </w:r>
      <w:r>
        <w:rPr>
          <w:i/>
          <w:sz w:val="24"/>
        </w:rPr>
        <w:t>drug–susceptible</w:t>
      </w:r>
      <w:r>
        <w:rPr>
          <w:i/>
          <w:spacing w:val="-11"/>
          <w:sz w:val="24"/>
        </w:rPr>
        <w:t> </w:t>
      </w:r>
      <w:r>
        <w:rPr>
          <w:i/>
          <w:sz w:val="24"/>
        </w:rPr>
        <w:t>tuberculosis</w:t>
      </w:r>
      <w:r>
        <w:rPr>
          <w:i/>
          <w:spacing w:val="-10"/>
          <w:sz w:val="24"/>
        </w:rPr>
        <w:t> </w:t>
      </w:r>
      <w:r>
        <w:rPr>
          <w:i/>
          <w:sz w:val="24"/>
        </w:rPr>
        <w:t>and</w:t>
      </w:r>
      <w:r>
        <w:rPr>
          <w:i/>
          <w:spacing w:val="-10"/>
          <w:sz w:val="24"/>
        </w:rPr>
        <w:t> </w:t>
      </w:r>
      <w:r>
        <w:rPr>
          <w:i/>
          <w:sz w:val="24"/>
        </w:rPr>
        <w:t>patient</w:t>
      </w:r>
      <w:r>
        <w:rPr>
          <w:i/>
          <w:spacing w:val="-11"/>
          <w:sz w:val="24"/>
        </w:rPr>
        <w:t> </w:t>
      </w:r>
      <w:r>
        <w:rPr>
          <w:i/>
          <w:sz w:val="24"/>
        </w:rPr>
        <w:t>care.</w:t>
      </w:r>
    </w:p>
    <w:p>
      <w:pPr>
        <w:spacing w:line="408" w:lineRule="exact" w:before="0"/>
        <w:ind w:left="839" w:right="0" w:firstLine="0"/>
        <w:jc w:val="both"/>
        <w:rPr>
          <w:sz w:val="23"/>
        </w:rPr>
      </w:pPr>
      <w:r>
        <w:rPr>
          <w:sz w:val="23"/>
        </w:rPr>
        <w:t>(2017 update) (WHO/HTM/TB/2017.05)</w:t>
      </w:r>
    </w:p>
    <w:p>
      <w:pPr>
        <w:pStyle w:val="ListParagraph"/>
        <w:numPr>
          <w:ilvl w:val="2"/>
          <w:numId w:val="104"/>
        </w:numPr>
        <w:tabs>
          <w:tab w:pos="840" w:val="left" w:leader="none"/>
        </w:tabs>
        <w:spacing w:line="228" w:lineRule="auto" w:before="9" w:after="0"/>
        <w:ind w:left="839" w:right="1392" w:hanging="335"/>
        <w:jc w:val="both"/>
        <w:rPr>
          <w:sz w:val="23"/>
        </w:rPr>
      </w:pPr>
      <w:r>
        <w:rPr>
          <w:sz w:val="23"/>
        </w:rPr>
        <w:t>Official American Thoracic Society / Centers for Disease Control and Prevention / Infectious Diseases Society of America Clinical Practice Guidelines: Treatment of Drug–Susceptible Tuberculosis. </w:t>
      </w:r>
      <w:r>
        <w:rPr>
          <w:i/>
          <w:sz w:val="24"/>
        </w:rPr>
        <w:t>Clin Infect Dis. </w:t>
      </w:r>
      <w:r>
        <w:rPr>
          <w:sz w:val="23"/>
        </w:rPr>
        <w:t>2016; 63:</w:t>
      </w:r>
      <w:r>
        <w:rPr>
          <w:spacing w:val="-31"/>
          <w:sz w:val="23"/>
        </w:rPr>
        <w:t> </w:t>
      </w:r>
      <w:r>
        <w:rPr>
          <w:sz w:val="23"/>
        </w:rPr>
        <w:t>e147–e195.</w:t>
      </w:r>
    </w:p>
    <w:p>
      <w:pPr>
        <w:pStyle w:val="ListParagraph"/>
        <w:numPr>
          <w:ilvl w:val="2"/>
          <w:numId w:val="104"/>
        </w:numPr>
        <w:tabs>
          <w:tab w:pos="840" w:val="left" w:leader="none"/>
        </w:tabs>
        <w:spacing w:line="228" w:lineRule="auto" w:before="7" w:after="0"/>
        <w:ind w:left="839" w:right="1392" w:hanging="335"/>
        <w:jc w:val="both"/>
        <w:rPr>
          <w:sz w:val="23"/>
        </w:rPr>
      </w:pPr>
      <w:r>
        <w:rPr>
          <w:sz w:val="23"/>
        </w:rPr>
        <w:t>Official American Thoracic Society / Infectious Diseases Society of America / Centers for Disease Control and Prevention Clinical Practice Guidelines: Diagnosis of</w:t>
      </w:r>
      <w:r>
        <w:rPr>
          <w:spacing w:val="-3"/>
          <w:sz w:val="23"/>
        </w:rPr>
        <w:t> </w:t>
      </w:r>
      <w:r>
        <w:rPr>
          <w:sz w:val="23"/>
        </w:rPr>
        <w:t>Tuberculosis</w:t>
      </w:r>
      <w:r>
        <w:rPr>
          <w:spacing w:val="-3"/>
          <w:sz w:val="23"/>
        </w:rPr>
        <w:t> </w:t>
      </w:r>
      <w:r>
        <w:rPr>
          <w:sz w:val="23"/>
        </w:rPr>
        <w:t>in</w:t>
      </w:r>
      <w:r>
        <w:rPr>
          <w:spacing w:val="-5"/>
          <w:sz w:val="23"/>
        </w:rPr>
        <w:t> </w:t>
      </w:r>
      <w:r>
        <w:rPr>
          <w:sz w:val="23"/>
        </w:rPr>
        <w:t>Adults</w:t>
      </w:r>
      <w:r>
        <w:rPr>
          <w:spacing w:val="-4"/>
          <w:sz w:val="23"/>
        </w:rPr>
        <w:t> </w:t>
      </w:r>
      <w:r>
        <w:rPr>
          <w:sz w:val="23"/>
        </w:rPr>
        <w:t>and</w:t>
      </w:r>
      <w:r>
        <w:rPr>
          <w:spacing w:val="-4"/>
          <w:sz w:val="23"/>
        </w:rPr>
        <w:t> </w:t>
      </w:r>
      <w:r>
        <w:rPr>
          <w:sz w:val="23"/>
        </w:rPr>
        <w:t>Children.</w:t>
      </w:r>
      <w:r>
        <w:rPr>
          <w:spacing w:val="-3"/>
          <w:sz w:val="23"/>
        </w:rPr>
        <w:t> </w:t>
      </w:r>
      <w:r>
        <w:rPr>
          <w:i/>
          <w:sz w:val="24"/>
        </w:rPr>
        <w:t>Clin</w:t>
      </w:r>
      <w:r>
        <w:rPr>
          <w:i/>
          <w:spacing w:val="-5"/>
          <w:sz w:val="24"/>
        </w:rPr>
        <w:t> </w:t>
      </w:r>
      <w:r>
        <w:rPr>
          <w:i/>
          <w:sz w:val="24"/>
        </w:rPr>
        <w:t>Infect</w:t>
      </w:r>
      <w:r>
        <w:rPr>
          <w:i/>
          <w:spacing w:val="-6"/>
          <w:sz w:val="24"/>
        </w:rPr>
        <w:t> </w:t>
      </w:r>
      <w:r>
        <w:rPr>
          <w:i/>
          <w:sz w:val="24"/>
        </w:rPr>
        <w:t>Dis.</w:t>
      </w:r>
      <w:r>
        <w:rPr>
          <w:i/>
          <w:spacing w:val="-6"/>
          <w:sz w:val="24"/>
        </w:rPr>
        <w:t> </w:t>
      </w:r>
      <w:r>
        <w:rPr>
          <w:sz w:val="23"/>
        </w:rPr>
        <w:t>2017;</w:t>
      </w:r>
      <w:r>
        <w:rPr>
          <w:spacing w:val="-4"/>
          <w:sz w:val="23"/>
        </w:rPr>
        <w:t> </w:t>
      </w:r>
      <w:r>
        <w:rPr>
          <w:sz w:val="23"/>
        </w:rPr>
        <w:t>64:</w:t>
      </w:r>
      <w:r>
        <w:rPr>
          <w:spacing w:val="-4"/>
          <w:sz w:val="23"/>
        </w:rPr>
        <w:t> </w:t>
      </w:r>
      <w:r>
        <w:rPr>
          <w:sz w:val="23"/>
        </w:rPr>
        <w:t>111–115.</w:t>
      </w:r>
    </w:p>
    <w:p>
      <w:pPr>
        <w:pStyle w:val="ListParagraph"/>
        <w:numPr>
          <w:ilvl w:val="2"/>
          <w:numId w:val="104"/>
        </w:numPr>
        <w:tabs>
          <w:tab w:pos="839" w:val="left" w:leader="none"/>
        </w:tabs>
        <w:spacing w:line="228" w:lineRule="auto" w:before="8" w:after="0"/>
        <w:ind w:left="839" w:right="1393" w:hanging="335"/>
        <w:jc w:val="both"/>
        <w:rPr>
          <w:sz w:val="23"/>
        </w:rPr>
      </w:pPr>
      <w:r>
        <w:rPr>
          <w:sz w:val="23"/>
        </w:rPr>
        <w:t>Campbell IA, Ormerod </w:t>
      </w:r>
      <w:r>
        <w:rPr>
          <w:spacing w:val="-10"/>
          <w:sz w:val="23"/>
        </w:rPr>
        <w:t>LP, </w:t>
      </w:r>
      <w:r>
        <w:rPr>
          <w:sz w:val="23"/>
        </w:rPr>
        <w:t>Friend JAR, et al. Six months versus nine months chemotherapy</w:t>
      </w:r>
      <w:r>
        <w:rPr>
          <w:spacing w:val="-7"/>
          <w:sz w:val="23"/>
        </w:rPr>
        <w:t> </w:t>
      </w:r>
      <w:r>
        <w:rPr>
          <w:sz w:val="23"/>
        </w:rPr>
        <w:t>for</w:t>
      </w:r>
      <w:r>
        <w:rPr>
          <w:spacing w:val="-8"/>
          <w:sz w:val="23"/>
        </w:rPr>
        <w:t> </w:t>
      </w:r>
      <w:r>
        <w:rPr>
          <w:sz w:val="23"/>
        </w:rPr>
        <w:t>tuberculosis</w:t>
      </w:r>
      <w:r>
        <w:rPr>
          <w:spacing w:val="-6"/>
          <w:sz w:val="23"/>
        </w:rPr>
        <w:t> </w:t>
      </w:r>
      <w:r>
        <w:rPr>
          <w:sz w:val="23"/>
        </w:rPr>
        <w:t>of</w:t>
      </w:r>
      <w:r>
        <w:rPr>
          <w:spacing w:val="-13"/>
          <w:sz w:val="23"/>
        </w:rPr>
        <w:t> </w:t>
      </w:r>
      <w:r>
        <w:rPr>
          <w:sz w:val="23"/>
        </w:rPr>
        <w:t>lymph</w:t>
      </w:r>
      <w:r>
        <w:rPr>
          <w:spacing w:val="-7"/>
          <w:sz w:val="23"/>
        </w:rPr>
        <w:t> </w:t>
      </w:r>
      <w:r>
        <w:rPr>
          <w:sz w:val="23"/>
        </w:rPr>
        <w:t>nodes:</w:t>
      </w:r>
      <w:r>
        <w:rPr>
          <w:spacing w:val="-7"/>
          <w:sz w:val="23"/>
        </w:rPr>
        <w:t> </w:t>
      </w:r>
      <w:r>
        <w:rPr>
          <w:sz w:val="23"/>
        </w:rPr>
        <w:t>final</w:t>
      </w:r>
      <w:r>
        <w:rPr>
          <w:spacing w:val="-6"/>
          <w:sz w:val="23"/>
        </w:rPr>
        <w:t> </w:t>
      </w:r>
      <w:r>
        <w:rPr>
          <w:sz w:val="23"/>
        </w:rPr>
        <w:t>results.</w:t>
      </w:r>
      <w:r>
        <w:rPr>
          <w:spacing w:val="-7"/>
          <w:sz w:val="23"/>
        </w:rPr>
        <w:t> </w:t>
      </w:r>
      <w:r>
        <w:rPr>
          <w:i/>
          <w:sz w:val="24"/>
        </w:rPr>
        <w:t>Respir</w:t>
      </w:r>
      <w:r>
        <w:rPr>
          <w:i/>
          <w:spacing w:val="-9"/>
          <w:sz w:val="24"/>
        </w:rPr>
        <w:t> </w:t>
      </w:r>
      <w:r>
        <w:rPr>
          <w:i/>
          <w:sz w:val="24"/>
        </w:rPr>
        <w:t>Med.</w:t>
      </w:r>
      <w:r>
        <w:rPr>
          <w:i/>
          <w:spacing w:val="-10"/>
          <w:sz w:val="24"/>
        </w:rPr>
        <w:t> </w:t>
      </w:r>
      <w:r>
        <w:rPr>
          <w:sz w:val="23"/>
        </w:rPr>
        <w:t>1993;</w:t>
      </w:r>
      <w:r>
        <w:rPr>
          <w:spacing w:val="-7"/>
          <w:sz w:val="23"/>
        </w:rPr>
        <w:t> </w:t>
      </w:r>
      <w:r>
        <w:rPr>
          <w:sz w:val="23"/>
        </w:rPr>
        <w:t>87: 621–3.</w:t>
      </w:r>
    </w:p>
    <w:p>
      <w:pPr>
        <w:pStyle w:val="ListParagraph"/>
        <w:numPr>
          <w:ilvl w:val="2"/>
          <w:numId w:val="104"/>
        </w:numPr>
        <w:tabs>
          <w:tab w:pos="839" w:val="left" w:leader="none"/>
        </w:tabs>
        <w:spacing w:line="230" w:lineRule="auto" w:before="4" w:after="0"/>
        <w:ind w:left="838" w:right="1392" w:hanging="335"/>
        <w:jc w:val="both"/>
        <w:rPr>
          <w:sz w:val="23"/>
        </w:rPr>
      </w:pPr>
      <w:r>
        <w:rPr>
          <w:sz w:val="23"/>
        </w:rPr>
        <w:t>MRC Working Party on </w:t>
      </w:r>
      <w:r>
        <w:rPr>
          <w:spacing w:val="-4"/>
          <w:sz w:val="23"/>
        </w:rPr>
        <w:t>Tuberculosis</w:t>
      </w:r>
      <w:r>
        <w:rPr>
          <w:spacing w:val="49"/>
          <w:sz w:val="23"/>
        </w:rPr>
        <w:t> </w:t>
      </w:r>
      <w:r>
        <w:rPr>
          <w:sz w:val="23"/>
        </w:rPr>
        <w:t>of the Spine. Five–year assessment </w:t>
      </w:r>
      <w:r>
        <w:rPr>
          <w:spacing w:val="-3"/>
          <w:sz w:val="23"/>
        </w:rPr>
        <w:t>of </w:t>
      </w:r>
      <w:r>
        <w:rPr>
          <w:sz w:val="23"/>
        </w:rPr>
        <w:t>controlled trials of short–course chemotherapy regimens of 6, 9 or 18 months’ duration for spinal tuberculosis in patients ambulatory from the start or undergoing radical surgery. </w:t>
      </w:r>
      <w:r>
        <w:rPr>
          <w:i/>
          <w:sz w:val="24"/>
        </w:rPr>
        <w:t>Int Orthopaedics. </w:t>
      </w:r>
      <w:r>
        <w:rPr>
          <w:sz w:val="23"/>
        </w:rPr>
        <w:t>1999; 23:</w:t>
      </w:r>
      <w:r>
        <w:rPr>
          <w:spacing w:val="-25"/>
          <w:sz w:val="23"/>
        </w:rPr>
        <w:t> </w:t>
      </w:r>
      <w:r>
        <w:rPr>
          <w:sz w:val="23"/>
        </w:rPr>
        <w:t>73–81.</w:t>
      </w:r>
    </w:p>
    <w:p>
      <w:pPr>
        <w:pStyle w:val="ListParagraph"/>
        <w:numPr>
          <w:ilvl w:val="2"/>
          <w:numId w:val="104"/>
        </w:numPr>
        <w:tabs>
          <w:tab w:pos="840" w:val="left" w:leader="none"/>
        </w:tabs>
        <w:spacing w:line="228" w:lineRule="auto" w:before="0" w:after="0"/>
        <w:ind w:left="839" w:right="1392" w:hanging="335"/>
        <w:jc w:val="both"/>
        <w:rPr>
          <w:sz w:val="23"/>
        </w:rPr>
      </w:pPr>
      <w:r>
        <w:rPr>
          <w:sz w:val="23"/>
        </w:rPr>
        <w:t>Strang JIG, Kakaka HHS, Gibson DG, et al. Controlled trial of prednisolone as an adjuvant in treatment of tubercolous constrictive pericarditis in </w:t>
      </w:r>
      <w:r>
        <w:rPr>
          <w:spacing w:val="-5"/>
          <w:sz w:val="23"/>
        </w:rPr>
        <w:t>Transkei. </w:t>
      </w:r>
      <w:r>
        <w:rPr>
          <w:i/>
          <w:sz w:val="24"/>
        </w:rPr>
        <w:t>Lancet. </w:t>
      </w:r>
      <w:r>
        <w:rPr>
          <w:sz w:val="23"/>
        </w:rPr>
        <w:t>1987; II:</w:t>
      </w:r>
      <w:r>
        <w:rPr>
          <w:spacing w:val="-2"/>
          <w:sz w:val="23"/>
        </w:rPr>
        <w:t> </w:t>
      </w:r>
      <w:r>
        <w:rPr>
          <w:sz w:val="23"/>
        </w:rPr>
        <w:t>1418–22.</w:t>
      </w:r>
    </w:p>
    <w:p>
      <w:pPr>
        <w:pStyle w:val="ListParagraph"/>
        <w:numPr>
          <w:ilvl w:val="2"/>
          <w:numId w:val="104"/>
        </w:numPr>
        <w:tabs>
          <w:tab w:pos="840" w:val="left" w:leader="none"/>
        </w:tabs>
        <w:spacing w:line="225" w:lineRule="auto" w:before="10" w:after="0"/>
        <w:ind w:left="839" w:right="1393" w:hanging="335"/>
        <w:jc w:val="both"/>
        <w:rPr>
          <w:sz w:val="23"/>
        </w:rPr>
      </w:pPr>
      <w:r>
        <w:rPr>
          <w:color w:val="FF0000"/>
          <w:sz w:val="23"/>
        </w:rPr>
        <w:t>Mayosi BM, Ntsekhe M, Bosch J, et al. Prednisolone and Mycobacterium indicus pranii in tuberculous pericarditis. </w:t>
      </w:r>
      <w:r>
        <w:rPr>
          <w:i/>
          <w:color w:val="FF0000"/>
          <w:sz w:val="24"/>
        </w:rPr>
        <w:t>N Engl J Med. </w:t>
      </w:r>
      <w:r>
        <w:rPr>
          <w:color w:val="FF0000"/>
          <w:sz w:val="23"/>
        </w:rPr>
        <w:t>2014; 371:</w:t>
      </w:r>
      <w:r>
        <w:rPr>
          <w:color w:val="FF0000"/>
          <w:spacing w:val="-39"/>
          <w:sz w:val="23"/>
        </w:rPr>
        <w:t> </w:t>
      </w:r>
      <w:r>
        <w:rPr>
          <w:color w:val="FF0000"/>
          <w:sz w:val="23"/>
        </w:rPr>
        <w:t>1121–1130.</w:t>
      </w:r>
    </w:p>
    <w:p>
      <w:pPr>
        <w:pStyle w:val="ListParagraph"/>
        <w:numPr>
          <w:ilvl w:val="2"/>
          <w:numId w:val="104"/>
        </w:numPr>
        <w:tabs>
          <w:tab w:pos="840" w:val="left" w:leader="none"/>
        </w:tabs>
        <w:spacing w:line="225" w:lineRule="auto" w:before="9" w:after="0"/>
        <w:ind w:left="839" w:right="1394" w:hanging="468"/>
        <w:jc w:val="both"/>
        <w:rPr>
          <w:sz w:val="23"/>
        </w:rPr>
      </w:pPr>
      <w:r>
        <w:rPr>
          <w:color w:val="FF0000"/>
          <w:sz w:val="23"/>
        </w:rPr>
        <w:t>Wiysonge CS, Ntsekhe M, Thabane L, et al. Interventions for treating tuberculous pericarditis. </w:t>
      </w:r>
      <w:r>
        <w:rPr>
          <w:i/>
          <w:color w:val="FF0000"/>
          <w:sz w:val="24"/>
        </w:rPr>
        <w:t>Cochrane Database Syst Rev. </w:t>
      </w:r>
      <w:r>
        <w:rPr>
          <w:color w:val="FF0000"/>
          <w:sz w:val="23"/>
        </w:rPr>
        <w:t>2017; 9:</w:t>
      </w:r>
      <w:r>
        <w:rPr>
          <w:color w:val="FF0000"/>
          <w:spacing w:val="-39"/>
          <w:sz w:val="23"/>
        </w:rPr>
        <w:t> </w:t>
      </w:r>
      <w:r>
        <w:rPr>
          <w:color w:val="FF0000"/>
          <w:sz w:val="23"/>
        </w:rPr>
        <w:t>CD000526.</w:t>
      </w:r>
    </w:p>
    <w:p>
      <w:pPr>
        <w:pStyle w:val="ListParagraph"/>
        <w:numPr>
          <w:ilvl w:val="2"/>
          <w:numId w:val="104"/>
        </w:numPr>
        <w:tabs>
          <w:tab w:pos="840" w:val="left" w:leader="none"/>
        </w:tabs>
        <w:spacing w:line="230" w:lineRule="auto" w:before="0" w:after="0"/>
        <w:ind w:left="839" w:right="1392" w:hanging="468"/>
        <w:jc w:val="both"/>
        <w:rPr>
          <w:sz w:val="23"/>
        </w:rPr>
      </w:pPr>
      <w:r>
        <w:rPr>
          <w:sz w:val="23"/>
        </w:rPr>
        <w:t>Humphries</w:t>
      </w:r>
      <w:r>
        <w:rPr>
          <w:spacing w:val="-7"/>
          <w:sz w:val="23"/>
        </w:rPr>
        <w:t> </w:t>
      </w:r>
      <w:r>
        <w:rPr>
          <w:sz w:val="23"/>
        </w:rPr>
        <w:t>M.</w:t>
      </w:r>
      <w:r>
        <w:rPr>
          <w:spacing w:val="-7"/>
          <w:sz w:val="23"/>
        </w:rPr>
        <w:t> </w:t>
      </w:r>
      <w:r>
        <w:rPr>
          <w:sz w:val="23"/>
        </w:rPr>
        <w:t>The</w:t>
      </w:r>
      <w:r>
        <w:rPr>
          <w:spacing w:val="-7"/>
          <w:sz w:val="23"/>
        </w:rPr>
        <w:t> </w:t>
      </w:r>
      <w:r>
        <w:rPr>
          <w:sz w:val="23"/>
        </w:rPr>
        <w:t>management</w:t>
      </w:r>
      <w:r>
        <w:rPr>
          <w:spacing w:val="-8"/>
          <w:sz w:val="23"/>
        </w:rPr>
        <w:t> </w:t>
      </w:r>
      <w:r>
        <w:rPr>
          <w:sz w:val="23"/>
        </w:rPr>
        <w:t>of</w:t>
      </w:r>
      <w:r>
        <w:rPr>
          <w:spacing w:val="-12"/>
          <w:sz w:val="23"/>
        </w:rPr>
        <w:t> </w:t>
      </w:r>
      <w:r>
        <w:rPr>
          <w:sz w:val="23"/>
        </w:rPr>
        <w:t>tuberculous</w:t>
      </w:r>
      <w:r>
        <w:rPr>
          <w:spacing w:val="-7"/>
          <w:sz w:val="23"/>
        </w:rPr>
        <w:t> </w:t>
      </w:r>
      <w:r>
        <w:rPr>
          <w:sz w:val="23"/>
        </w:rPr>
        <w:t>meningitis.</w:t>
      </w:r>
      <w:r>
        <w:rPr>
          <w:spacing w:val="-7"/>
          <w:sz w:val="23"/>
        </w:rPr>
        <w:t> </w:t>
      </w:r>
      <w:r>
        <w:rPr>
          <w:i/>
          <w:sz w:val="24"/>
        </w:rPr>
        <w:t>Thorax.</w:t>
      </w:r>
      <w:r>
        <w:rPr>
          <w:i/>
          <w:spacing w:val="-9"/>
          <w:sz w:val="24"/>
        </w:rPr>
        <w:t> </w:t>
      </w:r>
      <w:r>
        <w:rPr>
          <w:sz w:val="23"/>
        </w:rPr>
        <w:t>1992;</w:t>
      </w:r>
      <w:r>
        <w:rPr>
          <w:spacing w:val="-7"/>
          <w:sz w:val="23"/>
        </w:rPr>
        <w:t> </w:t>
      </w:r>
      <w:r>
        <w:rPr>
          <w:sz w:val="23"/>
        </w:rPr>
        <w:t>47:</w:t>
      </w:r>
      <w:r>
        <w:rPr>
          <w:spacing w:val="-6"/>
          <w:sz w:val="23"/>
        </w:rPr>
        <w:t> </w:t>
      </w:r>
      <w:r>
        <w:rPr>
          <w:sz w:val="23"/>
        </w:rPr>
        <w:t>577– 81.</w:t>
      </w:r>
    </w:p>
    <w:p>
      <w:pPr>
        <w:pStyle w:val="ListParagraph"/>
        <w:numPr>
          <w:ilvl w:val="2"/>
          <w:numId w:val="104"/>
        </w:numPr>
        <w:tabs>
          <w:tab w:pos="840" w:val="left" w:leader="none"/>
        </w:tabs>
        <w:spacing w:line="228" w:lineRule="auto" w:before="0" w:after="0"/>
        <w:ind w:left="839" w:right="1393" w:hanging="468"/>
        <w:jc w:val="both"/>
        <w:rPr>
          <w:sz w:val="23"/>
        </w:rPr>
      </w:pPr>
      <w:r>
        <w:rPr>
          <w:sz w:val="23"/>
        </w:rPr>
        <w:t>Lee CH, </w:t>
      </w:r>
      <w:r>
        <w:rPr>
          <w:spacing w:val="-3"/>
          <w:sz w:val="23"/>
        </w:rPr>
        <w:t>Wang </w:t>
      </w:r>
      <w:r>
        <w:rPr>
          <w:spacing w:val="-4"/>
          <w:sz w:val="23"/>
        </w:rPr>
        <w:t>WJ, </w:t>
      </w:r>
      <w:r>
        <w:rPr>
          <w:sz w:val="23"/>
        </w:rPr>
        <w:t>Lan RS, et al. Corticosteroids in the treatment of tuberculous pleurisy: a double–blind, placebo controlled, randomized </w:t>
      </w:r>
      <w:r>
        <w:rPr>
          <w:spacing w:val="-4"/>
          <w:sz w:val="23"/>
        </w:rPr>
        <w:t>study. </w:t>
      </w:r>
      <w:r>
        <w:rPr>
          <w:i/>
          <w:sz w:val="24"/>
        </w:rPr>
        <w:t>Chest. </w:t>
      </w:r>
      <w:r>
        <w:rPr>
          <w:sz w:val="23"/>
        </w:rPr>
        <w:t>1988; 94: 1256–1259.</w:t>
      </w:r>
    </w:p>
    <w:p>
      <w:pPr>
        <w:pStyle w:val="ListParagraph"/>
        <w:numPr>
          <w:ilvl w:val="2"/>
          <w:numId w:val="104"/>
        </w:numPr>
        <w:tabs>
          <w:tab w:pos="840" w:val="left" w:leader="none"/>
        </w:tabs>
        <w:spacing w:line="225" w:lineRule="auto" w:before="4" w:after="0"/>
        <w:ind w:left="839" w:right="1392" w:hanging="468"/>
        <w:jc w:val="both"/>
        <w:rPr>
          <w:sz w:val="23"/>
        </w:rPr>
      </w:pPr>
      <w:r>
        <w:rPr>
          <w:sz w:val="23"/>
        </w:rPr>
        <w:t>Nene A, Bhojraj S. Results of nonsurgical treatment of thoracic spinal tuberculosis in adults. </w:t>
      </w:r>
      <w:r>
        <w:rPr>
          <w:i/>
          <w:sz w:val="24"/>
        </w:rPr>
        <w:t>Spine J. </w:t>
      </w:r>
      <w:r>
        <w:rPr>
          <w:sz w:val="23"/>
        </w:rPr>
        <w:t>2005; 5:</w:t>
      </w:r>
      <w:r>
        <w:rPr>
          <w:spacing w:val="-11"/>
          <w:sz w:val="23"/>
        </w:rPr>
        <w:t> </w:t>
      </w:r>
      <w:r>
        <w:rPr>
          <w:sz w:val="23"/>
        </w:rPr>
        <w:t>79–84.</w:t>
      </w:r>
    </w:p>
    <w:p>
      <w:pPr>
        <w:pStyle w:val="ListParagraph"/>
        <w:numPr>
          <w:ilvl w:val="2"/>
          <w:numId w:val="104"/>
        </w:numPr>
        <w:tabs>
          <w:tab w:pos="847" w:val="left" w:leader="none"/>
        </w:tabs>
        <w:spacing w:line="418" w:lineRule="exact" w:before="0" w:after="0"/>
        <w:ind w:left="846" w:right="0" w:hanging="476"/>
        <w:jc w:val="both"/>
        <w:rPr>
          <w:sz w:val="23"/>
        </w:rPr>
      </w:pPr>
      <w:r>
        <w:rPr>
          <w:color w:val="FF0000"/>
          <w:spacing w:val="2"/>
          <w:sz w:val="23"/>
        </w:rPr>
        <w:t>Kohli </w:t>
      </w:r>
      <w:r>
        <w:rPr>
          <w:color w:val="FF0000"/>
          <w:sz w:val="23"/>
        </w:rPr>
        <w:t>M, </w:t>
      </w:r>
      <w:r>
        <w:rPr>
          <w:color w:val="FF0000"/>
          <w:spacing w:val="2"/>
          <w:sz w:val="23"/>
        </w:rPr>
        <w:t>Schiller </w:t>
      </w:r>
      <w:r>
        <w:rPr>
          <w:color w:val="FF0000"/>
          <w:sz w:val="23"/>
        </w:rPr>
        <w:t>I, </w:t>
      </w:r>
      <w:r>
        <w:rPr>
          <w:color w:val="FF0000"/>
          <w:spacing w:val="2"/>
          <w:sz w:val="23"/>
        </w:rPr>
        <w:t>Dendukuri </w:t>
      </w:r>
      <w:r>
        <w:rPr>
          <w:color w:val="FF0000"/>
          <w:sz w:val="23"/>
        </w:rPr>
        <w:t>N, et al. </w:t>
      </w:r>
      <w:r>
        <w:rPr>
          <w:color w:val="FF0000"/>
          <w:spacing w:val="2"/>
          <w:sz w:val="23"/>
        </w:rPr>
        <w:t>Xpert </w:t>
      </w:r>
      <w:r>
        <w:rPr>
          <w:color w:val="FF0000"/>
          <w:sz w:val="23"/>
        </w:rPr>
        <w:t>® </w:t>
      </w:r>
      <w:r>
        <w:rPr>
          <w:color w:val="FF0000"/>
          <w:spacing w:val="2"/>
          <w:sz w:val="23"/>
        </w:rPr>
        <w:t>MTB/</w:t>
      </w:r>
      <w:r>
        <w:rPr>
          <w:color w:val="FF0000"/>
          <w:spacing w:val="2"/>
          <w:sz w:val="24"/>
        </w:rPr>
        <w:t>RMP </w:t>
      </w:r>
      <w:r>
        <w:rPr>
          <w:color w:val="FF0000"/>
          <w:spacing w:val="2"/>
          <w:sz w:val="23"/>
        </w:rPr>
        <w:t>assay</w:t>
      </w:r>
      <w:r>
        <w:rPr>
          <w:color w:val="FF0000"/>
          <w:spacing w:val="60"/>
          <w:sz w:val="23"/>
        </w:rPr>
        <w:t> </w:t>
      </w:r>
      <w:r>
        <w:rPr>
          <w:color w:val="FF0000"/>
          <w:spacing w:val="3"/>
          <w:sz w:val="23"/>
        </w:rPr>
        <w:t>for</w:t>
      </w:r>
    </w:p>
    <w:p>
      <w:pPr>
        <w:spacing w:after="0" w:line="418" w:lineRule="exact"/>
        <w:jc w:val="both"/>
        <w:rPr>
          <w:sz w:val="23"/>
        </w:rPr>
        <w:sectPr>
          <w:pgSz w:w="12250" w:h="17190"/>
          <w:pgMar w:header="0" w:footer="828" w:top="1460" w:bottom="1020" w:left="1220" w:right="0"/>
        </w:sectPr>
      </w:pPr>
    </w:p>
    <w:p>
      <w:pPr>
        <w:spacing w:line="232" w:lineRule="auto" w:before="45"/>
        <w:ind w:left="846" w:right="1392" w:firstLine="0"/>
        <w:jc w:val="both"/>
        <w:rPr>
          <w:sz w:val="23"/>
        </w:rPr>
      </w:pPr>
      <w:r>
        <w:rPr/>
        <w:pict>
          <v:group style="position:absolute;margin-left:568.5pt;margin-top:.616746pt;width:43.9pt;height:103.15pt;mso-position-horizontal-relative:page;mso-position-vertical-relative:paragraph;z-index:251817984" coordorigin="11370,12" coordsize="878,2063">
            <v:shape style="position:absolute;left:11370;top:12;width:878;height:2063" coordorigin="11370,12" coordsize="878,2063" path="m12197,12l11535,12,11471,25,11418,61,11383,113,11370,178,11370,1910,11383,1974,11418,2027,11471,2062,11535,2075,12197,2075,12247,2065,12247,23,12197,12xe" filled="true" fillcolor="#a6a6a6" stroked="false">
              <v:path arrowok="t"/>
              <v:fill type="solid"/>
            </v:shape>
            <v:shape style="position:absolute;left:11370;top:12;width:878;height:2063" type="#_x0000_t202" filled="false" stroked="false">
              <v:textbox inset="0,0,0,0">
                <w:txbxContent>
                  <w:p>
                    <w:pPr>
                      <w:spacing w:line="146" w:lineRule="auto" w:before="127"/>
                      <w:ind w:left="136" w:right="518" w:firstLine="0"/>
                      <w:jc w:val="both"/>
                      <w:rPr>
                        <w:sz w:val="22"/>
                      </w:rPr>
                    </w:pPr>
                    <w:r>
                      <w:rPr>
                        <w:sz w:val="22"/>
                      </w:rPr>
                      <w:t>第七章</w:t>
                    </w:r>
                  </w:p>
                  <w:p>
                    <w:pPr>
                      <w:spacing w:line="141" w:lineRule="auto" w:before="175"/>
                      <w:ind w:left="136" w:right="518" w:firstLine="0"/>
                      <w:jc w:val="both"/>
                      <w:rPr>
                        <w:sz w:val="22"/>
                      </w:rPr>
                    </w:pPr>
                    <w:r>
                      <w:rPr>
                        <w:sz w:val="22"/>
                      </w:rPr>
                      <w:t>肺外結核</w:t>
                    </w:r>
                  </w:p>
                </w:txbxContent>
              </v:textbox>
              <w10:wrap type="none"/>
            </v:shape>
            <w10:wrap type="none"/>
          </v:group>
        </w:pict>
      </w:r>
      <w:r>
        <w:rPr>
          <w:color w:val="FF0000"/>
          <w:sz w:val="23"/>
        </w:rPr>
        <w:t>extrapulmonary tuberculosis and rifampicin resistance. Cochrane Database Syst Rev. 2018 Aug 27;8(8):CD012768.</w:t>
      </w:r>
    </w:p>
    <w:p>
      <w:pPr>
        <w:pStyle w:val="ListParagraph"/>
        <w:numPr>
          <w:ilvl w:val="2"/>
          <w:numId w:val="104"/>
        </w:numPr>
        <w:tabs>
          <w:tab w:pos="840" w:val="left" w:leader="none"/>
        </w:tabs>
        <w:spacing w:line="223" w:lineRule="auto" w:before="0" w:after="0"/>
        <w:ind w:left="839" w:right="1391" w:hanging="468"/>
        <w:jc w:val="both"/>
        <w:rPr>
          <w:sz w:val="23"/>
        </w:rPr>
      </w:pPr>
      <w:r>
        <w:rPr>
          <w:color w:val="FF0000"/>
          <w:sz w:val="23"/>
        </w:rPr>
        <w:t>15.Donovan J, Thu DDA, Phu NH, et al. Xpert MTB/</w:t>
      </w:r>
      <w:r>
        <w:rPr>
          <w:color w:val="FF0000"/>
          <w:sz w:val="24"/>
        </w:rPr>
        <w:t>RMP </w:t>
      </w:r>
      <w:r>
        <w:rPr>
          <w:color w:val="FF0000"/>
          <w:sz w:val="23"/>
        </w:rPr>
        <w:t>Ultra versus Xpert </w:t>
      </w:r>
      <w:r>
        <w:rPr>
          <w:color w:val="FF0000"/>
          <w:spacing w:val="-3"/>
          <w:sz w:val="23"/>
        </w:rPr>
        <w:t>MTB/</w:t>
      </w:r>
      <w:r>
        <w:rPr>
          <w:color w:val="FF0000"/>
          <w:spacing w:val="-3"/>
          <w:sz w:val="24"/>
        </w:rPr>
        <w:t>RMP </w:t>
      </w:r>
      <w:r>
        <w:rPr>
          <w:color w:val="FF0000"/>
          <w:sz w:val="23"/>
        </w:rPr>
        <w:t>for the </w:t>
      </w:r>
      <w:r>
        <w:rPr>
          <w:color w:val="FF0000"/>
          <w:spacing w:val="-3"/>
          <w:sz w:val="23"/>
        </w:rPr>
        <w:t>diagnosis </w:t>
      </w:r>
      <w:r>
        <w:rPr>
          <w:color w:val="FF0000"/>
          <w:sz w:val="23"/>
        </w:rPr>
        <w:t>of </w:t>
      </w:r>
      <w:r>
        <w:rPr>
          <w:color w:val="FF0000"/>
          <w:spacing w:val="-3"/>
          <w:sz w:val="23"/>
        </w:rPr>
        <w:t>tuberculous meningitis: </w:t>
      </w:r>
      <w:r>
        <w:rPr>
          <w:color w:val="FF0000"/>
          <w:sz w:val="23"/>
        </w:rPr>
        <w:t>a </w:t>
      </w:r>
      <w:r>
        <w:rPr>
          <w:color w:val="FF0000"/>
          <w:spacing w:val="-3"/>
          <w:sz w:val="23"/>
        </w:rPr>
        <w:t>prospective, randomised, </w:t>
      </w:r>
      <w:r>
        <w:rPr>
          <w:color w:val="FF0000"/>
          <w:sz w:val="23"/>
        </w:rPr>
        <w:t>diagnostic accuracy study. </w:t>
      </w:r>
      <w:r>
        <w:rPr>
          <w:i/>
          <w:color w:val="FF0000"/>
          <w:sz w:val="24"/>
        </w:rPr>
        <w:t>Lancet Infect Dis. </w:t>
      </w:r>
      <w:r>
        <w:rPr>
          <w:color w:val="FF0000"/>
          <w:sz w:val="23"/>
        </w:rPr>
        <w:t>2020; 20:</w:t>
      </w:r>
      <w:r>
        <w:rPr>
          <w:color w:val="FF0000"/>
          <w:spacing w:val="-33"/>
          <w:sz w:val="23"/>
        </w:rPr>
        <w:t> </w:t>
      </w:r>
      <w:r>
        <w:rPr>
          <w:color w:val="FF0000"/>
          <w:sz w:val="23"/>
        </w:rPr>
        <w:t>299–307.</w:t>
      </w:r>
    </w:p>
    <w:p>
      <w:pPr>
        <w:spacing w:after="0" w:line="223" w:lineRule="auto"/>
        <w:jc w:val="both"/>
        <w:rPr>
          <w:sz w:val="23"/>
        </w:rPr>
        <w:sectPr>
          <w:pgSz w:w="12250" w:h="17190"/>
          <w:pgMar w:header="0" w:footer="828" w:top="1460" w:bottom="1020" w:left="1220" w:right="0"/>
        </w:sectPr>
      </w:pPr>
    </w:p>
    <w:p>
      <w:pPr>
        <w:pStyle w:val="Heading6"/>
        <w:tabs>
          <w:tab w:pos="4293" w:val="left" w:leader="none"/>
        </w:tabs>
        <w:spacing w:before="13"/>
        <w:ind w:left="3263"/>
      </w:pPr>
      <w:bookmarkStart w:name="表 7-1  肺外結核的治療期間" w:id="83"/>
      <w:bookmarkEnd w:id="83"/>
      <w:r>
        <w:rPr>
          <w:b w:val="0"/>
        </w:rPr>
      </w:r>
      <w:r>
        <w:rPr/>
        <w:t>表</w:t>
      </w:r>
      <w:r>
        <w:rPr>
          <w:spacing w:val="60"/>
        </w:rPr>
        <w:t> </w:t>
      </w:r>
      <w:r>
        <w:rPr/>
        <w:t>7-1</w:t>
        <w:tab/>
        <w:t>肺外結核的治療期間</w:t>
      </w:r>
    </w:p>
    <w:p>
      <w:pPr>
        <w:pStyle w:val="BodyText"/>
        <w:spacing w:before="10"/>
        <w:rPr>
          <w:b/>
          <w:sz w:val="10"/>
        </w:rPr>
      </w:pPr>
    </w:p>
    <w:tbl>
      <w:tblPr>
        <w:tblW w:w="0" w:type="auto"/>
        <w:jc w:val="left"/>
        <w:tblInd w:w="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1"/>
        <w:gridCol w:w="2972"/>
        <w:gridCol w:w="2501"/>
      </w:tblGrid>
      <w:tr>
        <w:trPr>
          <w:trHeight w:val="410" w:hRule="atLeast"/>
        </w:trPr>
        <w:tc>
          <w:tcPr>
            <w:tcW w:w="3011" w:type="dxa"/>
            <w:tcBorders>
              <w:top w:val="single" w:sz="8" w:space="0" w:color="000000"/>
              <w:bottom w:val="single" w:sz="8" w:space="0" w:color="000000"/>
            </w:tcBorders>
            <w:shd w:val="clear" w:color="auto" w:fill="F1F1F1"/>
          </w:tcPr>
          <w:p>
            <w:pPr>
              <w:pStyle w:val="TableParagraph"/>
              <w:spacing w:line="391" w:lineRule="exact"/>
              <w:ind w:left="1327" w:right="1164"/>
              <w:jc w:val="center"/>
              <w:rPr>
                <w:b/>
                <w:sz w:val="24"/>
              </w:rPr>
            </w:pPr>
            <w:r>
              <w:rPr>
                <w:b/>
                <w:sz w:val="24"/>
              </w:rPr>
              <w:t>部位</w:t>
            </w:r>
          </w:p>
        </w:tc>
        <w:tc>
          <w:tcPr>
            <w:tcW w:w="2972" w:type="dxa"/>
            <w:tcBorders>
              <w:top w:val="single" w:sz="8" w:space="0" w:color="000000"/>
              <w:bottom w:val="single" w:sz="8" w:space="0" w:color="000000"/>
            </w:tcBorders>
            <w:shd w:val="clear" w:color="auto" w:fill="F1F1F1"/>
          </w:tcPr>
          <w:p>
            <w:pPr>
              <w:pStyle w:val="TableParagraph"/>
              <w:spacing w:line="391" w:lineRule="exact"/>
              <w:ind w:left="836" w:right="726"/>
              <w:jc w:val="center"/>
              <w:rPr>
                <w:b/>
                <w:sz w:val="24"/>
              </w:rPr>
            </w:pPr>
            <w:r>
              <w:rPr>
                <w:b/>
                <w:sz w:val="24"/>
              </w:rPr>
              <w:t>治療期間(月)</w:t>
            </w:r>
          </w:p>
        </w:tc>
        <w:tc>
          <w:tcPr>
            <w:tcW w:w="2501" w:type="dxa"/>
            <w:tcBorders>
              <w:top w:val="single" w:sz="8" w:space="0" w:color="000000"/>
              <w:bottom w:val="single" w:sz="8" w:space="0" w:color="000000"/>
            </w:tcBorders>
            <w:shd w:val="clear" w:color="auto" w:fill="F1F1F1"/>
          </w:tcPr>
          <w:p>
            <w:pPr>
              <w:pStyle w:val="TableParagraph"/>
              <w:spacing w:line="391" w:lineRule="exact"/>
              <w:ind w:left="729" w:right="771"/>
              <w:jc w:val="center"/>
              <w:rPr>
                <w:b/>
                <w:sz w:val="24"/>
              </w:rPr>
            </w:pPr>
            <w:r>
              <w:rPr>
                <w:b/>
                <w:sz w:val="24"/>
              </w:rPr>
              <w:t>類固醇</w:t>
            </w:r>
          </w:p>
        </w:tc>
      </w:tr>
      <w:tr>
        <w:trPr>
          <w:trHeight w:val="453" w:hRule="atLeast"/>
        </w:trPr>
        <w:tc>
          <w:tcPr>
            <w:tcW w:w="3011" w:type="dxa"/>
            <w:tcBorders>
              <w:top w:val="single" w:sz="8" w:space="0" w:color="000000"/>
            </w:tcBorders>
          </w:tcPr>
          <w:p>
            <w:pPr>
              <w:pStyle w:val="TableParagraph"/>
              <w:spacing w:line="417" w:lineRule="exact" w:before="16"/>
              <w:ind w:left="234"/>
              <w:rPr>
                <w:sz w:val="24"/>
              </w:rPr>
            </w:pPr>
            <w:r>
              <w:rPr>
                <w:sz w:val="24"/>
              </w:rPr>
              <w:t>粟粒性結核</w:t>
            </w:r>
          </w:p>
        </w:tc>
        <w:tc>
          <w:tcPr>
            <w:tcW w:w="2972" w:type="dxa"/>
            <w:tcBorders>
              <w:top w:val="single" w:sz="8" w:space="0" w:color="000000"/>
            </w:tcBorders>
          </w:tcPr>
          <w:p>
            <w:pPr>
              <w:pStyle w:val="TableParagraph"/>
              <w:spacing w:line="417" w:lineRule="exact" w:before="16"/>
              <w:ind w:left="835" w:right="726"/>
              <w:jc w:val="center"/>
              <w:rPr>
                <w:sz w:val="24"/>
              </w:rPr>
            </w:pPr>
            <w:r>
              <w:rPr>
                <w:sz w:val="24"/>
              </w:rPr>
              <w:t>6-9*</w:t>
            </w:r>
          </w:p>
        </w:tc>
        <w:tc>
          <w:tcPr>
            <w:tcW w:w="2501" w:type="dxa"/>
            <w:tcBorders>
              <w:top w:val="single" w:sz="8" w:space="0" w:color="000000"/>
            </w:tcBorders>
          </w:tcPr>
          <w:p>
            <w:pPr>
              <w:pStyle w:val="TableParagraph"/>
              <w:rPr>
                <w:rFonts w:ascii="Times New Roman"/>
                <w:sz w:val="24"/>
              </w:rPr>
            </w:pPr>
          </w:p>
        </w:tc>
      </w:tr>
      <w:tr>
        <w:trPr>
          <w:trHeight w:val="433" w:hRule="atLeast"/>
        </w:trPr>
        <w:tc>
          <w:tcPr>
            <w:tcW w:w="3011" w:type="dxa"/>
          </w:tcPr>
          <w:p>
            <w:pPr>
              <w:pStyle w:val="TableParagraph"/>
              <w:spacing w:line="413" w:lineRule="exact"/>
              <w:ind w:left="234"/>
              <w:rPr>
                <w:sz w:val="24"/>
              </w:rPr>
            </w:pPr>
            <w:r>
              <w:rPr>
                <w:sz w:val="24"/>
              </w:rPr>
              <w:t>結核性淋巴腺炎</w:t>
            </w:r>
          </w:p>
        </w:tc>
        <w:tc>
          <w:tcPr>
            <w:tcW w:w="2972" w:type="dxa"/>
          </w:tcPr>
          <w:p>
            <w:pPr>
              <w:pStyle w:val="TableParagraph"/>
              <w:spacing w:line="413" w:lineRule="exact"/>
              <w:ind w:left="835" w:right="726"/>
              <w:jc w:val="center"/>
              <w:rPr>
                <w:sz w:val="24"/>
              </w:rPr>
            </w:pPr>
            <w:r>
              <w:rPr>
                <w:sz w:val="24"/>
              </w:rPr>
              <w:t>6-9*</w:t>
            </w:r>
          </w:p>
        </w:tc>
        <w:tc>
          <w:tcPr>
            <w:tcW w:w="2501" w:type="dxa"/>
          </w:tcPr>
          <w:p>
            <w:pPr>
              <w:pStyle w:val="TableParagraph"/>
              <w:rPr>
                <w:rFonts w:ascii="Times New Roman"/>
                <w:sz w:val="24"/>
              </w:rPr>
            </w:pPr>
          </w:p>
        </w:tc>
      </w:tr>
      <w:tr>
        <w:trPr>
          <w:trHeight w:val="433" w:hRule="atLeast"/>
        </w:trPr>
        <w:tc>
          <w:tcPr>
            <w:tcW w:w="3011" w:type="dxa"/>
          </w:tcPr>
          <w:p>
            <w:pPr>
              <w:pStyle w:val="TableParagraph"/>
              <w:spacing w:line="413" w:lineRule="exact"/>
              <w:ind w:left="234"/>
              <w:rPr>
                <w:sz w:val="24"/>
              </w:rPr>
            </w:pPr>
            <w:r>
              <w:rPr>
                <w:sz w:val="24"/>
              </w:rPr>
              <w:t>結核性肋膜炎</w:t>
            </w:r>
          </w:p>
        </w:tc>
        <w:tc>
          <w:tcPr>
            <w:tcW w:w="2972" w:type="dxa"/>
          </w:tcPr>
          <w:p>
            <w:pPr>
              <w:pStyle w:val="TableParagraph"/>
              <w:spacing w:line="413" w:lineRule="exact"/>
              <w:ind w:left="835" w:right="726"/>
              <w:jc w:val="center"/>
              <w:rPr>
                <w:sz w:val="24"/>
              </w:rPr>
            </w:pPr>
            <w:r>
              <w:rPr>
                <w:sz w:val="24"/>
              </w:rPr>
              <w:t>6-9*</w:t>
            </w:r>
          </w:p>
        </w:tc>
        <w:tc>
          <w:tcPr>
            <w:tcW w:w="2501" w:type="dxa"/>
          </w:tcPr>
          <w:p>
            <w:pPr>
              <w:pStyle w:val="TableParagraph"/>
              <w:rPr>
                <w:rFonts w:ascii="Times New Roman"/>
                <w:sz w:val="24"/>
              </w:rPr>
            </w:pPr>
          </w:p>
        </w:tc>
      </w:tr>
      <w:tr>
        <w:trPr>
          <w:trHeight w:val="432" w:hRule="atLeast"/>
        </w:trPr>
        <w:tc>
          <w:tcPr>
            <w:tcW w:w="3011" w:type="dxa"/>
          </w:tcPr>
          <w:p>
            <w:pPr>
              <w:pStyle w:val="TableParagraph"/>
              <w:spacing w:line="413" w:lineRule="exact"/>
              <w:ind w:left="234"/>
              <w:rPr>
                <w:sz w:val="24"/>
              </w:rPr>
            </w:pPr>
            <w:r>
              <w:rPr>
                <w:sz w:val="24"/>
              </w:rPr>
              <w:t>生殖泌尿道結核</w:t>
            </w:r>
          </w:p>
        </w:tc>
        <w:tc>
          <w:tcPr>
            <w:tcW w:w="2972" w:type="dxa"/>
          </w:tcPr>
          <w:p>
            <w:pPr>
              <w:pStyle w:val="TableParagraph"/>
              <w:spacing w:line="413" w:lineRule="exact"/>
              <w:ind w:left="835" w:right="726"/>
              <w:jc w:val="center"/>
              <w:rPr>
                <w:sz w:val="24"/>
              </w:rPr>
            </w:pPr>
            <w:r>
              <w:rPr>
                <w:sz w:val="24"/>
              </w:rPr>
              <w:t>6-9*</w:t>
            </w:r>
          </w:p>
        </w:tc>
        <w:tc>
          <w:tcPr>
            <w:tcW w:w="2501" w:type="dxa"/>
          </w:tcPr>
          <w:p>
            <w:pPr>
              <w:pStyle w:val="TableParagraph"/>
              <w:rPr>
                <w:rFonts w:ascii="Times New Roman"/>
                <w:sz w:val="24"/>
              </w:rPr>
            </w:pPr>
          </w:p>
        </w:tc>
      </w:tr>
      <w:tr>
        <w:trPr>
          <w:trHeight w:val="432" w:hRule="atLeast"/>
        </w:trPr>
        <w:tc>
          <w:tcPr>
            <w:tcW w:w="3011" w:type="dxa"/>
          </w:tcPr>
          <w:p>
            <w:pPr>
              <w:pStyle w:val="TableParagraph"/>
              <w:spacing w:line="413" w:lineRule="exact"/>
              <w:ind w:left="234"/>
              <w:rPr>
                <w:sz w:val="24"/>
              </w:rPr>
            </w:pPr>
            <w:r>
              <w:rPr>
                <w:sz w:val="24"/>
              </w:rPr>
              <w:t>骨結核</w:t>
            </w:r>
          </w:p>
        </w:tc>
        <w:tc>
          <w:tcPr>
            <w:tcW w:w="2972" w:type="dxa"/>
          </w:tcPr>
          <w:p>
            <w:pPr>
              <w:pStyle w:val="TableParagraph"/>
              <w:spacing w:line="413" w:lineRule="exact"/>
              <w:ind w:left="836" w:right="726"/>
              <w:jc w:val="center"/>
              <w:rPr>
                <w:sz w:val="24"/>
              </w:rPr>
            </w:pPr>
            <w:r>
              <w:rPr>
                <w:color w:val="FF0000"/>
                <w:sz w:val="24"/>
              </w:rPr>
              <w:t>9–12</w:t>
            </w:r>
          </w:p>
        </w:tc>
        <w:tc>
          <w:tcPr>
            <w:tcW w:w="2501" w:type="dxa"/>
          </w:tcPr>
          <w:p>
            <w:pPr>
              <w:pStyle w:val="TableParagraph"/>
              <w:rPr>
                <w:rFonts w:ascii="Times New Roman"/>
                <w:sz w:val="24"/>
              </w:rPr>
            </w:pPr>
          </w:p>
        </w:tc>
      </w:tr>
      <w:tr>
        <w:trPr>
          <w:trHeight w:val="433" w:hRule="atLeast"/>
        </w:trPr>
        <w:tc>
          <w:tcPr>
            <w:tcW w:w="3011" w:type="dxa"/>
          </w:tcPr>
          <w:p>
            <w:pPr>
              <w:pStyle w:val="TableParagraph"/>
              <w:spacing w:line="413" w:lineRule="exact"/>
              <w:ind w:left="234"/>
              <w:rPr>
                <w:sz w:val="24"/>
              </w:rPr>
            </w:pPr>
            <w:r>
              <w:rPr>
                <w:sz w:val="24"/>
              </w:rPr>
              <w:t>中樞神經系統結核</w:t>
            </w:r>
          </w:p>
        </w:tc>
        <w:tc>
          <w:tcPr>
            <w:tcW w:w="2972" w:type="dxa"/>
          </w:tcPr>
          <w:p>
            <w:pPr>
              <w:pStyle w:val="TableParagraph"/>
              <w:spacing w:line="413" w:lineRule="exact"/>
              <w:ind w:left="836" w:right="726"/>
              <w:jc w:val="center"/>
              <w:rPr>
                <w:sz w:val="24"/>
              </w:rPr>
            </w:pPr>
            <w:r>
              <w:rPr>
                <w:color w:val="FF0000"/>
                <w:sz w:val="24"/>
              </w:rPr>
              <w:t>12–18</w:t>
            </w:r>
          </w:p>
        </w:tc>
        <w:tc>
          <w:tcPr>
            <w:tcW w:w="2501" w:type="dxa"/>
          </w:tcPr>
          <w:p>
            <w:pPr>
              <w:pStyle w:val="TableParagraph"/>
              <w:spacing w:line="413" w:lineRule="exact"/>
              <w:ind w:left="729" w:right="771"/>
              <w:jc w:val="center"/>
              <w:rPr>
                <w:sz w:val="24"/>
              </w:rPr>
            </w:pPr>
            <w:r>
              <w:rPr>
                <w:sz w:val="24"/>
              </w:rPr>
              <w:t>強烈建議</w:t>
            </w:r>
          </w:p>
        </w:tc>
      </w:tr>
      <w:tr>
        <w:trPr>
          <w:trHeight w:val="433" w:hRule="atLeast"/>
        </w:trPr>
        <w:tc>
          <w:tcPr>
            <w:tcW w:w="3011" w:type="dxa"/>
          </w:tcPr>
          <w:p>
            <w:pPr>
              <w:pStyle w:val="TableParagraph"/>
              <w:spacing w:line="413" w:lineRule="exact"/>
              <w:ind w:left="234"/>
              <w:rPr>
                <w:sz w:val="24"/>
              </w:rPr>
            </w:pPr>
            <w:r>
              <w:rPr>
                <w:sz w:val="24"/>
              </w:rPr>
              <w:t>腹部結核</w:t>
            </w:r>
          </w:p>
        </w:tc>
        <w:tc>
          <w:tcPr>
            <w:tcW w:w="2972" w:type="dxa"/>
          </w:tcPr>
          <w:p>
            <w:pPr>
              <w:pStyle w:val="TableParagraph"/>
              <w:spacing w:line="413" w:lineRule="exact"/>
              <w:ind w:left="835" w:right="726"/>
              <w:jc w:val="center"/>
              <w:rPr>
                <w:sz w:val="24"/>
              </w:rPr>
            </w:pPr>
            <w:r>
              <w:rPr>
                <w:sz w:val="24"/>
              </w:rPr>
              <w:t>6-9*</w:t>
            </w:r>
          </w:p>
        </w:tc>
        <w:tc>
          <w:tcPr>
            <w:tcW w:w="2501" w:type="dxa"/>
          </w:tcPr>
          <w:p>
            <w:pPr>
              <w:pStyle w:val="TableParagraph"/>
              <w:rPr>
                <w:rFonts w:ascii="Times New Roman"/>
                <w:sz w:val="24"/>
              </w:rPr>
            </w:pPr>
          </w:p>
        </w:tc>
      </w:tr>
      <w:tr>
        <w:trPr>
          <w:trHeight w:val="413" w:hRule="atLeast"/>
        </w:trPr>
        <w:tc>
          <w:tcPr>
            <w:tcW w:w="3011" w:type="dxa"/>
            <w:tcBorders>
              <w:bottom w:val="single" w:sz="8" w:space="0" w:color="000000"/>
            </w:tcBorders>
          </w:tcPr>
          <w:p>
            <w:pPr>
              <w:pStyle w:val="TableParagraph"/>
              <w:spacing w:line="393" w:lineRule="exact"/>
              <w:ind w:left="234"/>
              <w:rPr>
                <w:sz w:val="24"/>
              </w:rPr>
            </w:pPr>
            <w:r>
              <w:rPr>
                <w:sz w:val="24"/>
              </w:rPr>
              <w:t>結核性心包膜炎</w:t>
            </w:r>
          </w:p>
        </w:tc>
        <w:tc>
          <w:tcPr>
            <w:tcW w:w="2972" w:type="dxa"/>
            <w:tcBorders>
              <w:bottom w:val="single" w:sz="8" w:space="0" w:color="000000"/>
            </w:tcBorders>
          </w:tcPr>
          <w:p>
            <w:pPr>
              <w:pStyle w:val="TableParagraph"/>
              <w:spacing w:line="393" w:lineRule="exact"/>
              <w:ind w:left="835" w:right="726"/>
              <w:jc w:val="center"/>
              <w:rPr>
                <w:sz w:val="24"/>
              </w:rPr>
            </w:pPr>
            <w:r>
              <w:rPr>
                <w:sz w:val="24"/>
              </w:rPr>
              <w:t>6-9*</w:t>
            </w:r>
          </w:p>
        </w:tc>
        <w:tc>
          <w:tcPr>
            <w:tcW w:w="2501" w:type="dxa"/>
            <w:tcBorders>
              <w:bottom w:val="single" w:sz="8" w:space="0" w:color="000000"/>
            </w:tcBorders>
          </w:tcPr>
          <w:p>
            <w:pPr>
              <w:pStyle w:val="TableParagraph"/>
              <w:spacing w:line="393" w:lineRule="exact"/>
              <w:ind w:left="729" w:right="771"/>
              <w:jc w:val="center"/>
              <w:rPr>
                <w:sz w:val="24"/>
              </w:rPr>
            </w:pPr>
            <w:r>
              <w:rPr>
                <w:sz w:val="24"/>
              </w:rPr>
              <w:t>部分建議</w:t>
            </w:r>
          </w:p>
        </w:tc>
      </w:tr>
    </w:tbl>
    <w:p>
      <w:pPr>
        <w:pStyle w:val="BodyText"/>
        <w:spacing w:line="218" w:lineRule="auto" w:before="90"/>
        <w:ind w:left="936" w:right="2120" w:hanging="168"/>
      </w:pPr>
      <w:r>
        <w:rPr/>
        <w:t>* 早期有加用兩個月的 PZA 則可採六個月的療程，如果無法使用 PZA 則療程為九個月；主治醫師亦可視病人的臨床狀況延長治療。</w:t>
      </w:r>
    </w:p>
    <w:p>
      <w:pPr>
        <w:spacing w:after="0" w:line="218" w:lineRule="auto"/>
        <w:sectPr>
          <w:pgSz w:w="12250" w:h="17190"/>
          <w:pgMar w:header="0" w:footer="828" w:top="1400" w:bottom="1020" w:left="1220" w:right="0"/>
        </w:sectPr>
      </w:pPr>
    </w:p>
    <w:p>
      <w:pPr>
        <w:pStyle w:val="BodyText"/>
        <w:spacing w:before="4"/>
        <w:rPr>
          <w:sz w:val="44"/>
        </w:rPr>
      </w:pPr>
    </w:p>
    <w:p>
      <w:pPr>
        <w:pStyle w:val="Heading6"/>
        <w:numPr>
          <w:ilvl w:val="1"/>
          <w:numId w:val="105"/>
        </w:numPr>
        <w:tabs>
          <w:tab w:pos="649" w:val="left" w:leader="none"/>
        </w:tabs>
        <w:spacing w:line="240" w:lineRule="auto" w:before="0" w:after="0"/>
        <w:ind w:left="648" w:right="0" w:hanging="509"/>
        <w:jc w:val="left"/>
      </w:pPr>
      <w:r>
        <w:rPr>
          <w:spacing w:val="3"/>
        </w:rPr>
        <w:t>兒童結核病概說</w:t>
      </w:r>
    </w:p>
    <w:p>
      <w:pPr>
        <w:tabs>
          <w:tab w:pos="1620" w:val="left" w:leader="none"/>
        </w:tabs>
        <w:spacing w:line="674" w:lineRule="exact" w:before="0"/>
        <w:ind w:left="140" w:right="0" w:firstLine="0"/>
        <w:jc w:val="left"/>
        <w:rPr>
          <w:b/>
          <w:sz w:val="37"/>
        </w:rPr>
      </w:pPr>
      <w:r>
        <w:rPr/>
        <w:br w:type="column"/>
      </w:r>
      <w:r>
        <w:rPr>
          <w:b/>
          <w:sz w:val="37"/>
        </w:rPr>
        <w:t>第八章</w:t>
        <w:tab/>
        <w:t>兒童結核病之診療</w:t>
      </w:r>
    </w:p>
    <w:p>
      <w:pPr>
        <w:spacing w:after="0" w:line="674" w:lineRule="exact"/>
        <w:jc w:val="left"/>
        <w:rPr>
          <w:sz w:val="37"/>
        </w:rPr>
        <w:sectPr>
          <w:pgSz w:w="12250" w:h="17190"/>
          <w:pgMar w:header="0" w:footer="828" w:top="1340" w:bottom="1020" w:left="1220" w:right="0"/>
          <w:cols w:num="2" w:equalWidth="0">
            <w:col w:w="2468" w:space="75"/>
            <w:col w:w="8487"/>
          </w:cols>
        </w:sectPr>
      </w:pPr>
    </w:p>
    <w:p>
      <w:pPr>
        <w:pStyle w:val="ListParagraph"/>
        <w:numPr>
          <w:ilvl w:val="2"/>
          <w:numId w:val="105"/>
        </w:numPr>
        <w:tabs>
          <w:tab w:pos="633" w:val="left" w:leader="none"/>
        </w:tabs>
        <w:spacing w:line="225" w:lineRule="auto" w:before="31" w:after="0"/>
        <w:ind w:left="632" w:right="1354" w:hanging="360"/>
        <w:jc w:val="left"/>
        <w:rPr>
          <w:sz w:val="24"/>
        </w:rPr>
      </w:pPr>
      <w:r>
        <w:rPr/>
        <w:pict>
          <v:group style="position:absolute;margin-left:570pt;margin-top:73.649719pt;width:42.4pt;height:152.2pt;mso-position-horizontal-relative:page;mso-position-vertical-relative:page;z-index:251820032" coordorigin="11400,1473" coordsize="848,3044">
            <v:shape style="position:absolute;left:11400;top:1473;width:848;height:3044" coordorigin="11400,1473" coordsize="848,3044" path="m12227,1473l11565,1473,11501,1486,11448,1521,11413,1574,11400,1638,11400,4352,11413,4416,11448,4469,11501,4504,11565,4517,12227,4517,12247,4513,12247,1477,12227,1473xe" filled="true" fillcolor="#a6a6a6" stroked="false">
              <v:path arrowok="t"/>
              <v:fill type="solid"/>
            </v:shape>
            <v:shape style="position:absolute;left:11400;top:1473;width:848;height:3044" type="#_x0000_t202" filled="false" stroked="false">
              <v:textbox inset="0,0,0,0">
                <w:txbxContent>
                  <w:p>
                    <w:pPr>
                      <w:spacing w:line="146" w:lineRule="auto" w:before="127"/>
                      <w:ind w:left="136" w:right="488" w:firstLine="0"/>
                      <w:jc w:val="both"/>
                      <w:rPr>
                        <w:sz w:val="22"/>
                      </w:rPr>
                    </w:pPr>
                    <w:r>
                      <w:rPr>
                        <w:sz w:val="22"/>
                      </w:rPr>
                      <w:t>第八章</w:t>
                    </w:r>
                  </w:p>
                  <w:p>
                    <w:pPr>
                      <w:spacing w:line="141" w:lineRule="auto" w:before="175"/>
                      <w:ind w:left="136" w:right="488" w:firstLine="0"/>
                      <w:jc w:val="both"/>
                      <w:rPr>
                        <w:sz w:val="22"/>
                      </w:rPr>
                    </w:pPr>
                    <w:r>
                      <w:rPr>
                        <w:sz w:val="22"/>
                      </w:rPr>
                      <w:t>兒童結核病之診療</w:t>
                    </w:r>
                  </w:p>
                </w:txbxContent>
              </v:textbox>
              <w10:wrap type="none"/>
            </v:shape>
            <w10:wrap type="none"/>
          </v:group>
        </w:pict>
      </w:r>
      <w:r>
        <w:rPr>
          <w:spacing w:val="-13"/>
          <w:sz w:val="24"/>
        </w:rPr>
        <w:t>兒童感染結核分枝桿菌之後，發病率較高，而且較容易出現肺外結核病(</w:t>
      </w:r>
      <w:r>
        <w:rPr>
          <w:spacing w:val="-7"/>
          <w:sz w:val="24"/>
        </w:rPr>
        <w:t>extrapulmonary </w:t>
      </w:r>
      <w:r>
        <w:rPr>
          <w:sz w:val="24"/>
        </w:rPr>
        <w:t>tuberculosis)與散播性感染(disseminated</w:t>
      </w:r>
      <w:r>
        <w:rPr>
          <w:spacing w:val="3"/>
          <w:sz w:val="24"/>
        </w:rPr>
        <w:t> </w:t>
      </w:r>
      <w:r>
        <w:rPr>
          <w:sz w:val="24"/>
        </w:rPr>
        <w:t>infection)。</w:t>
      </w:r>
    </w:p>
    <w:p>
      <w:pPr>
        <w:pStyle w:val="ListParagraph"/>
        <w:numPr>
          <w:ilvl w:val="2"/>
          <w:numId w:val="105"/>
        </w:numPr>
        <w:tabs>
          <w:tab w:pos="639" w:val="left" w:leader="none"/>
        </w:tabs>
        <w:spacing w:line="225" w:lineRule="auto" w:before="0" w:after="0"/>
        <w:ind w:left="638" w:right="1301" w:hanging="366"/>
        <w:jc w:val="left"/>
        <w:rPr>
          <w:sz w:val="24"/>
        </w:rPr>
      </w:pPr>
      <w:r>
        <w:rPr>
          <w:spacing w:val="-6"/>
          <w:sz w:val="24"/>
        </w:rPr>
        <w:t>感染結核病兒童體內的菌量通常較少，且較無續發性抗藥性的現象。空洞病變很罕見， </w:t>
      </w:r>
      <w:r>
        <w:rPr>
          <w:spacing w:val="3"/>
          <w:sz w:val="24"/>
        </w:rPr>
        <w:t>傳染性一般較成人為低。</w:t>
      </w:r>
    </w:p>
    <w:p>
      <w:pPr>
        <w:pStyle w:val="ListParagraph"/>
        <w:numPr>
          <w:ilvl w:val="2"/>
          <w:numId w:val="105"/>
        </w:numPr>
        <w:tabs>
          <w:tab w:pos="639" w:val="left" w:leader="none"/>
        </w:tabs>
        <w:spacing w:line="420" w:lineRule="exact" w:before="0" w:after="0"/>
        <w:ind w:left="638" w:right="0" w:hanging="367"/>
        <w:jc w:val="left"/>
        <w:rPr>
          <w:sz w:val="24"/>
        </w:rPr>
      </w:pPr>
      <w:r>
        <w:rPr>
          <w:spacing w:val="2"/>
          <w:sz w:val="24"/>
        </w:rPr>
        <w:t>本指引所謂兒童意指未滿 </w:t>
      </w:r>
      <w:r>
        <w:rPr>
          <w:sz w:val="24"/>
        </w:rPr>
        <w:t>18</w:t>
      </w:r>
      <w:r>
        <w:rPr>
          <w:spacing w:val="2"/>
          <w:sz w:val="24"/>
        </w:rPr>
        <w:t> 歲者。</w:t>
      </w:r>
    </w:p>
    <w:p>
      <w:pPr>
        <w:pStyle w:val="BodyText"/>
        <w:spacing w:before="12"/>
        <w:rPr>
          <w:sz w:val="18"/>
        </w:rPr>
      </w:pPr>
    </w:p>
    <w:p>
      <w:pPr>
        <w:pStyle w:val="Heading6"/>
        <w:numPr>
          <w:ilvl w:val="1"/>
          <w:numId w:val="105"/>
        </w:numPr>
        <w:tabs>
          <w:tab w:pos="649" w:val="left" w:leader="none"/>
        </w:tabs>
        <w:spacing w:line="240" w:lineRule="auto" w:before="0" w:after="0"/>
        <w:ind w:left="648" w:right="0" w:hanging="509"/>
        <w:jc w:val="left"/>
      </w:pPr>
      <w:r>
        <w:rPr>
          <w:spacing w:val="2"/>
        </w:rPr>
        <w:t>卡介苗 (</w:t>
      </w:r>
      <w:r>
        <w:rPr/>
        <w:t>Bacille</w:t>
      </w:r>
      <w:r>
        <w:rPr>
          <w:spacing w:val="5"/>
        </w:rPr>
        <w:t> </w:t>
      </w:r>
      <w:r>
        <w:rPr/>
        <w:t>Calmette–Guérin</w:t>
      </w:r>
      <w:r>
        <w:rPr>
          <w:spacing w:val="2"/>
        </w:rPr>
        <w:t>, </w:t>
      </w:r>
      <w:r>
        <w:rPr/>
        <w:t>BCG)</w:t>
      </w:r>
    </w:p>
    <w:p>
      <w:pPr>
        <w:pStyle w:val="ListParagraph"/>
        <w:numPr>
          <w:ilvl w:val="2"/>
          <w:numId w:val="106"/>
        </w:numPr>
        <w:tabs>
          <w:tab w:pos="922" w:val="left" w:leader="none"/>
        </w:tabs>
        <w:spacing w:line="225" w:lineRule="auto" w:before="60" w:after="0"/>
        <w:ind w:left="921" w:right="1357" w:hanging="671"/>
        <w:jc w:val="left"/>
        <w:rPr>
          <w:sz w:val="24"/>
        </w:rPr>
      </w:pPr>
      <w:bookmarkStart w:name="8.2.1 兒童接種卡介苗的主要效益，為降低兒童結核性腦膜炎與散播性結核分枝桿菌" w:id="84"/>
      <w:bookmarkEnd w:id="84"/>
      <w:r>
        <w:rPr/>
      </w:r>
      <w:bookmarkStart w:name="8.2.1 兒童接種卡介苗的主要效益，為降低兒童結核性腦膜炎與散播性結核分枝桿菌" w:id="85"/>
      <w:bookmarkEnd w:id="85"/>
      <w:r>
        <w:rPr>
          <w:spacing w:val="-1"/>
          <w:sz w:val="24"/>
        </w:rPr>
        <w:t>兒童接種卡介苗的主要效益，為降低兒童結核性腦膜炎與散播性結核分枝桿菌感染</w:t>
      </w:r>
      <w:r>
        <w:rPr>
          <w:spacing w:val="2"/>
          <w:sz w:val="24"/>
        </w:rPr>
        <w:t>的發生率。</w:t>
      </w:r>
    </w:p>
    <w:p>
      <w:pPr>
        <w:pStyle w:val="ListParagraph"/>
        <w:numPr>
          <w:ilvl w:val="2"/>
          <w:numId w:val="106"/>
        </w:numPr>
        <w:tabs>
          <w:tab w:pos="922" w:val="left" w:leader="none"/>
        </w:tabs>
        <w:spacing w:line="428" w:lineRule="exact" w:before="171" w:after="0"/>
        <w:ind w:left="922" w:right="0" w:hanging="671"/>
        <w:jc w:val="left"/>
        <w:rPr>
          <w:sz w:val="24"/>
        </w:rPr>
      </w:pPr>
      <w:bookmarkStart w:name="8.2.2 接種對象：" w:id="86"/>
      <w:bookmarkEnd w:id="86"/>
      <w:r>
        <w:rPr/>
      </w:r>
      <w:bookmarkStart w:name="8.2.2 接種對象：" w:id="87"/>
      <w:bookmarkEnd w:id="87"/>
      <w:r>
        <w:rPr>
          <w:spacing w:val="2"/>
          <w:sz w:val="24"/>
        </w:rPr>
        <w:t>接種對象：</w:t>
      </w:r>
    </w:p>
    <w:p>
      <w:pPr>
        <w:pStyle w:val="ListParagraph"/>
        <w:numPr>
          <w:ilvl w:val="3"/>
          <w:numId w:val="106"/>
        </w:numPr>
        <w:tabs>
          <w:tab w:pos="926" w:val="left" w:leader="none"/>
        </w:tabs>
        <w:spacing w:line="225" w:lineRule="auto" w:before="6" w:after="0"/>
        <w:ind w:left="925" w:right="1356" w:hanging="268"/>
        <w:jc w:val="left"/>
        <w:rPr>
          <w:sz w:val="24"/>
        </w:rPr>
      </w:pPr>
      <w:r>
        <w:rPr>
          <w:spacing w:val="4"/>
          <w:sz w:val="24"/>
        </w:rPr>
        <w:t>出生滿 </w:t>
      </w:r>
      <w:r>
        <w:rPr>
          <w:sz w:val="24"/>
        </w:rPr>
        <w:t>5</w:t>
      </w:r>
      <w:r>
        <w:rPr>
          <w:spacing w:val="4"/>
          <w:sz w:val="24"/>
        </w:rPr>
        <w:t> 個月沒有卡介苗接種禁忌之嬰兒均建議接種一劑卡介苗，建議接種時間</w:t>
      </w:r>
      <w:r>
        <w:rPr>
          <w:spacing w:val="3"/>
          <w:sz w:val="24"/>
        </w:rPr>
        <w:t>為出生後 </w:t>
      </w:r>
      <w:r>
        <w:rPr>
          <w:sz w:val="24"/>
        </w:rPr>
        <w:t>5-8</w:t>
      </w:r>
      <w:r>
        <w:rPr>
          <w:spacing w:val="3"/>
          <w:sz w:val="24"/>
        </w:rPr>
        <w:t> 個月。</w:t>
      </w:r>
    </w:p>
    <w:p>
      <w:pPr>
        <w:pStyle w:val="ListParagraph"/>
        <w:numPr>
          <w:ilvl w:val="3"/>
          <w:numId w:val="106"/>
        </w:numPr>
        <w:tabs>
          <w:tab w:pos="926" w:val="left" w:leader="none"/>
        </w:tabs>
        <w:spacing w:line="225" w:lineRule="auto" w:before="0" w:after="0"/>
        <w:ind w:left="925" w:right="1357" w:hanging="268"/>
        <w:jc w:val="left"/>
        <w:rPr>
          <w:sz w:val="24"/>
        </w:rPr>
      </w:pPr>
      <w:r>
        <w:rPr>
          <w:sz w:val="24"/>
        </w:rPr>
        <w:t>居住於或經常前往結核病高盛行地區或國家者，可考慮提早於新生兒時期接種一劑</w:t>
      </w:r>
      <w:r>
        <w:rPr>
          <w:spacing w:val="2"/>
          <w:sz w:val="24"/>
        </w:rPr>
        <w:t>卡介苗。此時，需於出生後已滿 </w:t>
      </w:r>
      <w:r>
        <w:rPr>
          <w:sz w:val="24"/>
        </w:rPr>
        <w:t>24</w:t>
      </w:r>
      <w:r>
        <w:rPr>
          <w:spacing w:val="2"/>
          <w:sz w:val="24"/>
        </w:rPr>
        <w:t> 小時且體重達 </w:t>
      </w:r>
      <w:r>
        <w:rPr>
          <w:sz w:val="24"/>
        </w:rPr>
        <w:t>2,500</w:t>
      </w:r>
      <w:r>
        <w:rPr>
          <w:spacing w:val="2"/>
          <w:sz w:val="24"/>
        </w:rPr>
        <w:t> 公克以上。</w:t>
      </w:r>
    </w:p>
    <w:p>
      <w:pPr>
        <w:pStyle w:val="ListParagraph"/>
        <w:numPr>
          <w:ilvl w:val="3"/>
          <w:numId w:val="106"/>
        </w:numPr>
        <w:tabs>
          <w:tab w:pos="926" w:val="left" w:leader="none"/>
        </w:tabs>
        <w:spacing w:line="407" w:lineRule="exact" w:before="0" w:after="0"/>
        <w:ind w:left="925" w:right="0" w:hanging="269"/>
        <w:jc w:val="left"/>
        <w:rPr>
          <w:sz w:val="24"/>
        </w:rPr>
      </w:pPr>
      <w:r>
        <w:rPr>
          <w:spacing w:val="3"/>
          <w:sz w:val="24"/>
        </w:rPr>
        <w:t>學齡前兒童若未曾接種卡介苗，可直接補接種一劑卡介苗。</w:t>
      </w:r>
    </w:p>
    <w:p>
      <w:pPr>
        <w:pStyle w:val="ListParagraph"/>
        <w:numPr>
          <w:ilvl w:val="3"/>
          <w:numId w:val="106"/>
        </w:numPr>
        <w:tabs>
          <w:tab w:pos="926" w:val="left" w:leader="none"/>
        </w:tabs>
        <w:spacing w:line="414" w:lineRule="exact" w:before="0" w:after="0"/>
        <w:ind w:left="925" w:right="0" w:hanging="269"/>
        <w:jc w:val="left"/>
        <w:rPr>
          <w:sz w:val="24"/>
        </w:rPr>
      </w:pPr>
      <w:r>
        <w:rPr>
          <w:spacing w:val="2"/>
          <w:sz w:val="24"/>
        </w:rPr>
        <w:t>國小一年級學童：入學時應檢查卡介苗接種紀錄。</w:t>
      </w:r>
    </w:p>
    <w:p>
      <w:pPr>
        <w:pStyle w:val="ListParagraph"/>
        <w:numPr>
          <w:ilvl w:val="4"/>
          <w:numId w:val="106"/>
        </w:numPr>
        <w:tabs>
          <w:tab w:pos="1410" w:val="left" w:leader="none"/>
        </w:tabs>
        <w:spacing w:line="225" w:lineRule="auto" w:before="3" w:after="0"/>
        <w:ind w:left="1409" w:right="1358" w:hanging="488"/>
        <w:jc w:val="left"/>
        <w:rPr>
          <w:sz w:val="24"/>
        </w:rPr>
      </w:pPr>
      <w:r>
        <w:rPr>
          <w:spacing w:val="-2"/>
          <w:sz w:val="24"/>
        </w:rPr>
        <w:t>無卡介苗接種紀錄者，發給家長衛教單可依兒童最大利益選擇是否補接種卡介</w:t>
      </w:r>
      <w:r>
        <w:rPr>
          <w:spacing w:val="3"/>
          <w:sz w:val="24"/>
        </w:rPr>
        <w:t>苗，並告知補接種卡介苗處所。</w:t>
      </w:r>
    </w:p>
    <w:p>
      <w:pPr>
        <w:pStyle w:val="ListParagraph"/>
        <w:numPr>
          <w:ilvl w:val="4"/>
          <w:numId w:val="106"/>
        </w:numPr>
        <w:tabs>
          <w:tab w:pos="1410" w:val="left" w:leader="none"/>
        </w:tabs>
        <w:spacing w:line="420" w:lineRule="exact" w:before="0" w:after="0"/>
        <w:ind w:left="1409" w:right="0" w:hanging="489"/>
        <w:jc w:val="left"/>
        <w:rPr>
          <w:sz w:val="24"/>
        </w:rPr>
      </w:pPr>
      <w:r>
        <w:rPr>
          <w:spacing w:val="2"/>
          <w:sz w:val="24"/>
        </w:rPr>
        <w:t>已有卡介苗接種紀錄者不再接種。</w:t>
      </w:r>
    </w:p>
    <w:p>
      <w:pPr>
        <w:pStyle w:val="Heading7"/>
        <w:numPr>
          <w:ilvl w:val="2"/>
          <w:numId w:val="106"/>
        </w:numPr>
        <w:tabs>
          <w:tab w:pos="922" w:val="left" w:leader="none"/>
        </w:tabs>
        <w:spacing w:line="428" w:lineRule="exact" w:before="165" w:after="0"/>
        <w:ind w:left="922" w:right="0" w:hanging="671"/>
        <w:jc w:val="left"/>
      </w:pPr>
      <w:bookmarkStart w:name="8.2.3 不良反應：" w:id="88"/>
      <w:bookmarkEnd w:id="88"/>
      <w:r>
        <w:rPr>
          <w:b w:val="0"/>
        </w:rPr>
      </w:r>
      <w:bookmarkStart w:name="8.2.3 不良反應：" w:id="89"/>
      <w:bookmarkEnd w:id="89"/>
      <w:r>
        <w:rPr>
          <w:spacing w:val="2"/>
        </w:rPr>
        <w:t>不良反應：</w:t>
      </w:r>
    </w:p>
    <w:p>
      <w:pPr>
        <w:pStyle w:val="ListParagraph"/>
        <w:numPr>
          <w:ilvl w:val="3"/>
          <w:numId w:val="106"/>
        </w:numPr>
        <w:tabs>
          <w:tab w:pos="926" w:val="left" w:leader="none"/>
        </w:tabs>
        <w:spacing w:line="225" w:lineRule="auto" w:before="6" w:after="0"/>
        <w:ind w:left="925" w:right="1358" w:hanging="268"/>
        <w:jc w:val="both"/>
        <w:rPr>
          <w:sz w:val="24"/>
        </w:rPr>
      </w:pPr>
      <w:r>
        <w:rPr>
          <w:spacing w:val="2"/>
          <w:sz w:val="24"/>
        </w:rPr>
        <w:t>卡介苗接種部位的局部發炎反應於 </w:t>
      </w:r>
      <w:r>
        <w:rPr>
          <w:color w:val="FF0000"/>
          <w:sz w:val="24"/>
        </w:rPr>
        <w:t>4</w:t>
      </w:r>
      <w:r>
        <w:rPr>
          <w:color w:val="FF0000"/>
          <w:spacing w:val="2"/>
          <w:sz w:val="24"/>
        </w:rPr>
        <w:t> 個月</w:t>
      </w:r>
      <w:r>
        <w:rPr>
          <w:spacing w:val="-4"/>
          <w:sz w:val="24"/>
        </w:rPr>
        <w:t>內大多會結痂癒合，留下一個淡紅色小疤</w:t>
      </w:r>
      <w:r>
        <w:rPr>
          <w:spacing w:val="3"/>
          <w:sz w:val="24"/>
        </w:rPr>
        <w:t>痕，經過一段時間後變成膚色。</w:t>
      </w:r>
    </w:p>
    <w:p>
      <w:pPr>
        <w:pStyle w:val="ListParagraph"/>
        <w:numPr>
          <w:ilvl w:val="3"/>
          <w:numId w:val="106"/>
        </w:numPr>
        <w:tabs>
          <w:tab w:pos="926" w:val="left" w:leader="none"/>
        </w:tabs>
        <w:spacing w:line="225" w:lineRule="auto" w:before="0" w:after="0"/>
        <w:ind w:left="921" w:right="1296" w:hanging="264"/>
        <w:jc w:val="both"/>
        <w:rPr>
          <w:sz w:val="24"/>
        </w:rPr>
      </w:pPr>
      <w:r>
        <w:rPr>
          <w:spacing w:val="-11"/>
          <w:sz w:val="24"/>
        </w:rPr>
        <w:t>注射部位潰瘍：大多可自然痊癒，不需要抗生素治療，也不需要通報結核病。</w:t>
      </w:r>
      <w:r>
        <w:rPr>
          <w:color w:val="FF0000"/>
          <w:spacing w:val="-3"/>
          <w:sz w:val="24"/>
        </w:rPr>
        <w:t>少部分</w:t>
      </w:r>
      <w:r>
        <w:rPr>
          <w:color w:val="FF0000"/>
          <w:spacing w:val="-4"/>
          <w:sz w:val="24"/>
        </w:rPr>
        <w:t>嬰幼兒在接種 </w:t>
      </w:r>
      <w:r>
        <w:rPr>
          <w:color w:val="FF0000"/>
          <w:sz w:val="24"/>
        </w:rPr>
        <w:t>4</w:t>
      </w:r>
      <w:r>
        <w:rPr>
          <w:color w:val="FF0000"/>
          <w:spacing w:val="-7"/>
          <w:sz w:val="24"/>
        </w:rPr>
        <w:t> 個月後，接種部位腫脹及膿瘍直徑大於 </w:t>
      </w:r>
      <w:r>
        <w:rPr>
          <w:color w:val="FF0000"/>
          <w:sz w:val="24"/>
        </w:rPr>
        <w:t>2</w:t>
      </w:r>
      <w:r>
        <w:rPr>
          <w:color w:val="FF0000"/>
          <w:spacing w:val="-7"/>
          <w:sz w:val="24"/>
        </w:rPr>
        <w:t> 公分</w:t>
      </w:r>
      <w:r>
        <w:rPr>
          <w:spacing w:val="-6"/>
          <w:sz w:val="24"/>
        </w:rPr>
        <w:t>，建議處理方式如下： 2-1</w:t>
      </w:r>
      <w:r>
        <w:rPr>
          <w:spacing w:val="3"/>
          <w:sz w:val="24"/>
        </w:rPr>
        <w:t> 若膿瘍及紅腫未繼續擴大，可持續觀察待其自動</w:t>
      </w:r>
      <w:r>
        <w:rPr>
          <w:color w:val="FF0000"/>
          <w:spacing w:val="3"/>
          <w:sz w:val="24"/>
        </w:rPr>
        <w:t>縮小或排膿</w:t>
      </w:r>
      <w:r>
        <w:rPr>
          <w:spacing w:val="2"/>
          <w:sz w:val="24"/>
        </w:rPr>
        <w:t>癒合，建議每 </w:t>
      </w:r>
      <w:r>
        <w:rPr>
          <w:sz w:val="24"/>
        </w:rPr>
        <w:t>1-2</w:t>
      </w:r>
    </w:p>
    <w:p>
      <w:pPr>
        <w:pStyle w:val="BodyText"/>
        <w:spacing w:line="406" w:lineRule="exact"/>
        <w:ind w:left="1409"/>
        <w:jc w:val="both"/>
      </w:pPr>
      <w:r>
        <w:rPr/>
        <w:t>個月回診 </w:t>
      </w:r>
      <w:r>
        <w:rPr>
          <w:color w:val="FF0000"/>
        </w:rPr>
        <w:t>1 次</w:t>
      </w:r>
      <w:r>
        <w:rPr/>
        <w:t>。</w:t>
      </w:r>
    </w:p>
    <w:p>
      <w:pPr>
        <w:pStyle w:val="ListParagraph"/>
        <w:numPr>
          <w:ilvl w:val="1"/>
          <w:numId w:val="107"/>
        </w:numPr>
        <w:tabs>
          <w:tab w:pos="1410" w:val="left" w:leader="none"/>
        </w:tabs>
        <w:spacing w:line="225" w:lineRule="auto" w:before="3" w:after="0"/>
        <w:ind w:left="1409" w:right="1362" w:hanging="488"/>
        <w:jc w:val="both"/>
        <w:rPr>
          <w:sz w:val="24"/>
        </w:rPr>
      </w:pPr>
      <w:r>
        <w:rPr>
          <w:spacing w:val="2"/>
          <w:sz w:val="24"/>
        </w:rPr>
        <w:t>再觀察 </w:t>
      </w:r>
      <w:r>
        <w:rPr>
          <w:sz w:val="24"/>
        </w:rPr>
        <w:t>1-3</w:t>
      </w:r>
      <w:r>
        <w:rPr>
          <w:spacing w:val="-1"/>
          <w:sz w:val="24"/>
        </w:rPr>
        <w:t> 個月後膿瘍及紅腫未消退或持續變大，可考慮依病灶情形採用針頭</w:t>
      </w:r>
      <w:r>
        <w:rPr>
          <w:spacing w:val="3"/>
          <w:sz w:val="24"/>
        </w:rPr>
        <w:t>抽吸</w:t>
      </w:r>
      <w:r>
        <w:rPr>
          <w:sz w:val="24"/>
        </w:rPr>
        <w:t>（needle</w:t>
      </w:r>
      <w:r>
        <w:rPr>
          <w:spacing w:val="5"/>
          <w:sz w:val="24"/>
        </w:rPr>
        <w:t> </w:t>
      </w:r>
      <w:r>
        <w:rPr>
          <w:sz w:val="24"/>
        </w:rPr>
        <w:t>aspiration）</w:t>
      </w:r>
      <w:r>
        <w:rPr>
          <w:spacing w:val="2"/>
          <w:sz w:val="24"/>
        </w:rPr>
        <w:t>排膿，不宜採用手術切除。</w:t>
      </w:r>
    </w:p>
    <w:p>
      <w:pPr>
        <w:pStyle w:val="ListParagraph"/>
        <w:numPr>
          <w:ilvl w:val="1"/>
          <w:numId w:val="107"/>
        </w:numPr>
        <w:tabs>
          <w:tab w:pos="1410" w:val="left" w:leader="none"/>
        </w:tabs>
        <w:spacing w:line="225" w:lineRule="auto" w:before="0" w:after="0"/>
        <w:ind w:left="1409" w:right="1358" w:hanging="488"/>
        <w:jc w:val="both"/>
        <w:rPr>
          <w:sz w:val="24"/>
        </w:rPr>
      </w:pPr>
      <w:r>
        <w:rPr>
          <w:spacing w:val="-1"/>
          <w:sz w:val="24"/>
        </w:rPr>
        <w:t>若傷口持續有滲出液等情形，可考慮使用口服或局部抗結核藥物，宜轉診兒童</w:t>
      </w:r>
      <w:r>
        <w:rPr>
          <w:spacing w:val="3"/>
          <w:sz w:val="24"/>
        </w:rPr>
        <w:t>感染科，可考慮使用的藥物為 </w:t>
      </w:r>
      <w:r>
        <w:rPr>
          <w:sz w:val="24"/>
        </w:rPr>
        <w:t>isoniazid</w:t>
      </w:r>
      <w:r>
        <w:rPr>
          <w:spacing w:val="15"/>
          <w:sz w:val="24"/>
        </w:rPr>
        <w:t> 或 </w:t>
      </w:r>
      <w:r>
        <w:rPr>
          <w:sz w:val="24"/>
        </w:rPr>
        <w:t>isoniazid</w:t>
      </w:r>
      <w:r>
        <w:rPr>
          <w:spacing w:val="15"/>
          <w:sz w:val="24"/>
        </w:rPr>
        <w:t> 及 </w:t>
      </w:r>
      <w:r>
        <w:rPr>
          <w:sz w:val="24"/>
        </w:rPr>
        <w:t>rifampicin</w:t>
      </w:r>
      <w:r>
        <w:rPr>
          <w:spacing w:val="6"/>
          <w:sz w:val="24"/>
        </w:rPr>
        <w:t> 治療到痊</w:t>
      </w:r>
      <w:r>
        <w:rPr>
          <w:spacing w:val="-4"/>
          <w:sz w:val="24"/>
        </w:rPr>
        <w:t>癒為止。若決定使用藥物治療，必須通報疑似結核病，但確定為卡介苗不良反</w:t>
      </w:r>
    </w:p>
    <w:p>
      <w:pPr>
        <w:spacing w:after="0" w:line="225" w:lineRule="auto"/>
        <w:jc w:val="both"/>
        <w:rPr>
          <w:sz w:val="24"/>
        </w:rPr>
        <w:sectPr>
          <w:type w:val="continuous"/>
          <w:pgSz w:w="12250" w:h="17190"/>
          <w:pgMar w:top="1500" w:bottom="280" w:left="1220" w:right="0"/>
        </w:sectPr>
      </w:pPr>
    </w:p>
    <w:p>
      <w:pPr>
        <w:pStyle w:val="BodyText"/>
        <w:spacing w:line="225" w:lineRule="auto" w:before="44"/>
        <w:ind w:left="1409" w:right="1362"/>
        <w:jc w:val="both"/>
      </w:pPr>
      <w:r>
        <w:rPr/>
        <w:t>應者，不需要施行胸部 X 光與痰液培養等細菌學檢驗。待排除結核病之後， 再行銷案。</w:t>
      </w:r>
    </w:p>
    <w:p>
      <w:pPr>
        <w:pStyle w:val="ListParagraph"/>
        <w:numPr>
          <w:ilvl w:val="1"/>
          <w:numId w:val="107"/>
        </w:numPr>
        <w:tabs>
          <w:tab w:pos="1410" w:val="left" w:leader="none"/>
        </w:tabs>
        <w:spacing w:line="409" w:lineRule="exact" w:before="0" w:after="0"/>
        <w:ind w:left="1409" w:right="0" w:hanging="488"/>
        <w:jc w:val="both"/>
        <w:rPr>
          <w:sz w:val="24"/>
        </w:rPr>
      </w:pPr>
      <w:r>
        <w:rPr>
          <w:spacing w:val="2"/>
          <w:sz w:val="24"/>
        </w:rPr>
        <w:t>不宜使用外用類固醇藥膏。</w:t>
      </w:r>
    </w:p>
    <w:p>
      <w:pPr>
        <w:pStyle w:val="ListParagraph"/>
        <w:numPr>
          <w:ilvl w:val="3"/>
          <w:numId w:val="106"/>
        </w:numPr>
        <w:tabs>
          <w:tab w:pos="926" w:val="left" w:leader="none"/>
        </w:tabs>
        <w:spacing w:line="417" w:lineRule="exact" w:before="0" w:after="0"/>
        <w:ind w:left="925" w:right="0" w:hanging="268"/>
        <w:jc w:val="both"/>
        <w:rPr>
          <w:sz w:val="24"/>
        </w:rPr>
      </w:pPr>
      <w:r>
        <w:rPr>
          <w:spacing w:val="2"/>
          <w:sz w:val="24"/>
        </w:rPr>
        <w:t>腋下淋巴腺炎：</w:t>
      </w:r>
    </w:p>
    <w:p>
      <w:pPr>
        <w:pStyle w:val="ListParagraph"/>
        <w:numPr>
          <w:ilvl w:val="1"/>
          <w:numId w:val="108"/>
        </w:numPr>
        <w:tabs>
          <w:tab w:pos="1410" w:val="left" w:leader="none"/>
        </w:tabs>
        <w:spacing w:line="415" w:lineRule="exact" w:before="0" w:after="0"/>
        <w:ind w:left="1409" w:right="0" w:hanging="488"/>
        <w:jc w:val="both"/>
        <w:rPr>
          <w:sz w:val="24"/>
        </w:rPr>
      </w:pPr>
      <w:r>
        <w:rPr>
          <w:spacing w:val="2"/>
          <w:sz w:val="24"/>
        </w:rPr>
        <w:t>大多可自然痊癒，不需要抗生素治療，也不需要通報結核病。</w:t>
      </w:r>
    </w:p>
    <w:p>
      <w:pPr>
        <w:pStyle w:val="ListParagraph"/>
        <w:numPr>
          <w:ilvl w:val="1"/>
          <w:numId w:val="108"/>
        </w:numPr>
        <w:tabs>
          <w:tab w:pos="1410" w:val="left" w:leader="none"/>
        </w:tabs>
        <w:spacing w:line="225" w:lineRule="auto" w:before="6" w:after="0"/>
        <w:ind w:left="1409" w:right="1361" w:hanging="488"/>
        <w:jc w:val="both"/>
        <w:rPr>
          <w:sz w:val="24"/>
        </w:rPr>
      </w:pPr>
      <w:r>
        <w:rPr>
          <w:spacing w:val="1"/>
          <w:sz w:val="24"/>
        </w:rPr>
        <w:t>淋巴腺炎超過 </w:t>
      </w:r>
      <w:r>
        <w:rPr>
          <w:sz w:val="24"/>
        </w:rPr>
        <w:t>1</w:t>
      </w:r>
      <w:r>
        <w:rPr>
          <w:spacing w:val="-1"/>
          <w:sz w:val="24"/>
        </w:rPr>
        <w:t> 公分且經過 </w:t>
      </w:r>
      <w:r>
        <w:rPr>
          <w:sz w:val="24"/>
        </w:rPr>
        <w:t>3</w:t>
      </w:r>
      <w:r>
        <w:rPr>
          <w:spacing w:val="-9"/>
          <w:sz w:val="24"/>
        </w:rPr>
        <w:t> 個月後未消退或持續變大，可考慮使用 </w:t>
      </w:r>
      <w:r>
        <w:rPr>
          <w:sz w:val="24"/>
        </w:rPr>
        <w:t>isoniazid </w:t>
      </w:r>
      <w:r>
        <w:rPr>
          <w:spacing w:val="5"/>
          <w:sz w:val="24"/>
        </w:rPr>
        <w:t>或 </w:t>
      </w:r>
      <w:r>
        <w:rPr>
          <w:sz w:val="24"/>
        </w:rPr>
        <w:t>isoniazid</w:t>
      </w:r>
      <w:r>
        <w:rPr>
          <w:spacing w:val="6"/>
          <w:sz w:val="24"/>
        </w:rPr>
        <w:t> 及 </w:t>
      </w:r>
      <w:r>
        <w:rPr>
          <w:sz w:val="24"/>
        </w:rPr>
        <w:t>rifampicin 治療到痊癒為止。若決定使用藥物治療，必須通報</w:t>
      </w:r>
      <w:r>
        <w:rPr>
          <w:spacing w:val="-5"/>
          <w:sz w:val="24"/>
        </w:rPr>
        <w:t>疑似結核病，但確定為卡介苗不良反應者，不需要施行胸部 </w:t>
      </w:r>
      <w:r>
        <w:rPr>
          <w:sz w:val="24"/>
        </w:rPr>
        <w:t>X</w:t>
      </w:r>
      <w:r>
        <w:rPr>
          <w:spacing w:val="2"/>
          <w:sz w:val="24"/>
        </w:rPr>
        <w:t> 光與痰液培養等細菌學檢驗。待排除結核病之後，再行銷案。</w:t>
      </w:r>
    </w:p>
    <w:p>
      <w:pPr>
        <w:pStyle w:val="ListParagraph"/>
        <w:numPr>
          <w:ilvl w:val="3"/>
          <w:numId w:val="106"/>
        </w:numPr>
        <w:tabs>
          <w:tab w:pos="926" w:val="left" w:leader="none"/>
        </w:tabs>
        <w:spacing w:line="405" w:lineRule="exact" w:before="0" w:after="0"/>
        <w:ind w:left="925" w:right="0" w:hanging="268"/>
        <w:jc w:val="both"/>
        <w:rPr>
          <w:sz w:val="24"/>
        </w:rPr>
      </w:pPr>
      <w:r>
        <w:rPr>
          <w:spacing w:val="3"/>
          <w:sz w:val="24"/>
        </w:rPr>
        <w:t>散播性感染：</w:t>
      </w:r>
    </w:p>
    <w:p>
      <w:pPr>
        <w:pStyle w:val="ListParagraph"/>
        <w:numPr>
          <w:ilvl w:val="1"/>
          <w:numId w:val="109"/>
        </w:numPr>
        <w:tabs>
          <w:tab w:pos="1410" w:val="left" w:leader="none"/>
        </w:tabs>
        <w:spacing w:line="414" w:lineRule="exact" w:before="0" w:after="0"/>
        <w:ind w:left="1409" w:right="0" w:hanging="488"/>
        <w:jc w:val="both"/>
        <w:rPr>
          <w:sz w:val="24"/>
        </w:rPr>
      </w:pPr>
      <w:r>
        <w:rPr>
          <w:spacing w:val="3"/>
          <w:sz w:val="24"/>
        </w:rPr>
        <w:t>發生率極低，大多發生於細胞性免疫功能低下病人，可考慮檢驗免疫功能。</w:t>
      </w:r>
    </w:p>
    <w:p>
      <w:pPr>
        <w:pStyle w:val="ListParagraph"/>
        <w:numPr>
          <w:ilvl w:val="1"/>
          <w:numId w:val="109"/>
        </w:numPr>
        <w:tabs>
          <w:tab w:pos="1410" w:val="left" w:leader="none"/>
        </w:tabs>
        <w:spacing w:line="414" w:lineRule="exact" w:before="0" w:after="0"/>
        <w:ind w:left="1409" w:right="0" w:hanging="488"/>
        <w:jc w:val="both"/>
        <w:rPr>
          <w:sz w:val="24"/>
        </w:rPr>
      </w:pPr>
      <w:r>
        <w:rPr>
          <w:spacing w:val="2"/>
          <w:sz w:val="24"/>
        </w:rPr>
        <w:t>免疫功能正常者也可能發生卡介苗肺外感染，尤以骨關節炎較常見。</w:t>
      </w:r>
    </w:p>
    <w:p>
      <w:pPr>
        <w:pStyle w:val="ListParagraph"/>
        <w:numPr>
          <w:ilvl w:val="1"/>
          <w:numId w:val="109"/>
        </w:numPr>
        <w:tabs>
          <w:tab w:pos="1410" w:val="left" w:leader="none"/>
        </w:tabs>
        <w:spacing w:line="225" w:lineRule="auto" w:before="5" w:after="0"/>
        <w:ind w:left="1409" w:right="1355" w:hanging="488"/>
        <w:jc w:val="both"/>
        <w:rPr>
          <w:sz w:val="24"/>
        </w:rPr>
      </w:pPr>
      <w:r>
        <w:rPr>
          <w:spacing w:val="5"/>
          <w:sz w:val="24"/>
        </w:rPr>
        <w:t>未滿 </w:t>
      </w:r>
      <w:r>
        <w:rPr>
          <w:sz w:val="24"/>
        </w:rPr>
        <w:t>5</w:t>
      </w:r>
      <w:r>
        <w:rPr>
          <w:spacing w:val="4"/>
          <w:sz w:val="24"/>
        </w:rPr>
        <w:t> 歲通報結核病之病理檢體應施行耐酸性染色及結核分枝桿菌培養，培</w:t>
      </w:r>
      <w:r>
        <w:rPr>
          <w:spacing w:val="-1"/>
          <w:sz w:val="24"/>
        </w:rPr>
        <w:t>養陽性菌株或無法培養出菌株之病理檢體、病理報告，送至疾病管制署檢驗及</w:t>
      </w:r>
      <w:r>
        <w:rPr>
          <w:spacing w:val="3"/>
          <w:sz w:val="24"/>
        </w:rPr>
        <w:t>疫苗研製中心分枝桿菌實驗室進行卡介苗鑑定。</w:t>
      </w:r>
    </w:p>
    <w:p>
      <w:pPr>
        <w:pStyle w:val="ListParagraph"/>
        <w:numPr>
          <w:ilvl w:val="1"/>
          <w:numId w:val="109"/>
        </w:numPr>
        <w:tabs>
          <w:tab w:pos="1410" w:val="left" w:leader="none"/>
        </w:tabs>
        <w:spacing w:line="225" w:lineRule="auto" w:before="0" w:after="0"/>
        <w:ind w:left="1409" w:right="1356" w:hanging="488"/>
        <w:jc w:val="both"/>
        <w:rPr>
          <w:sz w:val="24"/>
        </w:rPr>
      </w:pPr>
      <w:r>
        <w:rPr>
          <w:spacing w:val="-5"/>
          <w:sz w:val="24"/>
        </w:rPr>
        <w:t>確定為卡介苗肺外感染病人，可用 </w:t>
      </w:r>
      <w:r>
        <w:rPr>
          <w:sz w:val="24"/>
        </w:rPr>
        <w:t>isoniazid</w:t>
      </w:r>
      <w:r>
        <w:rPr>
          <w:spacing w:val="8"/>
          <w:sz w:val="24"/>
        </w:rPr>
        <w:t> 與 </w:t>
      </w:r>
      <w:r>
        <w:rPr>
          <w:sz w:val="24"/>
        </w:rPr>
        <w:t>rifampicin</w:t>
      </w:r>
      <w:r>
        <w:rPr>
          <w:spacing w:val="3"/>
          <w:sz w:val="24"/>
        </w:rPr>
        <w:t>  治療  </w:t>
      </w:r>
      <w:r>
        <w:rPr>
          <w:sz w:val="24"/>
        </w:rPr>
        <w:t>9-12</w:t>
      </w:r>
      <w:r>
        <w:rPr>
          <w:spacing w:val="-26"/>
          <w:sz w:val="24"/>
        </w:rPr>
        <w:t> 個月。</w:t>
      </w:r>
      <w:r>
        <w:rPr>
          <w:spacing w:val="3"/>
          <w:sz w:val="24"/>
        </w:rPr>
        <w:t>若治療 </w:t>
      </w:r>
      <w:r>
        <w:rPr>
          <w:sz w:val="24"/>
        </w:rPr>
        <w:t>4-6</w:t>
      </w:r>
      <w:r>
        <w:rPr>
          <w:spacing w:val="-1"/>
          <w:sz w:val="24"/>
        </w:rPr>
        <w:t> 個月反應不佳，可考慮申請其他公費藥物進行治療(請參考指引第</w:t>
      </w:r>
      <w:r>
        <w:rPr>
          <w:spacing w:val="1"/>
          <w:sz w:val="24"/>
        </w:rPr>
        <w:t>六章)，須注意卡介苗菌株對 </w:t>
      </w:r>
      <w:r>
        <w:rPr>
          <w:sz w:val="24"/>
        </w:rPr>
        <w:t>pyrazinamide</w:t>
      </w:r>
      <w:r>
        <w:rPr>
          <w:spacing w:val="3"/>
          <w:sz w:val="24"/>
        </w:rPr>
        <w:t> 有抗藥性。</w:t>
      </w:r>
    </w:p>
    <w:p>
      <w:pPr>
        <w:pStyle w:val="ListParagraph"/>
        <w:numPr>
          <w:ilvl w:val="1"/>
          <w:numId w:val="109"/>
        </w:numPr>
        <w:tabs>
          <w:tab w:pos="1410" w:val="left" w:leader="none"/>
        </w:tabs>
        <w:spacing w:line="225" w:lineRule="auto" w:before="0" w:after="0"/>
        <w:ind w:left="1409" w:right="1358" w:hanging="488"/>
        <w:jc w:val="both"/>
        <w:rPr>
          <w:sz w:val="24"/>
        </w:rPr>
      </w:pPr>
      <w:r>
        <w:rPr>
          <w:spacing w:val="1"/>
          <w:sz w:val="24"/>
        </w:rPr>
        <w:t>疑似卡介苗骨髓炎建議以切片取得檢體確定診斷，</w:t>
      </w:r>
      <w:r>
        <w:rPr>
          <w:color w:val="FF0000"/>
          <w:spacing w:val="3"/>
          <w:sz w:val="24"/>
        </w:rPr>
        <w:t>宜避免</w:t>
      </w:r>
      <w:r>
        <w:rPr>
          <w:spacing w:val="3"/>
          <w:sz w:val="24"/>
        </w:rPr>
        <w:t>大規模移除病灶造成</w:t>
      </w:r>
      <w:r>
        <w:rPr>
          <w:color w:val="FF0000"/>
          <w:spacing w:val="3"/>
          <w:sz w:val="24"/>
        </w:rPr>
        <w:t>後遺症</w:t>
      </w:r>
      <w:r>
        <w:rPr>
          <w:spacing w:val="3"/>
          <w:sz w:val="24"/>
        </w:rPr>
        <w:t>，尤其脊椎病灶。</w:t>
      </w:r>
    </w:p>
    <w:p>
      <w:pPr>
        <w:pStyle w:val="Heading7"/>
        <w:numPr>
          <w:ilvl w:val="2"/>
          <w:numId w:val="106"/>
        </w:numPr>
        <w:tabs>
          <w:tab w:pos="922" w:val="left" w:leader="none"/>
        </w:tabs>
        <w:spacing w:line="428" w:lineRule="exact" w:before="166" w:after="0"/>
        <w:ind w:left="922" w:right="0" w:hanging="671"/>
        <w:jc w:val="both"/>
      </w:pPr>
      <w:bookmarkStart w:name="8.2.4 禁忌：" w:id="90"/>
      <w:bookmarkEnd w:id="90"/>
      <w:r>
        <w:rPr>
          <w:b w:val="0"/>
        </w:rPr>
      </w:r>
      <w:bookmarkStart w:name="8.2.4 禁忌：" w:id="91"/>
      <w:bookmarkEnd w:id="91"/>
      <w:r>
        <w:rPr>
          <w:spacing w:val="3"/>
        </w:rPr>
        <w:t>禁忌：</w:t>
      </w:r>
    </w:p>
    <w:p>
      <w:pPr>
        <w:pStyle w:val="ListParagraph"/>
        <w:numPr>
          <w:ilvl w:val="0"/>
          <w:numId w:val="110"/>
        </w:numPr>
        <w:tabs>
          <w:tab w:pos="914" w:val="left" w:leader="none"/>
        </w:tabs>
        <w:spacing w:line="414" w:lineRule="exact" w:before="0" w:after="0"/>
        <w:ind w:left="913" w:right="0" w:hanging="256"/>
        <w:jc w:val="left"/>
        <w:rPr>
          <w:sz w:val="24"/>
        </w:rPr>
      </w:pPr>
      <w:r>
        <w:rPr>
          <w:spacing w:val="2"/>
          <w:sz w:val="24"/>
        </w:rPr>
        <w:t>接種本疫苗或對本疫苗任何成分曾發生嚴重過敏反應者。</w:t>
      </w:r>
    </w:p>
    <w:p>
      <w:pPr>
        <w:pStyle w:val="ListParagraph"/>
        <w:numPr>
          <w:ilvl w:val="0"/>
          <w:numId w:val="110"/>
        </w:numPr>
        <w:tabs>
          <w:tab w:pos="914" w:val="left" w:leader="none"/>
        </w:tabs>
        <w:spacing w:line="414" w:lineRule="exact" w:before="0" w:after="0"/>
        <w:ind w:left="913" w:right="0" w:hanging="256"/>
        <w:jc w:val="left"/>
        <w:rPr>
          <w:sz w:val="24"/>
        </w:rPr>
      </w:pPr>
      <w:r>
        <w:rPr>
          <w:spacing w:val="2"/>
          <w:sz w:val="24"/>
        </w:rPr>
        <w:t>嚴重濕疹與有明顯皮膚缺損的皮膚病。</w:t>
      </w:r>
    </w:p>
    <w:p>
      <w:pPr>
        <w:pStyle w:val="ListParagraph"/>
        <w:numPr>
          <w:ilvl w:val="0"/>
          <w:numId w:val="110"/>
        </w:numPr>
        <w:tabs>
          <w:tab w:pos="914" w:val="left" w:leader="none"/>
        </w:tabs>
        <w:spacing w:line="414" w:lineRule="exact" w:before="0" w:after="0"/>
        <w:ind w:left="913" w:right="0" w:hanging="256"/>
        <w:jc w:val="left"/>
        <w:rPr>
          <w:sz w:val="24"/>
        </w:rPr>
      </w:pPr>
      <w:r>
        <w:rPr>
          <w:spacing w:val="2"/>
          <w:sz w:val="24"/>
        </w:rPr>
        <w:t>免疫功能不全。</w:t>
      </w:r>
    </w:p>
    <w:p>
      <w:pPr>
        <w:pStyle w:val="ListParagraph"/>
        <w:numPr>
          <w:ilvl w:val="0"/>
          <w:numId w:val="110"/>
        </w:numPr>
        <w:tabs>
          <w:tab w:pos="914" w:val="left" w:leader="none"/>
        </w:tabs>
        <w:spacing w:line="414" w:lineRule="exact" w:before="0" w:after="0"/>
        <w:ind w:left="913" w:right="0" w:hanging="256"/>
        <w:jc w:val="left"/>
        <w:rPr>
          <w:sz w:val="24"/>
        </w:rPr>
      </w:pPr>
      <w:r>
        <w:rPr>
          <w:spacing w:val="2"/>
          <w:sz w:val="24"/>
        </w:rPr>
        <w:t>人類免疫不全病毒感染者，無論是否有症狀。</w:t>
      </w:r>
    </w:p>
    <w:p>
      <w:pPr>
        <w:pStyle w:val="ListParagraph"/>
        <w:numPr>
          <w:ilvl w:val="0"/>
          <w:numId w:val="110"/>
        </w:numPr>
        <w:tabs>
          <w:tab w:pos="914" w:val="left" w:leader="none"/>
        </w:tabs>
        <w:spacing w:line="428" w:lineRule="exact" w:before="0" w:after="0"/>
        <w:ind w:left="913" w:right="0" w:hanging="256"/>
        <w:jc w:val="left"/>
        <w:rPr>
          <w:sz w:val="24"/>
        </w:rPr>
      </w:pPr>
      <w:r>
        <w:rPr>
          <w:spacing w:val="3"/>
          <w:sz w:val="24"/>
        </w:rPr>
        <w:t>孕婦。</w:t>
      </w:r>
    </w:p>
    <w:p>
      <w:pPr>
        <w:pStyle w:val="Heading7"/>
        <w:numPr>
          <w:ilvl w:val="2"/>
          <w:numId w:val="106"/>
        </w:numPr>
        <w:tabs>
          <w:tab w:pos="922" w:val="left" w:leader="none"/>
        </w:tabs>
        <w:spacing w:line="428" w:lineRule="exact" w:before="165" w:after="0"/>
        <w:ind w:left="922" w:right="0" w:hanging="671"/>
        <w:jc w:val="left"/>
      </w:pPr>
      <w:bookmarkStart w:name="8.2.5 注意事項：" w:id="92"/>
      <w:bookmarkEnd w:id="92"/>
      <w:r>
        <w:rPr>
          <w:b w:val="0"/>
        </w:rPr>
      </w:r>
      <w:bookmarkStart w:name="8.2.5 注意事項：" w:id="93"/>
      <w:bookmarkEnd w:id="93"/>
      <w:r>
        <w:rPr>
          <w:spacing w:val="2"/>
        </w:rPr>
        <w:t>注意事項：</w:t>
      </w:r>
    </w:p>
    <w:p>
      <w:pPr>
        <w:pStyle w:val="ListParagraph"/>
        <w:numPr>
          <w:ilvl w:val="0"/>
          <w:numId w:val="111"/>
        </w:numPr>
        <w:tabs>
          <w:tab w:pos="926" w:val="left" w:leader="none"/>
        </w:tabs>
        <w:spacing w:line="414" w:lineRule="exact" w:before="0" w:after="0"/>
        <w:ind w:left="925" w:right="0" w:hanging="268"/>
        <w:jc w:val="left"/>
        <w:rPr>
          <w:sz w:val="24"/>
        </w:rPr>
      </w:pPr>
      <w:r>
        <w:rPr>
          <w:spacing w:val="3"/>
          <w:sz w:val="24"/>
        </w:rPr>
        <w:t>疑似結核病人及疑似被結核分枝桿菌感染者，勿直接接種卡介苗。</w:t>
      </w:r>
    </w:p>
    <w:p>
      <w:pPr>
        <w:pStyle w:val="ListParagraph"/>
        <w:numPr>
          <w:ilvl w:val="0"/>
          <w:numId w:val="111"/>
        </w:numPr>
        <w:tabs>
          <w:tab w:pos="926" w:val="left" w:leader="none"/>
        </w:tabs>
        <w:spacing w:line="414" w:lineRule="exact" w:before="0" w:after="0"/>
        <w:ind w:left="925" w:right="0" w:hanging="268"/>
        <w:jc w:val="left"/>
        <w:rPr>
          <w:sz w:val="24"/>
        </w:rPr>
      </w:pPr>
      <w:r>
        <w:rPr>
          <w:spacing w:val="2"/>
          <w:sz w:val="24"/>
        </w:rPr>
        <w:t>發燒或正患有急性中重度疾病者，待病情穩定後再接種。</w:t>
      </w:r>
    </w:p>
    <w:p>
      <w:pPr>
        <w:pStyle w:val="ListParagraph"/>
        <w:numPr>
          <w:ilvl w:val="0"/>
          <w:numId w:val="111"/>
        </w:numPr>
        <w:tabs>
          <w:tab w:pos="926" w:val="left" w:leader="none"/>
        </w:tabs>
        <w:spacing w:line="414" w:lineRule="exact" w:before="0" w:after="0"/>
        <w:ind w:left="925" w:right="0" w:hanging="268"/>
        <w:jc w:val="left"/>
        <w:rPr>
          <w:sz w:val="24"/>
        </w:rPr>
      </w:pPr>
      <w:r>
        <w:rPr>
          <w:spacing w:val="3"/>
          <w:sz w:val="24"/>
        </w:rPr>
        <w:t>麻疹及水痘感染，宜待復原期</w:t>
      </w:r>
      <w:r>
        <w:rPr>
          <w:sz w:val="24"/>
        </w:rPr>
        <w:t>（6</w:t>
      </w:r>
      <w:r>
        <w:rPr>
          <w:spacing w:val="3"/>
          <w:sz w:val="24"/>
        </w:rPr>
        <w:t> 週）</w:t>
      </w:r>
      <w:r>
        <w:rPr>
          <w:spacing w:val="2"/>
          <w:sz w:val="24"/>
        </w:rPr>
        <w:t>後再接種。</w:t>
      </w:r>
    </w:p>
    <w:p>
      <w:pPr>
        <w:pStyle w:val="ListParagraph"/>
        <w:numPr>
          <w:ilvl w:val="0"/>
          <w:numId w:val="111"/>
        </w:numPr>
        <w:tabs>
          <w:tab w:pos="926" w:val="left" w:leader="none"/>
        </w:tabs>
        <w:spacing w:line="225" w:lineRule="auto" w:before="5" w:after="0"/>
        <w:ind w:left="925" w:right="1357" w:hanging="268"/>
        <w:jc w:val="left"/>
        <w:rPr>
          <w:sz w:val="24"/>
        </w:rPr>
      </w:pPr>
      <w:r>
        <w:rPr>
          <w:spacing w:val="1"/>
          <w:sz w:val="24"/>
        </w:rPr>
        <w:t>請父母確認父母雙方家人沒有疑似先天性免疫不全疾病之家族史，例如幼年因嚴重</w:t>
      </w:r>
      <w:r>
        <w:rPr>
          <w:spacing w:val="2"/>
          <w:sz w:val="24"/>
        </w:rPr>
        <w:t>感染死亡。</w:t>
      </w:r>
    </w:p>
    <w:p>
      <w:pPr>
        <w:pStyle w:val="ListParagraph"/>
        <w:numPr>
          <w:ilvl w:val="0"/>
          <w:numId w:val="111"/>
        </w:numPr>
        <w:tabs>
          <w:tab w:pos="926" w:val="left" w:leader="none"/>
        </w:tabs>
        <w:spacing w:line="407" w:lineRule="exact" w:before="0" w:after="0"/>
        <w:ind w:left="925" w:right="0" w:hanging="268"/>
        <w:jc w:val="left"/>
        <w:rPr>
          <w:sz w:val="24"/>
        </w:rPr>
      </w:pPr>
      <w:r>
        <w:rPr>
          <w:spacing w:val="2"/>
          <w:sz w:val="24"/>
        </w:rPr>
        <w:t>母親為愛滋病毒感染者，其嬰幼兒應待追蹤滿 </w:t>
      </w:r>
      <w:r>
        <w:rPr>
          <w:sz w:val="24"/>
        </w:rPr>
        <w:t>4</w:t>
      </w:r>
      <w:r>
        <w:rPr>
          <w:spacing w:val="2"/>
          <w:sz w:val="24"/>
        </w:rPr>
        <w:t> 個月確定未受感染後再接種。</w:t>
      </w:r>
    </w:p>
    <w:p>
      <w:pPr>
        <w:pStyle w:val="ListParagraph"/>
        <w:numPr>
          <w:ilvl w:val="0"/>
          <w:numId w:val="111"/>
        </w:numPr>
        <w:tabs>
          <w:tab w:pos="926" w:val="left" w:leader="none"/>
        </w:tabs>
        <w:spacing w:line="428" w:lineRule="exact" w:before="0" w:after="0"/>
        <w:ind w:left="925" w:right="0" w:hanging="268"/>
        <w:jc w:val="left"/>
        <w:rPr>
          <w:sz w:val="24"/>
        </w:rPr>
      </w:pPr>
      <w:r>
        <w:rPr>
          <w:spacing w:val="2"/>
          <w:sz w:val="24"/>
        </w:rPr>
        <w:t>提早接種之嬰兒體重應達 </w:t>
      </w:r>
      <w:r>
        <w:rPr>
          <w:sz w:val="24"/>
        </w:rPr>
        <w:t>2,500</w:t>
      </w:r>
      <w:r>
        <w:rPr>
          <w:spacing w:val="2"/>
          <w:sz w:val="24"/>
        </w:rPr>
        <w:t> 公克以上。</w:t>
      </w:r>
    </w:p>
    <w:p>
      <w:pPr>
        <w:spacing w:after="0" w:line="428" w:lineRule="exact"/>
        <w:jc w:val="left"/>
        <w:rPr>
          <w:sz w:val="24"/>
        </w:rPr>
        <w:sectPr>
          <w:pgSz w:w="12250" w:h="17190"/>
          <w:pgMar w:header="0" w:footer="828" w:top="1460" w:bottom="1020" w:left="1220" w:right="0"/>
        </w:sectPr>
      </w:pPr>
    </w:p>
    <w:p>
      <w:pPr>
        <w:pStyle w:val="Heading6"/>
        <w:numPr>
          <w:ilvl w:val="1"/>
          <w:numId w:val="105"/>
        </w:numPr>
        <w:tabs>
          <w:tab w:pos="649" w:val="left" w:leader="none"/>
        </w:tabs>
        <w:spacing w:line="240" w:lineRule="auto" w:before="16" w:after="0"/>
        <w:ind w:left="648" w:right="0" w:hanging="509"/>
        <w:jc w:val="left"/>
      </w:pPr>
      <w:r>
        <w:rPr/>
        <w:pict>
          <v:group style="position:absolute;margin-left:570pt;margin-top:.595655pt;width:42.4pt;height:152.2pt;mso-position-horizontal-relative:page;mso-position-vertical-relative:paragraph;z-index:251822080" coordorigin="11400,12" coordsize="848,3044">
            <v:shape style="position:absolute;left:11400;top:11;width:848;height:3044" coordorigin="11400,12" coordsize="848,3044" path="m12227,12l11565,12,11501,25,11448,60,11413,113,11400,177,11400,2891,11413,2955,11448,3007,11501,3043,11565,3056,12227,3056,12247,3052,12247,16,12227,12xe" filled="true" fillcolor="#a6a6a6" stroked="false">
              <v:path arrowok="t"/>
              <v:fill type="solid"/>
            </v:shape>
            <v:shape style="position:absolute;left:11400;top:11;width:848;height:3044" type="#_x0000_t202" filled="false" stroked="false">
              <v:textbox inset="0,0,0,0">
                <w:txbxContent>
                  <w:p>
                    <w:pPr>
                      <w:spacing w:line="146" w:lineRule="auto" w:before="127"/>
                      <w:ind w:left="136" w:right="488" w:firstLine="0"/>
                      <w:jc w:val="both"/>
                      <w:rPr>
                        <w:sz w:val="22"/>
                      </w:rPr>
                    </w:pPr>
                    <w:r>
                      <w:rPr>
                        <w:sz w:val="22"/>
                      </w:rPr>
                      <w:t>第八章</w:t>
                    </w:r>
                  </w:p>
                  <w:p>
                    <w:pPr>
                      <w:spacing w:line="141" w:lineRule="auto" w:before="175"/>
                      <w:ind w:left="136" w:right="488" w:firstLine="0"/>
                      <w:jc w:val="both"/>
                      <w:rPr>
                        <w:sz w:val="22"/>
                      </w:rPr>
                    </w:pPr>
                    <w:r>
                      <w:rPr>
                        <w:sz w:val="22"/>
                      </w:rPr>
                      <w:t>兒童結核病之診療</w:t>
                    </w:r>
                  </w:p>
                </w:txbxContent>
              </v:textbox>
              <w10:wrap type="none"/>
            </v:shape>
            <w10:wrap type="none"/>
          </v:group>
        </w:pict>
      </w:r>
      <w:r>
        <w:rPr>
          <w:spacing w:val="1"/>
        </w:rPr>
        <w:t>結核菌素皮膚測驗 (</w:t>
      </w:r>
      <w:r>
        <w:rPr/>
        <w:t>Tuberculin</w:t>
      </w:r>
      <w:r>
        <w:rPr>
          <w:spacing w:val="4"/>
        </w:rPr>
        <w:t> </w:t>
      </w:r>
      <w:r>
        <w:rPr/>
        <w:t>skin</w:t>
      </w:r>
      <w:r>
        <w:rPr>
          <w:spacing w:val="5"/>
        </w:rPr>
        <w:t> </w:t>
      </w:r>
      <w:r>
        <w:rPr/>
        <w:t>test)</w:t>
      </w:r>
    </w:p>
    <w:p>
      <w:pPr>
        <w:pStyle w:val="ListParagraph"/>
        <w:numPr>
          <w:ilvl w:val="2"/>
          <w:numId w:val="105"/>
        </w:numPr>
        <w:tabs>
          <w:tab w:pos="661" w:val="left" w:leader="none"/>
        </w:tabs>
        <w:spacing w:line="225" w:lineRule="auto" w:before="28" w:after="0"/>
        <w:ind w:left="660" w:right="1361" w:hanging="366"/>
        <w:jc w:val="left"/>
        <w:rPr>
          <w:sz w:val="24"/>
        </w:rPr>
      </w:pPr>
      <w:r>
        <w:rPr>
          <w:spacing w:val="2"/>
          <w:sz w:val="24"/>
        </w:rPr>
        <w:t>一般在結核分枝桿菌自然感染或接種卡介苗之後 </w:t>
      </w:r>
      <w:r>
        <w:rPr>
          <w:sz w:val="24"/>
        </w:rPr>
        <w:t>2-10</w:t>
      </w:r>
      <w:r>
        <w:rPr>
          <w:spacing w:val="-3"/>
          <w:sz w:val="24"/>
        </w:rPr>
        <w:t> 週結核菌素測驗出現反應，臺</w:t>
      </w:r>
      <w:r>
        <w:rPr>
          <w:spacing w:val="6"/>
          <w:sz w:val="24"/>
        </w:rPr>
        <w:t>灣採用 </w:t>
      </w:r>
      <w:r>
        <w:rPr>
          <w:sz w:val="24"/>
        </w:rPr>
        <w:t>PPD</w:t>
      </w:r>
      <w:r>
        <w:rPr>
          <w:spacing w:val="5"/>
          <w:sz w:val="24"/>
        </w:rPr>
        <w:t> (</w:t>
      </w:r>
      <w:r>
        <w:rPr>
          <w:sz w:val="24"/>
        </w:rPr>
        <w:t>purified</w:t>
      </w:r>
      <w:r>
        <w:rPr>
          <w:spacing w:val="9"/>
          <w:sz w:val="24"/>
        </w:rPr>
        <w:t> </w:t>
      </w:r>
      <w:r>
        <w:rPr>
          <w:sz w:val="24"/>
        </w:rPr>
        <w:t>protein</w:t>
      </w:r>
      <w:r>
        <w:rPr>
          <w:spacing w:val="9"/>
          <w:sz w:val="24"/>
        </w:rPr>
        <w:t> </w:t>
      </w:r>
      <w:r>
        <w:rPr>
          <w:sz w:val="24"/>
        </w:rPr>
        <w:t>derivative</w:t>
      </w:r>
      <w:r>
        <w:rPr>
          <w:spacing w:val="4"/>
          <w:sz w:val="24"/>
        </w:rPr>
        <w:t>) </w:t>
      </w:r>
      <w:r>
        <w:rPr>
          <w:sz w:val="24"/>
        </w:rPr>
        <w:t>RT23</w:t>
      </w:r>
      <w:r>
        <w:rPr>
          <w:spacing w:val="3"/>
          <w:sz w:val="24"/>
        </w:rPr>
        <w:t>，接種劑量為 </w:t>
      </w:r>
      <w:r>
        <w:rPr>
          <w:sz w:val="24"/>
        </w:rPr>
        <w:t>2</w:t>
      </w:r>
      <w:r>
        <w:rPr>
          <w:spacing w:val="9"/>
          <w:sz w:val="24"/>
        </w:rPr>
        <w:t> </w:t>
      </w:r>
      <w:r>
        <w:rPr>
          <w:sz w:val="24"/>
        </w:rPr>
        <w:t>tuberculin</w:t>
      </w:r>
      <w:r>
        <w:rPr>
          <w:spacing w:val="9"/>
          <w:sz w:val="24"/>
        </w:rPr>
        <w:t> </w:t>
      </w:r>
      <w:r>
        <w:rPr>
          <w:sz w:val="24"/>
        </w:rPr>
        <w:t>units。</w:t>
      </w:r>
    </w:p>
    <w:p>
      <w:pPr>
        <w:pStyle w:val="ListParagraph"/>
        <w:numPr>
          <w:ilvl w:val="2"/>
          <w:numId w:val="105"/>
        </w:numPr>
        <w:tabs>
          <w:tab w:pos="661" w:val="left" w:leader="none"/>
        </w:tabs>
        <w:spacing w:line="225" w:lineRule="auto" w:before="4" w:after="0"/>
        <w:ind w:left="660" w:right="1361" w:hanging="366"/>
        <w:jc w:val="left"/>
        <w:rPr>
          <w:sz w:val="24"/>
        </w:rPr>
      </w:pPr>
      <w:r>
        <w:rPr>
          <w:spacing w:val="-1"/>
          <w:sz w:val="24"/>
        </w:rPr>
        <w:t>需要接受免疫抑制治療之兒童，應於治療開始前做結核菌素測驗，包括長期接受類固</w:t>
      </w:r>
      <w:r>
        <w:rPr>
          <w:spacing w:val="3"/>
          <w:sz w:val="24"/>
        </w:rPr>
        <w:t>醇治療在內。</w:t>
      </w:r>
    </w:p>
    <w:p>
      <w:pPr>
        <w:pStyle w:val="ListParagraph"/>
        <w:numPr>
          <w:ilvl w:val="2"/>
          <w:numId w:val="105"/>
        </w:numPr>
        <w:tabs>
          <w:tab w:pos="661" w:val="left" w:leader="none"/>
        </w:tabs>
        <w:spacing w:line="414" w:lineRule="exact" w:before="0" w:after="0"/>
        <w:ind w:left="660" w:right="0" w:hanging="367"/>
        <w:jc w:val="left"/>
        <w:rPr>
          <w:sz w:val="24"/>
        </w:rPr>
      </w:pPr>
      <w:r>
        <w:rPr>
          <w:spacing w:val="2"/>
          <w:sz w:val="24"/>
        </w:rPr>
        <w:t>判讀時間：注射後 </w:t>
      </w:r>
      <w:r>
        <w:rPr>
          <w:sz w:val="24"/>
        </w:rPr>
        <w:t>48</w:t>
      </w:r>
      <w:r>
        <w:rPr>
          <w:spacing w:val="2"/>
          <w:sz w:val="24"/>
        </w:rPr>
        <w:t> - </w:t>
      </w:r>
      <w:r>
        <w:rPr>
          <w:sz w:val="24"/>
        </w:rPr>
        <w:t>72</w:t>
      </w:r>
      <w:r>
        <w:rPr>
          <w:spacing w:val="3"/>
          <w:sz w:val="24"/>
        </w:rPr>
        <w:t> 小時。</w:t>
      </w:r>
    </w:p>
    <w:p>
      <w:pPr>
        <w:pStyle w:val="ListParagraph"/>
        <w:numPr>
          <w:ilvl w:val="2"/>
          <w:numId w:val="105"/>
        </w:numPr>
        <w:tabs>
          <w:tab w:pos="661" w:val="left" w:leader="none"/>
        </w:tabs>
        <w:spacing w:line="417" w:lineRule="exact" w:before="0" w:after="0"/>
        <w:ind w:left="660" w:right="0" w:hanging="367"/>
        <w:jc w:val="left"/>
        <w:rPr>
          <w:sz w:val="24"/>
        </w:rPr>
      </w:pPr>
      <w:r>
        <w:rPr>
          <w:spacing w:val="2"/>
          <w:sz w:val="24"/>
        </w:rPr>
        <w:t>判讀方法：</w:t>
      </w:r>
    </w:p>
    <w:p>
      <w:pPr>
        <w:pStyle w:val="ListParagraph"/>
        <w:numPr>
          <w:ilvl w:val="3"/>
          <w:numId w:val="105"/>
        </w:numPr>
        <w:tabs>
          <w:tab w:pos="1147" w:val="left" w:leader="none"/>
        </w:tabs>
        <w:spacing w:line="417" w:lineRule="exact" w:before="0" w:after="0"/>
        <w:ind w:left="1146" w:right="0" w:hanging="490"/>
        <w:jc w:val="left"/>
        <w:rPr>
          <w:sz w:val="24"/>
        </w:rPr>
      </w:pPr>
      <w:r>
        <w:rPr>
          <w:spacing w:val="2"/>
          <w:sz w:val="24"/>
        </w:rPr>
        <w:t>與前臂長徑垂直之方向測量反應硬結之橫徑。</w:t>
      </w:r>
    </w:p>
    <w:p>
      <w:pPr>
        <w:pStyle w:val="ListParagraph"/>
        <w:numPr>
          <w:ilvl w:val="3"/>
          <w:numId w:val="105"/>
        </w:numPr>
        <w:tabs>
          <w:tab w:pos="1147" w:val="left" w:leader="none"/>
        </w:tabs>
        <w:spacing w:line="417" w:lineRule="exact" w:before="0" w:after="0"/>
        <w:ind w:left="1146" w:right="0" w:hanging="490"/>
        <w:jc w:val="left"/>
        <w:rPr>
          <w:sz w:val="24"/>
        </w:rPr>
      </w:pPr>
      <w:r>
        <w:rPr>
          <w:spacing w:val="2"/>
          <w:sz w:val="24"/>
        </w:rPr>
        <w:t>結核菌素測驗陽性之定義：</w:t>
      </w:r>
    </w:p>
    <w:p>
      <w:pPr>
        <w:pStyle w:val="ListParagraph"/>
        <w:numPr>
          <w:ilvl w:val="4"/>
          <w:numId w:val="105"/>
        </w:numPr>
        <w:tabs>
          <w:tab w:pos="1502" w:val="left" w:leader="none"/>
        </w:tabs>
        <w:spacing w:line="225" w:lineRule="auto" w:before="8" w:after="0"/>
        <w:ind w:left="1501" w:right="1357" w:hanging="398"/>
        <w:jc w:val="both"/>
        <w:rPr>
          <w:sz w:val="24"/>
        </w:rPr>
      </w:pPr>
      <w:r>
        <w:rPr>
          <w:rFonts w:ascii="Arial" w:hAnsi="Arial" w:eastAsia="Arial"/>
          <w:spacing w:val="2"/>
          <w:sz w:val="24"/>
        </w:rPr>
        <w:t>≥ </w:t>
      </w:r>
      <w:r>
        <w:rPr>
          <w:sz w:val="24"/>
        </w:rPr>
        <w:t>5</w:t>
      </w:r>
      <w:r>
        <w:rPr>
          <w:spacing w:val="-8"/>
          <w:sz w:val="24"/>
        </w:rPr>
        <w:t> </w:t>
      </w:r>
      <w:r>
        <w:rPr>
          <w:spacing w:val="2"/>
          <w:sz w:val="24"/>
        </w:rPr>
        <w:t>mm</w:t>
      </w:r>
      <w:r>
        <w:rPr>
          <w:spacing w:val="3"/>
          <w:sz w:val="24"/>
        </w:rPr>
        <w:t>：人類免疫不全病毒感染、癌症、器官移植與其他免疫功能不全病人</w:t>
      </w:r>
      <w:r>
        <w:rPr>
          <w:color w:val="FF0000"/>
          <w:spacing w:val="2"/>
          <w:sz w:val="24"/>
        </w:rPr>
        <w:t>(包括類固醇治療劑量相當於 </w:t>
      </w:r>
      <w:r>
        <w:rPr>
          <w:color w:val="FF0000"/>
          <w:sz w:val="24"/>
        </w:rPr>
        <w:t>15</w:t>
      </w:r>
      <w:r>
        <w:rPr>
          <w:color w:val="FF0000"/>
          <w:spacing w:val="39"/>
          <w:sz w:val="24"/>
        </w:rPr>
        <w:t> </w:t>
      </w:r>
      <w:r>
        <w:rPr>
          <w:color w:val="FF0000"/>
          <w:sz w:val="24"/>
        </w:rPr>
        <w:t>mg/day</w:t>
      </w:r>
      <w:r>
        <w:rPr>
          <w:color w:val="FF0000"/>
          <w:spacing w:val="40"/>
          <w:sz w:val="24"/>
        </w:rPr>
        <w:t> </w:t>
      </w:r>
      <w:r>
        <w:rPr>
          <w:color w:val="FF0000"/>
          <w:sz w:val="24"/>
        </w:rPr>
        <w:t>prednisolone</w:t>
      </w:r>
      <w:r>
        <w:rPr>
          <w:color w:val="FF0000"/>
          <w:spacing w:val="2"/>
          <w:sz w:val="24"/>
        </w:rPr>
        <w:t> 以上超過一個月)</w:t>
      </w:r>
      <w:r>
        <w:rPr>
          <w:sz w:val="24"/>
        </w:rPr>
        <w:t>、</w:t>
      </w:r>
      <w:r>
        <w:rPr>
          <w:spacing w:val="3"/>
          <w:sz w:val="24"/>
        </w:rPr>
        <w:t>或未曾接種卡介苗。</w:t>
      </w:r>
    </w:p>
    <w:p>
      <w:pPr>
        <w:pStyle w:val="ListParagraph"/>
        <w:numPr>
          <w:ilvl w:val="4"/>
          <w:numId w:val="105"/>
        </w:numPr>
        <w:tabs>
          <w:tab w:pos="1502" w:val="left" w:leader="none"/>
        </w:tabs>
        <w:spacing w:line="228" w:lineRule="auto" w:before="2" w:after="0"/>
        <w:ind w:left="1501" w:right="1358" w:hanging="398"/>
        <w:jc w:val="both"/>
        <w:rPr>
          <w:sz w:val="24"/>
        </w:rPr>
      </w:pPr>
      <w:r>
        <w:rPr>
          <w:rFonts w:ascii="Arial" w:hAnsi="Arial" w:eastAsia="Arial"/>
          <w:spacing w:val="-9"/>
          <w:sz w:val="24"/>
        </w:rPr>
        <w:t>≥ </w:t>
      </w:r>
      <w:r>
        <w:rPr>
          <w:sz w:val="24"/>
        </w:rPr>
        <w:t>10</w:t>
      </w:r>
      <w:r>
        <w:rPr>
          <w:spacing w:val="-11"/>
          <w:sz w:val="24"/>
        </w:rPr>
        <w:t> </w:t>
      </w:r>
      <w:r>
        <w:rPr>
          <w:sz w:val="24"/>
        </w:rPr>
        <w:t>mm</w:t>
      </w:r>
      <w:r>
        <w:rPr>
          <w:spacing w:val="-4"/>
          <w:sz w:val="24"/>
        </w:rPr>
        <w:t>：&gt; </w:t>
      </w:r>
      <w:r>
        <w:rPr>
          <w:sz w:val="24"/>
        </w:rPr>
        <w:t>6 歲兒童且與最近卡介苗注射時間間隔 &gt; 6</w:t>
      </w:r>
      <w:r>
        <w:rPr>
          <w:spacing w:val="3"/>
          <w:sz w:val="24"/>
        </w:rPr>
        <w:t> 年、或具有如下述</w:t>
      </w:r>
      <w:r>
        <w:rPr>
          <w:spacing w:val="2"/>
          <w:sz w:val="24"/>
        </w:rPr>
        <w:t>罹患結核病之危險因素者。</w:t>
      </w:r>
    </w:p>
    <w:p>
      <w:pPr>
        <w:pStyle w:val="ListParagraph"/>
        <w:numPr>
          <w:ilvl w:val="5"/>
          <w:numId w:val="105"/>
        </w:numPr>
        <w:tabs>
          <w:tab w:pos="1870" w:val="left" w:leader="none"/>
        </w:tabs>
        <w:spacing w:line="228" w:lineRule="auto" w:before="0" w:after="0"/>
        <w:ind w:left="1869" w:right="1351" w:hanging="341"/>
        <w:jc w:val="left"/>
        <w:rPr>
          <w:sz w:val="24"/>
        </w:rPr>
      </w:pPr>
      <w:r>
        <w:rPr>
          <w:spacing w:val="10"/>
          <w:sz w:val="24"/>
        </w:rPr>
        <w:t>免疫功能正常而有結核病家族接觸史或經其他接觸者調查由衛生單位認</w:t>
      </w:r>
      <w:r>
        <w:rPr>
          <w:spacing w:val="3"/>
          <w:sz w:val="24"/>
        </w:rPr>
        <w:t>定有感染之虞者。</w:t>
      </w:r>
    </w:p>
    <w:p>
      <w:pPr>
        <w:pStyle w:val="ListParagraph"/>
        <w:numPr>
          <w:ilvl w:val="5"/>
          <w:numId w:val="105"/>
        </w:numPr>
        <w:tabs>
          <w:tab w:pos="1870" w:val="left" w:leader="none"/>
        </w:tabs>
        <w:spacing w:line="409" w:lineRule="exact" w:before="0" w:after="0"/>
        <w:ind w:left="1870" w:right="0" w:hanging="341"/>
        <w:jc w:val="left"/>
        <w:rPr>
          <w:sz w:val="24"/>
        </w:rPr>
      </w:pPr>
      <w:r>
        <w:rPr>
          <w:spacing w:val="3"/>
          <w:sz w:val="24"/>
        </w:rPr>
        <w:t>糖尿病、慢性腎衰竭、胃部切除、小腸繞道手術等結核感染高危險因素。</w:t>
      </w:r>
    </w:p>
    <w:p>
      <w:pPr>
        <w:pStyle w:val="ListParagraph"/>
        <w:numPr>
          <w:ilvl w:val="5"/>
          <w:numId w:val="105"/>
        </w:numPr>
        <w:tabs>
          <w:tab w:pos="1870" w:val="left" w:leader="none"/>
        </w:tabs>
        <w:spacing w:line="417" w:lineRule="exact" w:before="0" w:after="0"/>
        <w:ind w:left="1870" w:right="0" w:hanging="341"/>
        <w:jc w:val="left"/>
        <w:rPr>
          <w:sz w:val="24"/>
        </w:rPr>
      </w:pPr>
      <w:r>
        <w:rPr>
          <w:spacing w:val="2"/>
          <w:sz w:val="24"/>
        </w:rPr>
        <w:t>生長遲滯、營養不良。</w:t>
      </w:r>
    </w:p>
    <w:p>
      <w:pPr>
        <w:pStyle w:val="ListParagraph"/>
        <w:numPr>
          <w:ilvl w:val="5"/>
          <w:numId w:val="105"/>
        </w:numPr>
        <w:tabs>
          <w:tab w:pos="1870" w:val="left" w:leader="none"/>
        </w:tabs>
        <w:spacing w:line="417" w:lineRule="exact" w:before="0" w:after="0"/>
        <w:ind w:left="1870" w:right="0" w:hanging="341"/>
        <w:jc w:val="left"/>
        <w:rPr>
          <w:sz w:val="24"/>
        </w:rPr>
      </w:pPr>
      <w:r>
        <w:rPr>
          <w:spacing w:val="3"/>
          <w:sz w:val="24"/>
        </w:rPr>
        <w:t>胸部 </w:t>
      </w:r>
      <w:r>
        <w:rPr>
          <w:sz w:val="24"/>
        </w:rPr>
        <w:t>X</w:t>
      </w:r>
      <w:r>
        <w:rPr>
          <w:spacing w:val="2"/>
          <w:sz w:val="24"/>
        </w:rPr>
        <w:t> 光有疑似肺結核感染之變化。</w:t>
      </w:r>
    </w:p>
    <w:p>
      <w:pPr>
        <w:pStyle w:val="ListParagraph"/>
        <w:numPr>
          <w:ilvl w:val="5"/>
          <w:numId w:val="105"/>
        </w:numPr>
        <w:tabs>
          <w:tab w:pos="1870" w:val="left" w:leader="none"/>
        </w:tabs>
        <w:spacing w:line="417" w:lineRule="exact" w:before="0" w:after="0"/>
        <w:ind w:left="1870" w:right="0" w:hanging="341"/>
        <w:jc w:val="left"/>
        <w:rPr>
          <w:sz w:val="24"/>
        </w:rPr>
      </w:pPr>
      <w:r>
        <w:rPr>
          <w:spacing w:val="2"/>
          <w:sz w:val="24"/>
        </w:rPr>
        <w:t>注射藥癮。</w:t>
      </w:r>
    </w:p>
    <w:p>
      <w:pPr>
        <w:pStyle w:val="ListParagraph"/>
        <w:numPr>
          <w:ilvl w:val="4"/>
          <w:numId w:val="105"/>
        </w:numPr>
        <w:tabs>
          <w:tab w:pos="1502" w:val="left" w:leader="none"/>
        </w:tabs>
        <w:spacing w:line="417" w:lineRule="exact" w:before="0" w:after="0"/>
        <w:ind w:left="1501" w:right="0" w:hanging="398"/>
        <w:jc w:val="left"/>
        <w:rPr>
          <w:sz w:val="24"/>
        </w:rPr>
      </w:pPr>
      <w:r>
        <w:rPr>
          <w:rFonts w:ascii="Arial" w:hAnsi="Arial" w:eastAsia="Arial"/>
          <w:spacing w:val="2"/>
          <w:sz w:val="24"/>
        </w:rPr>
        <w:t>≥ </w:t>
      </w:r>
      <w:r>
        <w:rPr>
          <w:sz w:val="24"/>
        </w:rPr>
        <w:t>15</w:t>
      </w:r>
      <w:r>
        <w:rPr>
          <w:spacing w:val="12"/>
          <w:sz w:val="24"/>
        </w:rPr>
        <w:t> </w:t>
      </w:r>
      <w:r>
        <w:rPr>
          <w:spacing w:val="2"/>
          <w:sz w:val="24"/>
        </w:rPr>
        <w:t>mm</w:t>
      </w:r>
      <w:r>
        <w:rPr>
          <w:spacing w:val="1"/>
          <w:sz w:val="24"/>
        </w:rPr>
        <w:t>：曾經接種卡介苗，並且 </w:t>
      </w:r>
      <w:r>
        <w:rPr>
          <w:rFonts w:ascii="Arial" w:hAnsi="Arial" w:eastAsia="Arial"/>
          <w:spacing w:val="2"/>
          <w:sz w:val="24"/>
        </w:rPr>
        <w:t>≤ </w:t>
      </w:r>
      <w:r>
        <w:rPr>
          <w:sz w:val="24"/>
        </w:rPr>
        <w:t>6</w:t>
      </w:r>
      <w:r>
        <w:rPr>
          <w:spacing w:val="2"/>
          <w:sz w:val="24"/>
        </w:rPr>
        <w:t> 歲或與最近卡介苗注射時間間隔 </w:t>
      </w:r>
      <w:r>
        <w:rPr>
          <w:rFonts w:ascii="Arial" w:hAnsi="Arial" w:eastAsia="Arial"/>
          <w:spacing w:val="2"/>
          <w:sz w:val="24"/>
        </w:rPr>
        <w:t>≤ </w:t>
      </w:r>
      <w:r>
        <w:rPr>
          <w:sz w:val="24"/>
        </w:rPr>
        <w:t>6</w:t>
      </w:r>
    </w:p>
    <w:p>
      <w:pPr>
        <w:pStyle w:val="BodyText"/>
        <w:spacing w:line="429" w:lineRule="exact"/>
        <w:ind w:left="1501"/>
      </w:pPr>
      <w:r>
        <w:rPr/>
        <w:t>年，並且不具有罹患結核病之危險因素 (如前項所述)。</w:t>
      </w:r>
    </w:p>
    <w:p>
      <w:pPr>
        <w:pStyle w:val="BodyText"/>
        <w:spacing w:before="7"/>
        <w:rPr>
          <w:sz w:val="20"/>
        </w:rPr>
      </w:pPr>
    </w:p>
    <w:p>
      <w:pPr>
        <w:pStyle w:val="Heading6"/>
        <w:numPr>
          <w:ilvl w:val="1"/>
          <w:numId w:val="105"/>
        </w:numPr>
        <w:tabs>
          <w:tab w:pos="649" w:val="left" w:leader="none"/>
        </w:tabs>
        <w:spacing w:line="240" w:lineRule="auto" w:before="0" w:after="0"/>
        <w:ind w:left="648" w:right="0" w:hanging="509"/>
        <w:jc w:val="both"/>
      </w:pPr>
      <w:r>
        <w:rPr>
          <w:spacing w:val="3"/>
        </w:rPr>
        <w:t>兒童結核病之診斷</w:t>
      </w:r>
    </w:p>
    <w:p>
      <w:pPr>
        <w:pStyle w:val="ListParagraph"/>
        <w:numPr>
          <w:ilvl w:val="0"/>
          <w:numId w:val="112"/>
        </w:numPr>
        <w:tabs>
          <w:tab w:pos="661" w:val="left" w:leader="none"/>
        </w:tabs>
        <w:spacing w:line="429" w:lineRule="exact" w:before="6" w:after="0"/>
        <w:ind w:left="660" w:right="0" w:hanging="367"/>
        <w:jc w:val="both"/>
        <w:rPr>
          <w:sz w:val="24"/>
        </w:rPr>
      </w:pPr>
      <w:r>
        <w:rPr>
          <w:spacing w:val="3"/>
          <w:sz w:val="24"/>
        </w:rPr>
        <w:t>接觸史：</w:t>
      </w:r>
    </w:p>
    <w:p>
      <w:pPr>
        <w:pStyle w:val="ListParagraph"/>
        <w:numPr>
          <w:ilvl w:val="1"/>
          <w:numId w:val="112"/>
        </w:numPr>
        <w:tabs>
          <w:tab w:pos="1147" w:val="left" w:leader="none"/>
        </w:tabs>
        <w:spacing w:line="417" w:lineRule="exact" w:before="0" w:after="0"/>
        <w:ind w:left="1146" w:right="0" w:hanging="489"/>
        <w:jc w:val="both"/>
        <w:rPr>
          <w:sz w:val="24"/>
        </w:rPr>
      </w:pPr>
      <w:r>
        <w:rPr>
          <w:spacing w:val="3"/>
          <w:sz w:val="24"/>
        </w:rPr>
        <w:t>所有疑似病例均應詢問密切接觸者是否有肺結核之診斷或疑似肺結核之症狀。</w:t>
      </w:r>
    </w:p>
    <w:p>
      <w:pPr>
        <w:pStyle w:val="ListParagraph"/>
        <w:numPr>
          <w:ilvl w:val="1"/>
          <w:numId w:val="112"/>
        </w:numPr>
        <w:tabs>
          <w:tab w:pos="1147" w:val="left" w:leader="none"/>
        </w:tabs>
        <w:spacing w:line="228" w:lineRule="auto" w:before="4" w:after="0"/>
        <w:ind w:left="1146" w:right="1357" w:hanging="489"/>
        <w:jc w:val="both"/>
        <w:rPr>
          <w:sz w:val="24"/>
        </w:rPr>
      </w:pPr>
      <w:r>
        <w:rPr>
          <w:sz w:val="24"/>
        </w:rPr>
        <w:t>密切接觸者確診為結核病時，可作為兒童個案本身診斷有結核感染之佐證，也可</w:t>
      </w:r>
      <w:r>
        <w:rPr>
          <w:spacing w:val="3"/>
          <w:sz w:val="24"/>
        </w:rPr>
        <w:t>由密切接觸者菌株之藥物感受性試驗推測兒童個案之情形。</w:t>
      </w:r>
    </w:p>
    <w:p>
      <w:pPr>
        <w:pStyle w:val="ListParagraph"/>
        <w:numPr>
          <w:ilvl w:val="0"/>
          <w:numId w:val="112"/>
        </w:numPr>
        <w:tabs>
          <w:tab w:pos="661" w:val="left" w:leader="none"/>
        </w:tabs>
        <w:spacing w:line="409" w:lineRule="exact" w:before="0" w:after="0"/>
        <w:ind w:left="660" w:right="0" w:hanging="367"/>
        <w:jc w:val="both"/>
        <w:rPr>
          <w:sz w:val="24"/>
        </w:rPr>
      </w:pPr>
      <w:r>
        <w:rPr>
          <w:spacing w:val="3"/>
          <w:sz w:val="24"/>
        </w:rPr>
        <w:t>結核菌素皮膚測驗：</w:t>
      </w:r>
    </w:p>
    <w:p>
      <w:pPr>
        <w:pStyle w:val="ListParagraph"/>
        <w:numPr>
          <w:ilvl w:val="1"/>
          <w:numId w:val="113"/>
        </w:numPr>
        <w:tabs>
          <w:tab w:pos="1147" w:val="left" w:leader="none"/>
        </w:tabs>
        <w:spacing w:line="225" w:lineRule="auto" w:before="7" w:after="0"/>
        <w:ind w:left="1146" w:right="1357" w:hanging="489"/>
        <w:jc w:val="both"/>
        <w:rPr>
          <w:sz w:val="24"/>
        </w:rPr>
      </w:pPr>
      <w:r>
        <w:rPr>
          <w:spacing w:val="-1"/>
          <w:sz w:val="24"/>
        </w:rPr>
        <w:t>結核菌素皮膚測驗陽性，表示曾經得到結核分枝桿菌感染，但無法分辨潛伏結核</w:t>
      </w:r>
      <w:r>
        <w:rPr>
          <w:spacing w:val="-3"/>
          <w:sz w:val="24"/>
        </w:rPr>
        <w:t>感染（latent </w:t>
      </w:r>
      <w:r>
        <w:rPr>
          <w:spacing w:val="-2"/>
          <w:sz w:val="24"/>
        </w:rPr>
        <w:t>tuberculosis</w:t>
      </w:r>
      <w:r>
        <w:rPr>
          <w:spacing w:val="-3"/>
          <w:sz w:val="24"/>
        </w:rPr>
        <w:t> infection）</w:t>
      </w:r>
      <w:r>
        <w:rPr>
          <w:spacing w:val="-5"/>
          <w:sz w:val="24"/>
        </w:rPr>
        <w:t>與活動性結核病</w:t>
      </w:r>
      <w:r>
        <w:rPr>
          <w:spacing w:val="-3"/>
          <w:sz w:val="24"/>
        </w:rPr>
        <w:t>（active</w:t>
      </w:r>
      <w:r>
        <w:rPr>
          <w:spacing w:val="-2"/>
          <w:sz w:val="24"/>
        </w:rPr>
        <w:t> </w:t>
      </w:r>
      <w:r>
        <w:rPr>
          <w:spacing w:val="-3"/>
          <w:sz w:val="24"/>
        </w:rPr>
        <w:t>tuberculosis）</w:t>
      </w:r>
      <w:r>
        <w:rPr>
          <w:spacing w:val="-5"/>
          <w:sz w:val="24"/>
        </w:rPr>
        <w:t>。</w:t>
      </w:r>
    </w:p>
    <w:p>
      <w:pPr>
        <w:pStyle w:val="ListParagraph"/>
        <w:numPr>
          <w:ilvl w:val="1"/>
          <w:numId w:val="113"/>
        </w:numPr>
        <w:tabs>
          <w:tab w:pos="1147" w:val="left" w:leader="none"/>
        </w:tabs>
        <w:spacing w:line="225" w:lineRule="auto" w:before="4" w:after="0"/>
        <w:ind w:left="1146" w:right="1357" w:hanging="489"/>
        <w:jc w:val="both"/>
        <w:rPr>
          <w:sz w:val="24"/>
        </w:rPr>
      </w:pPr>
      <w:r>
        <w:rPr>
          <w:spacing w:val="4"/>
          <w:sz w:val="24"/>
        </w:rPr>
        <w:t>罹患培養陽性結核病之免疫功能正常兒童，約 </w:t>
      </w:r>
      <w:r>
        <w:rPr>
          <w:sz w:val="24"/>
        </w:rPr>
        <w:t>10</w:t>
      </w:r>
      <w:r>
        <w:rPr>
          <w:spacing w:val="17"/>
          <w:sz w:val="24"/>
        </w:rPr>
        <w:t>%至 </w:t>
      </w:r>
      <w:r>
        <w:rPr>
          <w:sz w:val="24"/>
        </w:rPr>
        <w:t>40</w:t>
      </w:r>
      <w:r>
        <w:rPr>
          <w:spacing w:val="2"/>
          <w:sz w:val="24"/>
        </w:rPr>
        <w:t>%於發病時之結核菌素</w:t>
      </w:r>
      <w:r>
        <w:rPr>
          <w:sz w:val="24"/>
        </w:rPr>
        <w:t>皮膚測驗為陰性反應，可能的干擾因素包括年齡太小、營養不良、免疫抑制、病</w:t>
      </w:r>
      <w:r>
        <w:rPr>
          <w:spacing w:val="3"/>
          <w:sz w:val="24"/>
        </w:rPr>
        <w:t>毒感染</w:t>
      </w:r>
      <w:r>
        <w:rPr>
          <w:spacing w:val="4"/>
          <w:sz w:val="24"/>
        </w:rPr>
        <w:t>（</w:t>
      </w:r>
      <w:r>
        <w:rPr>
          <w:spacing w:val="3"/>
          <w:sz w:val="24"/>
        </w:rPr>
        <w:t>尤其麻疹、水痘、流感）</w:t>
      </w:r>
      <w:r>
        <w:rPr>
          <w:spacing w:val="2"/>
          <w:sz w:val="24"/>
        </w:rPr>
        <w:t>、散播性結核感染等。</w:t>
      </w:r>
    </w:p>
    <w:p>
      <w:pPr>
        <w:spacing w:after="0" w:line="225" w:lineRule="auto"/>
        <w:jc w:val="both"/>
        <w:rPr>
          <w:sz w:val="24"/>
        </w:rPr>
        <w:sectPr>
          <w:pgSz w:w="12250" w:h="17190"/>
          <w:pgMar w:header="0" w:footer="828" w:top="1460" w:bottom="1020" w:left="1220" w:right="0"/>
        </w:sectPr>
      </w:pPr>
    </w:p>
    <w:p>
      <w:pPr>
        <w:pStyle w:val="ListParagraph"/>
        <w:numPr>
          <w:ilvl w:val="0"/>
          <w:numId w:val="112"/>
        </w:numPr>
        <w:tabs>
          <w:tab w:pos="661" w:val="left" w:leader="none"/>
        </w:tabs>
        <w:spacing w:line="429" w:lineRule="exact" w:before="27" w:after="0"/>
        <w:ind w:left="660" w:right="0" w:hanging="367"/>
        <w:jc w:val="both"/>
        <w:rPr>
          <w:sz w:val="24"/>
        </w:rPr>
      </w:pPr>
      <w:r>
        <w:rPr>
          <w:spacing w:val="3"/>
          <w:sz w:val="24"/>
        </w:rPr>
        <w:t>丙型干擾素釋放試驗</w:t>
      </w:r>
      <w:r>
        <w:rPr>
          <w:sz w:val="24"/>
        </w:rPr>
        <w:t>（interferon-gamma</w:t>
      </w:r>
      <w:r>
        <w:rPr>
          <w:spacing w:val="4"/>
          <w:sz w:val="24"/>
        </w:rPr>
        <w:t> </w:t>
      </w:r>
      <w:r>
        <w:rPr>
          <w:sz w:val="24"/>
        </w:rPr>
        <w:t>release</w:t>
      </w:r>
      <w:r>
        <w:rPr>
          <w:spacing w:val="4"/>
          <w:sz w:val="24"/>
        </w:rPr>
        <w:t> </w:t>
      </w:r>
      <w:r>
        <w:rPr>
          <w:sz w:val="24"/>
        </w:rPr>
        <w:t>assay</w:t>
      </w:r>
      <w:r>
        <w:rPr>
          <w:spacing w:val="2"/>
          <w:sz w:val="24"/>
        </w:rPr>
        <w:t>, IGRA）：</w:t>
      </w:r>
    </w:p>
    <w:p>
      <w:pPr>
        <w:pStyle w:val="ListParagraph"/>
        <w:numPr>
          <w:ilvl w:val="1"/>
          <w:numId w:val="114"/>
        </w:numPr>
        <w:tabs>
          <w:tab w:pos="1147" w:val="left" w:leader="none"/>
        </w:tabs>
        <w:spacing w:line="225" w:lineRule="auto" w:before="7" w:after="0"/>
        <w:ind w:left="1146" w:right="1328" w:hanging="489"/>
        <w:jc w:val="both"/>
        <w:rPr>
          <w:sz w:val="24"/>
        </w:rPr>
      </w:pPr>
      <w:r>
        <w:rPr>
          <w:sz w:val="24"/>
        </w:rPr>
        <w:t>丙型干擾素釋放試驗陽性，表示曾經得到結核分枝桿菌感染，但無法分辨潛伏結</w:t>
      </w:r>
      <w:r>
        <w:rPr>
          <w:spacing w:val="-7"/>
          <w:sz w:val="24"/>
        </w:rPr>
        <w:t>核感染</w:t>
      </w:r>
      <w:r>
        <w:rPr>
          <w:sz w:val="24"/>
        </w:rPr>
        <w:t>（latent</w:t>
      </w:r>
      <w:r>
        <w:rPr>
          <w:spacing w:val="-16"/>
          <w:sz w:val="24"/>
        </w:rPr>
        <w:t> </w:t>
      </w:r>
      <w:r>
        <w:rPr>
          <w:spacing w:val="-3"/>
          <w:sz w:val="24"/>
        </w:rPr>
        <w:t>tuberculosis</w:t>
      </w:r>
      <w:r>
        <w:rPr>
          <w:spacing w:val="-17"/>
          <w:sz w:val="24"/>
        </w:rPr>
        <w:t> </w:t>
      </w:r>
      <w:r>
        <w:rPr>
          <w:spacing w:val="-5"/>
          <w:sz w:val="24"/>
        </w:rPr>
        <w:t>infection）</w:t>
      </w:r>
      <w:r>
        <w:rPr>
          <w:spacing w:val="-3"/>
          <w:sz w:val="24"/>
        </w:rPr>
        <w:t>與活動性結核病（active</w:t>
      </w:r>
      <w:r>
        <w:rPr>
          <w:spacing w:val="-15"/>
          <w:sz w:val="24"/>
        </w:rPr>
        <w:t> </w:t>
      </w:r>
      <w:r>
        <w:rPr>
          <w:spacing w:val="-5"/>
          <w:sz w:val="24"/>
        </w:rPr>
        <w:t>tuberculosis）</w:t>
      </w:r>
      <w:r>
        <w:rPr>
          <w:spacing w:val="-33"/>
          <w:sz w:val="24"/>
        </w:rPr>
        <w:t>。</w:t>
      </w:r>
    </w:p>
    <w:p>
      <w:pPr>
        <w:pStyle w:val="ListParagraph"/>
        <w:numPr>
          <w:ilvl w:val="1"/>
          <w:numId w:val="114"/>
        </w:numPr>
        <w:tabs>
          <w:tab w:pos="1147" w:val="left" w:leader="none"/>
        </w:tabs>
        <w:spacing w:line="225" w:lineRule="auto" w:before="2" w:after="0"/>
        <w:ind w:left="1146" w:right="1357" w:hanging="489"/>
        <w:jc w:val="both"/>
        <w:rPr>
          <w:sz w:val="24"/>
        </w:rPr>
      </w:pPr>
      <w:r>
        <w:rPr>
          <w:spacing w:val="2"/>
          <w:sz w:val="24"/>
        </w:rPr>
        <w:t>於體外檢驗 </w:t>
      </w:r>
      <w:r>
        <w:rPr>
          <w:sz w:val="24"/>
        </w:rPr>
        <w:t>T</w:t>
      </w:r>
      <w:r>
        <w:rPr>
          <w:spacing w:val="1"/>
          <w:sz w:val="24"/>
        </w:rPr>
        <w:t> 淋巴球接觸結核分枝桿菌特異抗原之後的丙型干擾素釋放，卡介苗</w:t>
      </w:r>
      <w:r>
        <w:rPr>
          <w:spacing w:val="2"/>
          <w:sz w:val="24"/>
        </w:rPr>
        <w:t>與多數非結核分枝桿菌</w:t>
      </w:r>
      <w:r>
        <w:rPr>
          <w:sz w:val="24"/>
        </w:rPr>
        <w:t>（nontuberculous</w:t>
      </w:r>
      <w:r>
        <w:rPr>
          <w:spacing w:val="6"/>
          <w:sz w:val="24"/>
        </w:rPr>
        <w:t> </w:t>
      </w:r>
      <w:r>
        <w:rPr>
          <w:sz w:val="24"/>
        </w:rPr>
        <w:t>mycobacteria）</w:t>
      </w:r>
      <w:r>
        <w:rPr>
          <w:spacing w:val="3"/>
          <w:sz w:val="24"/>
        </w:rPr>
        <w:t>不含有此試驗所用抗</w:t>
      </w:r>
      <w:r>
        <w:rPr>
          <w:spacing w:val="5"/>
          <w:sz w:val="24"/>
        </w:rPr>
        <w:t>原，故可增加結核病診斷的特異性，目前適用於</w:t>
      </w:r>
      <w:r>
        <w:rPr>
          <w:rFonts w:ascii="Arial" w:hAnsi="Arial" w:eastAsia="Arial"/>
          <w:spacing w:val="-20"/>
          <w:sz w:val="24"/>
        </w:rPr>
        <w:t>≥ </w:t>
      </w:r>
      <w:r>
        <w:rPr>
          <w:color w:val="FF0000"/>
          <w:sz w:val="24"/>
        </w:rPr>
        <w:t>2</w:t>
      </w:r>
      <w:r>
        <w:rPr>
          <w:color w:val="FF0000"/>
          <w:spacing w:val="-15"/>
          <w:sz w:val="24"/>
        </w:rPr>
        <w:t> </w:t>
      </w:r>
      <w:r>
        <w:rPr>
          <w:spacing w:val="4"/>
          <w:sz w:val="24"/>
        </w:rPr>
        <w:t>歲者。</w:t>
      </w:r>
    </w:p>
    <w:p>
      <w:pPr>
        <w:pStyle w:val="ListParagraph"/>
        <w:numPr>
          <w:ilvl w:val="0"/>
          <w:numId w:val="112"/>
        </w:numPr>
        <w:tabs>
          <w:tab w:pos="661" w:val="left" w:leader="none"/>
        </w:tabs>
        <w:spacing w:line="223" w:lineRule="auto" w:before="2" w:after="0"/>
        <w:ind w:left="660" w:right="1358" w:hanging="366"/>
        <w:jc w:val="both"/>
        <w:rPr>
          <w:sz w:val="24"/>
        </w:rPr>
      </w:pPr>
      <w:r>
        <w:rPr>
          <w:spacing w:val="-1"/>
          <w:sz w:val="24"/>
        </w:rPr>
        <w:t>實驗室追蹤檢查：一般不需要常規檢驗麩草醋酸轉胺酶</w:t>
      </w:r>
      <w:r>
        <w:rPr>
          <w:spacing w:val="-4"/>
          <w:sz w:val="24"/>
        </w:rPr>
        <w:t>（aspartate</w:t>
      </w:r>
      <w:r>
        <w:rPr>
          <w:spacing w:val="-15"/>
          <w:sz w:val="24"/>
        </w:rPr>
        <w:t> </w:t>
      </w:r>
      <w:r>
        <w:rPr>
          <w:spacing w:val="-5"/>
          <w:sz w:val="24"/>
        </w:rPr>
        <w:t>aminotransferase, </w:t>
      </w:r>
      <w:r>
        <w:rPr>
          <w:sz w:val="24"/>
        </w:rPr>
        <w:t>AST）</w:t>
      </w:r>
      <w:r>
        <w:rPr>
          <w:spacing w:val="3"/>
          <w:sz w:val="24"/>
        </w:rPr>
        <w:t>、麩丙酮酸轉胺酶</w:t>
      </w:r>
      <w:r>
        <w:rPr>
          <w:sz w:val="24"/>
        </w:rPr>
        <w:t>（alanine</w:t>
      </w:r>
      <w:r>
        <w:rPr>
          <w:spacing w:val="28"/>
          <w:sz w:val="24"/>
        </w:rPr>
        <w:t> </w:t>
      </w:r>
      <w:r>
        <w:rPr>
          <w:sz w:val="24"/>
        </w:rPr>
        <w:t>aminotransferase</w:t>
      </w:r>
      <w:r>
        <w:rPr>
          <w:spacing w:val="14"/>
          <w:sz w:val="24"/>
        </w:rPr>
        <w:t>, </w:t>
      </w:r>
      <w:r>
        <w:rPr>
          <w:sz w:val="24"/>
        </w:rPr>
        <w:t>ALT）</w:t>
      </w:r>
      <w:r>
        <w:rPr>
          <w:spacing w:val="3"/>
          <w:sz w:val="24"/>
        </w:rPr>
        <w:t>等肝功能相關檢驗，但</w:t>
      </w:r>
      <w:r>
        <w:rPr>
          <w:spacing w:val="2"/>
          <w:sz w:val="24"/>
        </w:rPr>
        <w:t>於治療初期數月內若有下列情形，則可考慮檢驗：</w:t>
      </w:r>
    </w:p>
    <w:p>
      <w:pPr>
        <w:pStyle w:val="ListParagraph"/>
        <w:numPr>
          <w:ilvl w:val="1"/>
          <w:numId w:val="115"/>
        </w:numPr>
        <w:tabs>
          <w:tab w:pos="1147" w:val="left" w:leader="none"/>
        </w:tabs>
        <w:spacing w:line="410" w:lineRule="exact" w:before="0" w:after="0"/>
        <w:ind w:left="1146" w:right="0" w:hanging="489"/>
        <w:jc w:val="left"/>
        <w:rPr>
          <w:sz w:val="24"/>
        </w:rPr>
      </w:pPr>
      <w:r>
        <w:rPr>
          <w:spacing w:val="3"/>
          <w:sz w:val="24"/>
        </w:rPr>
        <w:t>嚴重結核感染，尤其腦膜炎與散播性感染。</w:t>
      </w:r>
    </w:p>
    <w:p>
      <w:pPr>
        <w:pStyle w:val="ListParagraph"/>
        <w:numPr>
          <w:ilvl w:val="1"/>
          <w:numId w:val="115"/>
        </w:numPr>
        <w:tabs>
          <w:tab w:pos="1147" w:val="left" w:leader="none"/>
        </w:tabs>
        <w:spacing w:line="416" w:lineRule="exact" w:before="0" w:after="0"/>
        <w:ind w:left="1146" w:right="0" w:hanging="489"/>
        <w:jc w:val="left"/>
        <w:rPr>
          <w:sz w:val="24"/>
        </w:rPr>
      </w:pPr>
      <w:r>
        <w:rPr>
          <w:spacing w:val="3"/>
          <w:sz w:val="24"/>
        </w:rPr>
        <w:t>本人已有或最近罹患肝臟膽道疾病。</w:t>
      </w:r>
    </w:p>
    <w:p>
      <w:pPr>
        <w:pStyle w:val="ListParagraph"/>
        <w:numPr>
          <w:ilvl w:val="1"/>
          <w:numId w:val="115"/>
        </w:numPr>
        <w:tabs>
          <w:tab w:pos="1147" w:val="left" w:leader="none"/>
        </w:tabs>
        <w:spacing w:line="416" w:lineRule="exact" w:before="0" w:after="0"/>
        <w:ind w:left="1146" w:right="0" w:hanging="489"/>
        <w:jc w:val="left"/>
        <w:rPr>
          <w:sz w:val="24"/>
        </w:rPr>
      </w:pPr>
      <w:r>
        <w:rPr>
          <w:spacing w:val="2"/>
          <w:sz w:val="24"/>
        </w:rPr>
        <w:t>懷孕或生產後 </w:t>
      </w:r>
      <w:r>
        <w:rPr>
          <w:sz w:val="24"/>
        </w:rPr>
        <w:t>6</w:t>
      </w:r>
      <w:r>
        <w:rPr>
          <w:spacing w:val="3"/>
          <w:sz w:val="24"/>
        </w:rPr>
        <w:t> 週內。</w:t>
      </w:r>
    </w:p>
    <w:p>
      <w:pPr>
        <w:pStyle w:val="ListParagraph"/>
        <w:numPr>
          <w:ilvl w:val="1"/>
          <w:numId w:val="115"/>
        </w:numPr>
        <w:tabs>
          <w:tab w:pos="1147" w:val="left" w:leader="none"/>
        </w:tabs>
        <w:spacing w:line="416" w:lineRule="exact" w:before="0" w:after="0"/>
        <w:ind w:left="1146" w:right="0" w:hanging="489"/>
        <w:jc w:val="left"/>
        <w:rPr>
          <w:sz w:val="24"/>
        </w:rPr>
      </w:pPr>
      <w:r>
        <w:rPr>
          <w:spacing w:val="3"/>
          <w:sz w:val="24"/>
        </w:rPr>
        <w:t>有肝毒性臨床表徵。</w:t>
      </w:r>
    </w:p>
    <w:p>
      <w:pPr>
        <w:pStyle w:val="ListParagraph"/>
        <w:numPr>
          <w:ilvl w:val="1"/>
          <w:numId w:val="115"/>
        </w:numPr>
        <w:tabs>
          <w:tab w:pos="1147" w:val="left" w:leader="none"/>
        </w:tabs>
        <w:spacing w:line="413" w:lineRule="exact" w:before="0" w:after="0"/>
        <w:ind w:left="1146" w:right="0" w:hanging="489"/>
        <w:jc w:val="left"/>
        <w:rPr>
          <w:sz w:val="24"/>
        </w:rPr>
      </w:pPr>
      <w:r>
        <w:rPr>
          <w:spacing w:val="3"/>
          <w:sz w:val="24"/>
        </w:rPr>
        <w:t>同時合併使用其他肝毒性藥物</w:t>
      </w:r>
      <w:r>
        <w:rPr>
          <w:spacing w:val="4"/>
          <w:sz w:val="24"/>
        </w:rPr>
        <w:t>（</w:t>
      </w:r>
      <w:r>
        <w:rPr>
          <w:spacing w:val="3"/>
          <w:sz w:val="24"/>
        </w:rPr>
        <w:t>尤其抗痙攣藥物）。</w:t>
      </w:r>
    </w:p>
    <w:p>
      <w:pPr>
        <w:pStyle w:val="ListParagraph"/>
        <w:numPr>
          <w:ilvl w:val="0"/>
          <w:numId w:val="112"/>
        </w:numPr>
        <w:tabs>
          <w:tab w:pos="661" w:val="left" w:leader="none"/>
        </w:tabs>
        <w:spacing w:line="413" w:lineRule="exact" w:before="0" w:after="0"/>
        <w:ind w:left="660" w:right="0" w:hanging="367"/>
        <w:jc w:val="left"/>
        <w:rPr>
          <w:sz w:val="24"/>
        </w:rPr>
      </w:pPr>
      <w:r>
        <w:rPr>
          <w:spacing w:val="3"/>
          <w:sz w:val="24"/>
        </w:rPr>
        <w:t>類固醇：可考慮用於特殊情形且已開始使用有效之抗結核藥物後。</w:t>
      </w:r>
    </w:p>
    <w:p>
      <w:pPr>
        <w:pStyle w:val="ListParagraph"/>
        <w:numPr>
          <w:ilvl w:val="1"/>
          <w:numId w:val="116"/>
        </w:numPr>
        <w:tabs>
          <w:tab w:pos="1147" w:val="left" w:leader="none"/>
        </w:tabs>
        <w:spacing w:line="416" w:lineRule="exact" w:before="0" w:after="0"/>
        <w:ind w:left="1146" w:right="0" w:hanging="489"/>
        <w:jc w:val="left"/>
        <w:rPr>
          <w:sz w:val="24"/>
        </w:rPr>
      </w:pPr>
      <w:r>
        <w:rPr>
          <w:spacing w:val="3"/>
          <w:sz w:val="24"/>
        </w:rPr>
        <w:t>建議使用：腦膜炎。</w:t>
      </w:r>
    </w:p>
    <w:p>
      <w:pPr>
        <w:pStyle w:val="ListParagraph"/>
        <w:numPr>
          <w:ilvl w:val="1"/>
          <w:numId w:val="116"/>
        </w:numPr>
        <w:tabs>
          <w:tab w:pos="1147" w:val="left" w:leader="none"/>
        </w:tabs>
        <w:spacing w:line="416" w:lineRule="exact" w:before="0" w:after="0"/>
        <w:ind w:left="1146" w:right="0" w:hanging="489"/>
        <w:jc w:val="left"/>
        <w:rPr>
          <w:sz w:val="24"/>
        </w:rPr>
      </w:pPr>
      <w:r>
        <w:rPr>
          <w:spacing w:val="2"/>
          <w:sz w:val="24"/>
        </w:rPr>
        <w:t>考慮使用：肋膜炎、心包膜炎、嚴重粟粒性結核、嚴重氣管內結核。</w:t>
      </w:r>
    </w:p>
    <w:p>
      <w:pPr>
        <w:pStyle w:val="ListParagraph"/>
        <w:numPr>
          <w:ilvl w:val="1"/>
          <w:numId w:val="116"/>
        </w:numPr>
        <w:tabs>
          <w:tab w:pos="1147" w:val="left" w:leader="none"/>
        </w:tabs>
        <w:spacing w:line="413" w:lineRule="exact" w:before="0" w:after="0"/>
        <w:ind w:left="1146" w:right="0" w:hanging="489"/>
        <w:jc w:val="left"/>
        <w:rPr>
          <w:sz w:val="24"/>
        </w:rPr>
      </w:pPr>
      <w:r>
        <w:rPr>
          <w:spacing w:val="-3"/>
          <w:sz w:val="24"/>
        </w:rPr>
        <w:t>建議劑量：1-2</w:t>
      </w:r>
      <w:r>
        <w:rPr>
          <w:spacing w:val="-11"/>
          <w:sz w:val="24"/>
        </w:rPr>
        <w:t> </w:t>
      </w:r>
      <w:r>
        <w:rPr>
          <w:sz w:val="24"/>
        </w:rPr>
        <w:t>mg/kg/day</w:t>
      </w:r>
      <w:r>
        <w:rPr>
          <w:spacing w:val="-10"/>
          <w:sz w:val="24"/>
        </w:rPr>
        <w:t> </w:t>
      </w:r>
      <w:r>
        <w:rPr>
          <w:sz w:val="24"/>
        </w:rPr>
        <w:t>prednisolone</w:t>
      </w:r>
      <w:r>
        <w:rPr>
          <w:spacing w:val="-1"/>
          <w:sz w:val="24"/>
        </w:rPr>
        <w:t> 或藥效相當之類固醇，使用 </w:t>
      </w:r>
      <w:r>
        <w:rPr>
          <w:sz w:val="24"/>
        </w:rPr>
        <w:t>6-8</w:t>
      </w:r>
      <w:r>
        <w:rPr>
          <w:spacing w:val="-9"/>
          <w:sz w:val="24"/>
        </w:rPr>
        <w:t> 週。</w:t>
      </w:r>
    </w:p>
    <w:p>
      <w:pPr>
        <w:pStyle w:val="ListParagraph"/>
        <w:numPr>
          <w:ilvl w:val="0"/>
          <w:numId w:val="112"/>
        </w:numPr>
        <w:tabs>
          <w:tab w:pos="661" w:val="left" w:leader="none"/>
        </w:tabs>
        <w:spacing w:line="413" w:lineRule="exact" w:before="0" w:after="0"/>
        <w:ind w:left="660" w:right="0" w:hanging="367"/>
        <w:jc w:val="left"/>
        <w:rPr>
          <w:sz w:val="24"/>
        </w:rPr>
      </w:pPr>
      <w:r>
        <w:rPr>
          <w:spacing w:val="3"/>
          <w:sz w:val="24"/>
        </w:rPr>
        <w:t>類固醇：可考慮用於特殊情形且已開始使用有效之抗結核藥物後。</w:t>
      </w:r>
    </w:p>
    <w:p>
      <w:pPr>
        <w:pStyle w:val="ListParagraph"/>
        <w:numPr>
          <w:ilvl w:val="1"/>
          <w:numId w:val="117"/>
        </w:numPr>
        <w:tabs>
          <w:tab w:pos="1147" w:val="left" w:leader="none"/>
        </w:tabs>
        <w:spacing w:line="415" w:lineRule="exact" w:before="0" w:after="0"/>
        <w:ind w:left="1146" w:right="0" w:hanging="489"/>
        <w:jc w:val="left"/>
        <w:rPr>
          <w:sz w:val="24"/>
        </w:rPr>
      </w:pPr>
      <w:r>
        <w:rPr>
          <w:spacing w:val="3"/>
          <w:sz w:val="24"/>
        </w:rPr>
        <w:t>建議使用：腦膜炎。</w:t>
      </w:r>
    </w:p>
    <w:p>
      <w:pPr>
        <w:pStyle w:val="ListParagraph"/>
        <w:numPr>
          <w:ilvl w:val="1"/>
          <w:numId w:val="117"/>
        </w:numPr>
        <w:tabs>
          <w:tab w:pos="1147" w:val="left" w:leader="none"/>
        </w:tabs>
        <w:spacing w:line="416" w:lineRule="exact" w:before="0" w:after="0"/>
        <w:ind w:left="1146" w:right="0" w:hanging="489"/>
        <w:jc w:val="left"/>
        <w:rPr>
          <w:sz w:val="24"/>
        </w:rPr>
      </w:pPr>
      <w:r>
        <w:rPr>
          <w:spacing w:val="2"/>
          <w:sz w:val="24"/>
        </w:rPr>
        <w:t>考慮使用：肋膜炎、心包膜炎、嚴重粟粒性結核、嚴重氣管內結核。</w:t>
      </w:r>
    </w:p>
    <w:p>
      <w:pPr>
        <w:pStyle w:val="ListParagraph"/>
        <w:numPr>
          <w:ilvl w:val="1"/>
          <w:numId w:val="117"/>
        </w:numPr>
        <w:tabs>
          <w:tab w:pos="1147" w:val="left" w:leader="none"/>
        </w:tabs>
        <w:spacing w:line="429" w:lineRule="exact" w:before="0" w:after="0"/>
        <w:ind w:left="1146" w:right="0" w:hanging="489"/>
        <w:jc w:val="left"/>
        <w:rPr>
          <w:sz w:val="24"/>
        </w:rPr>
      </w:pPr>
      <w:r>
        <w:rPr>
          <w:spacing w:val="1"/>
          <w:sz w:val="24"/>
        </w:rPr>
        <w:t>建議劑量：</w:t>
      </w:r>
      <w:r>
        <w:rPr>
          <w:sz w:val="24"/>
        </w:rPr>
        <w:t>1-2</w:t>
      </w:r>
      <w:r>
        <w:rPr>
          <w:spacing w:val="-11"/>
          <w:sz w:val="24"/>
        </w:rPr>
        <w:t> </w:t>
      </w:r>
      <w:r>
        <w:rPr>
          <w:sz w:val="24"/>
        </w:rPr>
        <w:t>mg/kg/day</w:t>
      </w:r>
      <w:r>
        <w:rPr>
          <w:spacing w:val="-10"/>
          <w:sz w:val="24"/>
        </w:rPr>
        <w:t> </w:t>
      </w:r>
      <w:r>
        <w:rPr>
          <w:sz w:val="24"/>
        </w:rPr>
        <w:t>prednisolone 或藥效相當之類固醇，使用 6-8</w:t>
      </w:r>
      <w:r>
        <w:rPr>
          <w:spacing w:val="2"/>
          <w:sz w:val="24"/>
        </w:rPr>
        <w:t> 週。</w:t>
      </w:r>
    </w:p>
    <w:p>
      <w:pPr>
        <w:pStyle w:val="BodyText"/>
        <w:spacing w:before="13"/>
        <w:rPr>
          <w:sz w:val="18"/>
        </w:rPr>
      </w:pPr>
    </w:p>
    <w:p>
      <w:pPr>
        <w:pStyle w:val="Heading6"/>
        <w:numPr>
          <w:ilvl w:val="1"/>
          <w:numId w:val="105"/>
        </w:numPr>
        <w:tabs>
          <w:tab w:pos="649" w:val="left" w:leader="none"/>
        </w:tabs>
        <w:spacing w:line="240" w:lineRule="auto" w:before="0" w:after="0"/>
        <w:ind w:left="648" w:right="0" w:hanging="509"/>
        <w:jc w:val="both"/>
      </w:pPr>
      <w:r>
        <w:rPr>
          <w:spacing w:val="3"/>
        </w:rPr>
        <w:t>兒童與具傳染性結核病人者密切接觸且無結核發病徵候之處理</w:t>
      </w:r>
    </w:p>
    <w:p>
      <w:pPr>
        <w:pStyle w:val="ListParagraph"/>
        <w:numPr>
          <w:ilvl w:val="2"/>
          <w:numId w:val="105"/>
        </w:numPr>
        <w:tabs>
          <w:tab w:pos="661" w:val="left" w:leader="none"/>
        </w:tabs>
        <w:spacing w:line="223" w:lineRule="auto" w:before="24" w:after="0"/>
        <w:ind w:left="660" w:right="1301" w:hanging="366"/>
        <w:jc w:val="both"/>
        <w:rPr>
          <w:sz w:val="24"/>
        </w:rPr>
      </w:pPr>
      <w:r>
        <w:rPr>
          <w:sz w:val="24"/>
        </w:rPr>
        <w:t>具傳染性結核病人之新生兒接觸者：剛出生之新生兒</w:t>
      </w:r>
      <w:r>
        <w:rPr>
          <w:spacing w:val="3"/>
          <w:sz w:val="24"/>
        </w:rPr>
        <w:t>（</w:t>
      </w:r>
      <w:r>
        <w:rPr>
          <w:spacing w:val="2"/>
          <w:sz w:val="24"/>
        </w:rPr>
        <w:t>包括出生一個月內就被暴露的</w:t>
      </w:r>
      <w:r>
        <w:rPr>
          <w:spacing w:val="3"/>
          <w:sz w:val="24"/>
        </w:rPr>
        <w:t>新生兒</w:t>
      </w:r>
      <w:r>
        <w:rPr>
          <w:sz w:val="24"/>
        </w:rPr>
        <w:t>），由於免疫力較差，易於短期內發病，無需接受結核菌素測驗，皆應即時開</w:t>
      </w:r>
      <w:r>
        <w:rPr>
          <w:spacing w:val="-11"/>
          <w:sz w:val="24"/>
        </w:rPr>
        <w:t>始並完成預防性治療，以避免發生嚴重結核病。建議完成治療時做一次結核菌素測驗， </w:t>
      </w:r>
      <w:r>
        <w:rPr>
          <w:sz w:val="24"/>
        </w:rPr>
        <w:t>若為陰性，則完成治療後接受一劑卡介苗；若結核菌素測驗為陽性，則不必接種卡介</w:t>
      </w:r>
      <w:r>
        <w:rPr>
          <w:spacing w:val="4"/>
          <w:sz w:val="24"/>
        </w:rPr>
        <w:t>苗。</w:t>
      </w:r>
    </w:p>
    <w:p>
      <w:pPr>
        <w:pStyle w:val="ListParagraph"/>
        <w:numPr>
          <w:ilvl w:val="2"/>
          <w:numId w:val="105"/>
        </w:numPr>
        <w:tabs>
          <w:tab w:pos="661" w:val="left" w:leader="none"/>
        </w:tabs>
        <w:spacing w:line="223" w:lineRule="auto" w:before="0" w:after="0"/>
        <w:ind w:left="660" w:right="1362" w:hanging="366"/>
        <w:jc w:val="both"/>
        <w:rPr>
          <w:sz w:val="24"/>
        </w:rPr>
      </w:pPr>
      <w:r>
        <w:rPr>
          <w:sz w:val="24"/>
        </w:rPr>
        <w:t>小於一歲的嬰兒，若有結核病暴露史，應先進行接觸者檢查及潛伏結核感染評估，請</w:t>
      </w:r>
      <w:r>
        <w:rPr>
          <w:spacing w:val="3"/>
          <w:sz w:val="24"/>
        </w:rPr>
        <w:t>參見表 </w:t>
      </w:r>
      <w:r>
        <w:rPr>
          <w:sz w:val="24"/>
        </w:rPr>
        <w:t>8-4。</w:t>
      </w:r>
    </w:p>
    <w:p>
      <w:pPr>
        <w:pStyle w:val="Heading6"/>
        <w:numPr>
          <w:ilvl w:val="1"/>
          <w:numId w:val="105"/>
        </w:numPr>
        <w:tabs>
          <w:tab w:pos="649" w:val="left" w:leader="none"/>
        </w:tabs>
        <w:spacing w:line="240" w:lineRule="auto" w:before="269" w:after="0"/>
        <w:ind w:left="648" w:right="0" w:hanging="509"/>
        <w:jc w:val="both"/>
      </w:pPr>
      <w:r>
        <w:rPr>
          <w:spacing w:val="2"/>
        </w:rPr>
        <w:t>母親或家中接觸者疑似結核病感染，新生兒之隔離建議：</w:t>
      </w:r>
    </w:p>
    <w:p>
      <w:pPr>
        <w:pStyle w:val="ListParagraph"/>
        <w:numPr>
          <w:ilvl w:val="2"/>
          <w:numId w:val="105"/>
        </w:numPr>
        <w:tabs>
          <w:tab w:pos="661" w:val="left" w:leader="none"/>
        </w:tabs>
        <w:spacing w:line="225" w:lineRule="auto" w:before="24" w:after="0"/>
        <w:ind w:left="660" w:right="1334" w:hanging="366"/>
        <w:jc w:val="both"/>
        <w:rPr>
          <w:sz w:val="24"/>
        </w:rPr>
      </w:pPr>
      <w:r>
        <w:rPr>
          <w:sz w:val="24"/>
        </w:rPr>
        <w:t>母親或家中接觸者被診斷為潛伏結核感染，胸部 X</w:t>
      </w:r>
      <w:r>
        <w:rPr>
          <w:spacing w:val="-3"/>
          <w:sz w:val="24"/>
        </w:rPr>
        <w:t> 光片正常：母親和家中接觸者，可</w:t>
      </w:r>
      <w:r>
        <w:rPr>
          <w:spacing w:val="3"/>
          <w:sz w:val="24"/>
        </w:rPr>
        <w:t>考慮接受潛伏結核感染治療，保護新生兒，新生兒本身不需要接受特殊評估或治療。</w:t>
      </w:r>
    </w:p>
    <w:p>
      <w:pPr>
        <w:spacing w:after="0" w:line="225" w:lineRule="auto"/>
        <w:jc w:val="both"/>
        <w:rPr>
          <w:sz w:val="24"/>
        </w:rPr>
        <w:sectPr>
          <w:pgSz w:w="12250" w:h="17190"/>
          <w:pgMar w:header="0" w:footer="828" w:top="1460" w:bottom="1020" w:left="1220" w:right="0"/>
        </w:sectPr>
      </w:pPr>
    </w:p>
    <w:p>
      <w:pPr>
        <w:pStyle w:val="ListParagraph"/>
        <w:numPr>
          <w:ilvl w:val="2"/>
          <w:numId w:val="105"/>
        </w:numPr>
        <w:tabs>
          <w:tab w:pos="661" w:val="left" w:leader="none"/>
        </w:tabs>
        <w:spacing w:line="225" w:lineRule="auto" w:before="46" w:after="0"/>
        <w:ind w:left="660" w:right="1363" w:hanging="366"/>
        <w:jc w:val="both"/>
        <w:rPr>
          <w:sz w:val="24"/>
        </w:rPr>
      </w:pPr>
      <w:r>
        <w:rPr/>
        <w:pict>
          <v:group style="position:absolute;margin-left:570pt;margin-top:.592954pt;width:42.4pt;height:152.2pt;mso-position-horizontal-relative:page;mso-position-vertical-relative:paragraph;z-index:251824128" coordorigin="11400,12" coordsize="848,3044">
            <v:shape style="position:absolute;left:11400;top:11;width:848;height:3044" coordorigin="11400,12" coordsize="848,3044" path="m12227,12l11565,12,11501,25,11448,60,11413,113,11400,177,11400,2891,11413,2955,11448,3007,11501,3043,11565,3056,12227,3056,12247,3052,12247,16,12227,12xe" filled="true" fillcolor="#a6a6a6" stroked="false">
              <v:path arrowok="t"/>
              <v:fill type="solid"/>
            </v:shape>
            <v:shape style="position:absolute;left:11400;top:11;width:848;height:3044" type="#_x0000_t202" filled="false" stroked="false">
              <v:textbox inset="0,0,0,0">
                <w:txbxContent>
                  <w:p>
                    <w:pPr>
                      <w:spacing w:line="146" w:lineRule="auto" w:before="127"/>
                      <w:ind w:left="136" w:right="488" w:firstLine="0"/>
                      <w:jc w:val="both"/>
                      <w:rPr>
                        <w:sz w:val="22"/>
                      </w:rPr>
                    </w:pPr>
                    <w:r>
                      <w:rPr>
                        <w:sz w:val="22"/>
                      </w:rPr>
                      <w:t>第八章</w:t>
                    </w:r>
                  </w:p>
                  <w:p>
                    <w:pPr>
                      <w:spacing w:line="141" w:lineRule="auto" w:before="175"/>
                      <w:ind w:left="136" w:right="488" w:firstLine="0"/>
                      <w:jc w:val="both"/>
                      <w:rPr>
                        <w:sz w:val="22"/>
                      </w:rPr>
                    </w:pPr>
                    <w:r>
                      <w:rPr>
                        <w:sz w:val="22"/>
                      </w:rPr>
                      <w:t>兒童結核病之診療</w:t>
                    </w:r>
                  </w:p>
                </w:txbxContent>
              </v:textbox>
              <w10:wrap type="none"/>
            </v:shape>
            <w10:wrap type="none"/>
          </v:group>
        </w:pict>
      </w:r>
      <w:r>
        <w:rPr>
          <w:spacing w:val="3"/>
          <w:sz w:val="24"/>
        </w:rPr>
        <w:t>母親或家中接觸者被診斷為潛伏結核感染，胸部 </w:t>
      </w:r>
      <w:r>
        <w:rPr>
          <w:sz w:val="24"/>
        </w:rPr>
        <w:t>X</w:t>
      </w:r>
      <w:r>
        <w:rPr>
          <w:spacing w:val="3"/>
          <w:sz w:val="24"/>
        </w:rPr>
        <w:t> 光片異常但無結核病之證據：無需隔離。</w:t>
      </w:r>
    </w:p>
    <w:p>
      <w:pPr>
        <w:pStyle w:val="ListParagraph"/>
        <w:numPr>
          <w:ilvl w:val="2"/>
          <w:numId w:val="105"/>
        </w:numPr>
        <w:tabs>
          <w:tab w:pos="661" w:val="left" w:leader="none"/>
        </w:tabs>
        <w:spacing w:line="225" w:lineRule="auto" w:before="2" w:after="0"/>
        <w:ind w:left="660" w:right="1313" w:hanging="366"/>
        <w:jc w:val="both"/>
        <w:rPr>
          <w:sz w:val="24"/>
        </w:rPr>
      </w:pPr>
      <w:r>
        <w:rPr>
          <w:spacing w:val="-1"/>
          <w:sz w:val="24"/>
        </w:rPr>
        <w:t>母親於懷孕期間或產後診斷為結核病人，不論母親是否具傳染性，考慮該嬰兒在週產</w:t>
      </w:r>
      <w:r>
        <w:rPr>
          <w:spacing w:val="2"/>
          <w:sz w:val="24"/>
        </w:rPr>
        <w:t>期可能已經透過胎盤感染，建議於排除先天性結核病 (</w:t>
      </w:r>
      <w:r>
        <w:rPr>
          <w:sz w:val="24"/>
        </w:rPr>
        <w:t>congenital</w:t>
      </w:r>
      <w:r>
        <w:rPr>
          <w:spacing w:val="11"/>
          <w:sz w:val="24"/>
        </w:rPr>
        <w:t> </w:t>
      </w:r>
      <w:r>
        <w:rPr>
          <w:sz w:val="24"/>
        </w:rPr>
        <w:t>tuberculosis</w:t>
      </w:r>
      <w:r>
        <w:rPr>
          <w:spacing w:val="1"/>
          <w:sz w:val="24"/>
        </w:rPr>
        <w:t>)後， </w:t>
      </w:r>
      <w:r>
        <w:rPr>
          <w:spacing w:val="4"/>
          <w:sz w:val="24"/>
        </w:rPr>
        <w:t>依 </w:t>
      </w:r>
      <w:r>
        <w:rPr>
          <w:sz w:val="24"/>
        </w:rPr>
        <w:t>8.7.1</w:t>
      </w:r>
      <w:r>
        <w:rPr>
          <w:spacing w:val="2"/>
          <w:sz w:val="24"/>
        </w:rPr>
        <w:t>「具傳染性結核病人之新生兒接觸者」進行完整之預防性投藥。</w:t>
      </w:r>
    </w:p>
    <w:p>
      <w:pPr>
        <w:pStyle w:val="ListParagraph"/>
        <w:numPr>
          <w:ilvl w:val="2"/>
          <w:numId w:val="105"/>
        </w:numPr>
        <w:tabs>
          <w:tab w:pos="661" w:val="left" w:leader="none"/>
        </w:tabs>
        <w:spacing w:line="225" w:lineRule="auto" w:before="4" w:after="0"/>
        <w:ind w:left="660" w:right="1356" w:hanging="366"/>
        <w:jc w:val="both"/>
        <w:rPr>
          <w:sz w:val="24"/>
        </w:rPr>
      </w:pPr>
      <w:r>
        <w:rPr>
          <w:spacing w:val="3"/>
          <w:sz w:val="24"/>
        </w:rPr>
        <w:t>母親或家中接觸者胸部 </w:t>
      </w:r>
      <w:r>
        <w:rPr>
          <w:sz w:val="24"/>
        </w:rPr>
        <w:t>X</w:t>
      </w:r>
      <w:r>
        <w:rPr>
          <w:spacing w:val="3"/>
          <w:sz w:val="24"/>
        </w:rPr>
        <w:t> 光片呈肺結核典型變化：必須隔離新生兒，直至母親或家</w:t>
      </w:r>
      <w:r>
        <w:rPr>
          <w:spacing w:val="5"/>
          <w:sz w:val="24"/>
        </w:rPr>
        <w:t>中接觸者經過評估且接受適當抗結核治療至少 </w:t>
      </w:r>
      <w:r>
        <w:rPr>
          <w:sz w:val="24"/>
        </w:rPr>
        <w:t>2</w:t>
      </w:r>
      <w:r>
        <w:rPr>
          <w:spacing w:val="5"/>
          <w:sz w:val="24"/>
        </w:rPr>
        <w:t> 週。有開洞現象之肺結核病人，需</w:t>
      </w:r>
      <w:r>
        <w:rPr>
          <w:spacing w:val="2"/>
          <w:sz w:val="24"/>
        </w:rPr>
        <w:t>連續三次不同天收集之痰液分枝桿菌抹片檢驗均呈陰性才解除隔離。</w:t>
      </w:r>
    </w:p>
    <w:p>
      <w:pPr>
        <w:pStyle w:val="BodyText"/>
        <w:spacing w:before="12"/>
        <w:rPr>
          <w:sz w:val="27"/>
        </w:rPr>
      </w:pPr>
    </w:p>
    <w:p>
      <w:pPr>
        <w:pStyle w:val="Heading6"/>
        <w:ind w:left="140"/>
      </w:pPr>
      <w:bookmarkStart w:name="致謝：" w:id="94"/>
      <w:bookmarkEnd w:id="94"/>
      <w:r>
        <w:rPr>
          <w:b w:val="0"/>
        </w:rPr>
      </w:r>
      <w:r>
        <w:rPr/>
        <w:t>致謝：</w:t>
      </w:r>
    </w:p>
    <w:p>
      <w:pPr>
        <w:pStyle w:val="ListParagraph"/>
        <w:numPr>
          <w:ilvl w:val="0"/>
          <w:numId w:val="118"/>
        </w:numPr>
        <w:tabs>
          <w:tab w:pos="446" w:val="left" w:leader="none"/>
        </w:tabs>
        <w:spacing w:line="225" w:lineRule="auto" w:before="41" w:after="0"/>
        <w:ind w:left="445" w:right="1301" w:hanging="305"/>
        <w:jc w:val="both"/>
        <w:rPr>
          <w:sz w:val="24"/>
        </w:rPr>
      </w:pPr>
      <w:r>
        <w:rPr>
          <w:sz w:val="24"/>
        </w:rPr>
        <w:t>2006</w:t>
      </w:r>
      <w:r>
        <w:rPr>
          <w:spacing w:val="18"/>
          <w:sz w:val="24"/>
        </w:rPr>
        <w:t> 年 </w:t>
      </w:r>
      <w:r>
        <w:rPr>
          <w:sz w:val="24"/>
        </w:rPr>
        <w:t>5</w:t>
      </w:r>
      <w:r>
        <w:rPr>
          <w:spacing w:val="19"/>
          <w:sz w:val="24"/>
        </w:rPr>
        <w:t> 月 </w:t>
      </w:r>
      <w:r>
        <w:rPr>
          <w:sz w:val="24"/>
        </w:rPr>
        <w:t>13</w:t>
      </w:r>
      <w:r>
        <w:rPr>
          <w:spacing w:val="3"/>
          <w:sz w:val="24"/>
        </w:rPr>
        <w:t> 日臺灣兒科醫學會之兒童感染症相關醫師詳細討論後制訂本原則，參</w:t>
      </w:r>
      <w:r>
        <w:rPr>
          <w:spacing w:val="-12"/>
          <w:sz w:val="24"/>
        </w:rPr>
        <w:t>與討論人員包括李秉穎、李慶雲、林奏延、張鑾英、湯仁彬、黃玉成、黃高彬、黃富源、</w:t>
      </w:r>
      <w:r>
        <w:rPr>
          <w:sz w:val="24"/>
        </w:rPr>
        <w:t>詹珮君 (依筆劃順序)。</w:t>
      </w:r>
    </w:p>
    <w:p>
      <w:pPr>
        <w:pStyle w:val="ListParagraph"/>
        <w:numPr>
          <w:ilvl w:val="0"/>
          <w:numId w:val="118"/>
        </w:numPr>
        <w:tabs>
          <w:tab w:pos="446" w:val="left" w:leader="none"/>
        </w:tabs>
        <w:spacing w:line="225" w:lineRule="auto" w:before="51" w:after="0"/>
        <w:ind w:left="445" w:right="1357" w:hanging="305"/>
        <w:jc w:val="both"/>
        <w:rPr>
          <w:sz w:val="24"/>
        </w:rPr>
      </w:pPr>
      <w:r>
        <w:rPr>
          <w:sz w:val="24"/>
        </w:rPr>
        <w:t>2012</w:t>
      </w:r>
      <w:r>
        <w:rPr>
          <w:spacing w:val="18"/>
          <w:sz w:val="24"/>
        </w:rPr>
        <w:t> 年 </w:t>
      </w:r>
      <w:r>
        <w:rPr>
          <w:sz w:val="24"/>
        </w:rPr>
        <w:t>4</w:t>
      </w:r>
      <w:r>
        <w:rPr>
          <w:spacing w:val="19"/>
          <w:sz w:val="24"/>
        </w:rPr>
        <w:t> 月 </w:t>
      </w:r>
      <w:r>
        <w:rPr>
          <w:sz w:val="24"/>
        </w:rPr>
        <w:t>18</w:t>
      </w:r>
      <w:r>
        <w:rPr>
          <w:spacing w:val="3"/>
          <w:sz w:val="24"/>
        </w:rPr>
        <w:t> 日修訂會議，與會人員包括李品慧、李秉穎、黃立民、陳伯彥、彭信</w:t>
      </w:r>
      <w:r>
        <w:rPr>
          <w:sz w:val="24"/>
        </w:rPr>
        <w:t>逢、詹珮君 (依筆劃順序)。</w:t>
      </w:r>
    </w:p>
    <w:p>
      <w:pPr>
        <w:pStyle w:val="ListParagraph"/>
        <w:numPr>
          <w:ilvl w:val="0"/>
          <w:numId w:val="118"/>
        </w:numPr>
        <w:tabs>
          <w:tab w:pos="446" w:val="left" w:leader="none"/>
        </w:tabs>
        <w:spacing w:line="225" w:lineRule="auto" w:before="51" w:after="0"/>
        <w:ind w:left="445" w:right="1309" w:hanging="305"/>
        <w:jc w:val="both"/>
        <w:rPr>
          <w:sz w:val="24"/>
        </w:rPr>
      </w:pPr>
      <w:r>
        <w:rPr>
          <w:sz w:val="24"/>
        </w:rPr>
        <w:t>2016</w:t>
      </w:r>
      <w:r>
        <w:rPr>
          <w:spacing w:val="3"/>
          <w:sz w:val="24"/>
        </w:rPr>
        <w:t> 年 </w:t>
      </w:r>
      <w:r>
        <w:rPr>
          <w:sz w:val="24"/>
        </w:rPr>
        <w:t>11</w:t>
      </w:r>
      <w:r>
        <w:rPr>
          <w:spacing w:val="3"/>
          <w:sz w:val="24"/>
        </w:rPr>
        <w:t> 月 </w:t>
      </w:r>
      <w:r>
        <w:rPr>
          <w:sz w:val="24"/>
        </w:rPr>
        <w:t>15 日書面審查修訂版本，參與兒童感染科專家包括何愉懷、吳克恭、呂</w:t>
      </w:r>
      <w:r>
        <w:rPr>
          <w:spacing w:val="1"/>
          <w:sz w:val="24"/>
        </w:rPr>
        <w:t>俊毅、李秉穎、林曉娟、邱南昌、邱政洵、紀鑫、陳中明、陳伯彥、陳志榮、張鑾英、</w:t>
      </w:r>
      <w:r>
        <w:rPr>
          <w:sz w:val="24"/>
        </w:rPr>
        <w:t>湯仁彬、黃永豐、黃玉成、黃高彬、黃富源、詹珮君、劉清泉 (依筆劃順序)。</w:t>
      </w:r>
    </w:p>
    <w:p>
      <w:pPr>
        <w:spacing w:after="0" w:line="225" w:lineRule="auto"/>
        <w:jc w:val="both"/>
        <w:rPr>
          <w:sz w:val="24"/>
        </w:rPr>
        <w:sectPr>
          <w:pgSz w:w="12250" w:h="17190"/>
          <w:pgMar w:header="0" w:footer="828" w:top="1460" w:bottom="1020" w:left="1220" w:right="0"/>
        </w:sectPr>
      </w:pPr>
    </w:p>
    <w:p>
      <w:pPr>
        <w:pStyle w:val="Heading6"/>
        <w:spacing w:before="13"/>
        <w:ind w:left="140"/>
      </w:pPr>
      <w:bookmarkStart w:name="參考文獻" w:id="95"/>
      <w:bookmarkEnd w:id="95"/>
      <w:r>
        <w:rPr>
          <w:b w:val="0"/>
        </w:rPr>
      </w:r>
      <w:r>
        <w:rPr/>
        <w:t>參考文獻</w:t>
      </w:r>
    </w:p>
    <w:p>
      <w:pPr>
        <w:pStyle w:val="ListParagraph"/>
        <w:numPr>
          <w:ilvl w:val="1"/>
          <w:numId w:val="118"/>
        </w:numPr>
        <w:tabs>
          <w:tab w:pos="926" w:val="left" w:leader="none"/>
        </w:tabs>
        <w:spacing w:line="230" w:lineRule="auto" w:before="19" w:after="0"/>
        <w:ind w:left="925" w:right="1382" w:hanging="434"/>
        <w:jc w:val="both"/>
        <w:rPr>
          <w:sz w:val="24"/>
        </w:rPr>
      </w:pPr>
      <w:r>
        <w:rPr>
          <w:sz w:val="23"/>
        </w:rPr>
        <w:t>Voss LM. Management of tuberculosis in children. J Paediatr Child Health 2000; 36:530-6.</w:t>
      </w:r>
    </w:p>
    <w:p>
      <w:pPr>
        <w:pStyle w:val="ListParagraph"/>
        <w:numPr>
          <w:ilvl w:val="1"/>
          <w:numId w:val="118"/>
        </w:numPr>
        <w:tabs>
          <w:tab w:pos="926" w:val="left" w:leader="none"/>
        </w:tabs>
        <w:spacing w:line="230" w:lineRule="auto" w:before="0" w:after="0"/>
        <w:ind w:left="925" w:right="1379" w:hanging="434"/>
        <w:jc w:val="both"/>
        <w:rPr>
          <w:sz w:val="24"/>
        </w:rPr>
      </w:pPr>
      <w:r>
        <w:rPr>
          <w:sz w:val="23"/>
        </w:rPr>
        <w:t>Isaacs D, Mellis CM. Tuberculosis in children in Australia: strategies for control. Med J Aust 1998; 168:</w:t>
      </w:r>
      <w:r>
        <w:rPr>
          <w:spacing w:val="20"/>
          <w:sz w:val="23"/>
        </w:rPr>
        <w:t> </w:t>
      </w:r>
      <w:r>
        <w:rPr>
          <w:sz w:val="23"/>
        </w:rPr>
        <w:t>121-4.</w:t>
      </w:r>
    </w:p>
    <w:p>
      <w:pPr>
        <w:pStyle w:val="ListParagraph"/>
        <w:numPr>
          <w:ilvl w:val="1"/>
          <w:numId w:val="118"/>
        </w:numPr>
        <w:tabs>
          <w:tab w:pos="926" w:val="left" w:leader="none"/>
        </w:tabs>
        <w:spacing w:line="230" w:lineRule="auto" w:before="0" w:after="0"/>
        <w:ind w:left="925" w:right="1379" w:hanging="434"/>
        <w:jc w:val="both"/>
        <w:rPr>
          <w:sz w:val="24"/>
        </w:rPr>
      </w:pPr>
      <w:r>
        <w:rPr>
          <w:sz w:val="23"/>
        </w:rPr>
        <w:t>Anonymous. BCG vaccine. WHO position paper. Wkly Epidemiol Rec 2004; </w:t>
      </w:r>
      <w:r>
        <w:rPr>
          <w:spacing w:val="2"/>
          <w:sz w:val="23"/>
        </w:rPr>
        <w:t>79: </w:t>
      </w:r>
      <w:r>
        <w:rPr>
          <w:sz w:val="23"/>
        </w:rPr>
        <w:t>27-38.</w:t>
      </w:r>
    </w:p>
    <w:p>
      <w:pPr>
        <w:pStyle w:val="ListParagraph"/>
        <w:numPr>
          <w:ilvl w:val="1"/>
          <w:numId w:val="118"/>
        </w:numPr>
        <w:tabs>
          <w:tab w:pos="926" w:val="left" w:leader="none"/>
        </w:tabs>
        <w:spacing w:line="230" w:lineRule="auto" w:before="0" w:after="0"/>
        <w:ind w:left="925" w:right="1381" w:hanging="434"/>
        <w:jc w:val="both"/>
        <w:rPr>
          <w:sz w:val="24"/>
        </w:rPr>
      </w:pPr>
      <w:r>
        <w:rPr>
          <w:sz w:val="23"/>
        </w:rPr>
        <w:t>Pickering LK, Baker CJ, Kimberlin DW, Long SS, eds. Red Book: 2015 Report of the Committee on Infectious Diseases. 30th ed. Elk Grove Village, IL: American Academy of Pediatrics;</w:t>
      </w:r>
      <w:r>
        <w:rPr>
          <w:spacing w:val="13"/>
          <w:sz w:val="23"/>
        </w:rPr>
        <w:t> </w:t>
      </w:r>
      <w:r>
        <w:rPr>
          <w:sz w:val="23"/>
        </w:rPr>
        <w:t>2015.</w:t>
      </w:r>
    </w:p>
    <w:p>
      <w:pPr>
        <w:pStyle w:val="ListParagraph"/>
        <w:numPr>
          <w:ilvl w:val="1"/>
          <w:numId w:val="118"/>
        </w:numPr>
        <w:tabs>
          <w:tab w:pos="926" w:val="left" w:leader="none"/>
        </w:tabs>
        <w:spacing w:line="230" w:lineRule="auto" w:before="0" w:after="0"/>
        <w:ind w:left="925" w:right="1383" w:hanging="434"/>
        <w:jc w:val="both"/>
        <w:rPr>
          <w:sz w:val="24"/>
        </w:rPr>
      </w:pPr>
      <w:r>
        <w:rPr>
          <w:sz w:val="23"/>
        </w:rPr>
        <w:t>Anonymous. Targeted tuberculin testing and treatment of latent tuberculosis infection. Am J Respir Care Med 2000; 161 (Suppl.):</w:t>
      </w:r>
      <w:r>
        <w:rPr>
          <w:spacing w:val="42"/>
          <w:sz w:val="23"/>
        </w:rPr>
        <w:t> </w:t>
      </w:r>
      <w:r>
        <w:rPr>
          <w:sz w:val="23"/>
        </w:rPr>
        <w:t>S221-47.</w:t>
      </w:r>
    </w:p>
    <w:p>
      <w:pPr>
        <w:pStyle w:val="ListParagraph"/>
        <w:numPr>
          <w:ilvl w:val="1"/>
          <w:numId w:val="118"/>
        </w:numPr>
        <w:tabs>
          <w:tab w:pos="926" w:val="left" w:leader="none"/>
        </w:tabs>
        <w:spacing w:line="232" w:lineRule="auto" w:before="0" w:after="0"/>
        <w:ind w:left="925" w:right="1382" w:hanging="434"/>
        <w:jc w:val="both"/>
        <w:rPr>
          <w:sz w:val="24"/>
        </w:rPr>
      </w:pPr>
      <w:r>
        <w:rPr>
          <w:sz w:val="23"/>
        </w:rPr>
        <w:t>World Health Organization. Guidance for national tuberculosis programmes on the management of tuberculosis in children. 2nd Ed., 2014. (</w:t>
      </w:r>
      <w:hyperlink r:id="rId52">
        <w:r>
          <w:rPr>
            <w:sz w:val="23"/>
            <w:u w:val="single"/>
          </w:rPr>
          <w:t>http://www.who.int/tb/publications/childtb_guidelines/en/</w:t>
        </w:r>
        <w:r>
          <w:rPr>
            <w:sz w:val="23"/>
          </w:rPr>
          <w:t>;</w:t>
        </w:r>
      </w:hyperlink>
      <w:r>
        <w:rPr>
          <w:sz w:val="23"/>
        </w:rPr>
        <w:t> access: Oct. 3, 2016).</w:t>
      </w:r>
    </w:p>
    <w:p>
      <w:pPr>
        <w:pStyle w:val="ListParagraph"/>
        <w:numPr>
          <w:ilvl w:val="1"/>
          <w:numId w:val="118"/>
        </w:numPr>
        <w:tabs>
          <w:tab w:pos="926" w:val="left" w:leader="none"/>
        </w:tabs>
        <w:spacing w:line="404" w:lineRule="exact" w:before="0" w:after="0"/>
        <w:ind w:left="925" w:right="0" w:hanging="434"/>
        <w:jc w:val="both"/>
        <w:rPr>
          <w:sz w:val="24"/>
        </w:rPr>
      </w:pPr>
      <w:r>
        <w:rPr>
          <w:sz w:val="23"/>
        </w:rPr>
        <w:t>Ena1</w:t>
      </w:r>
      <w:r>
        <w:rPr>
          <w:spacing w:val="33"/>
          <w:sz w:val="23"/>
        </w:rPr>
        <w:t> </w:t>
      </w:r>
      <w:r>
        <w:rPr>
          <w:sz w:val="23"/>
        </w:rPr>
        <w:t>J,</w:t>
      </w:r>
      <w:r>
        <w:rPr>
          <w:spacing w:val="35"/>
          <w:sz w:val="23"/>
        </w:rPr>
        <w:t> </w:t>
      </w:r>
      <w:r>
        <w:rPr>
          <w:sz w:val="23"/>
        </w:rPr>
        <w:t>Valls</w:t>
      </w:r>
      <w:r>
        <w:rPr>
          <w:spacing w:val="36"/>
          <w:sz w:val="23"/>
        </w:rPr>
        <w:t> </w:t>
      </w:r>
      <w:r>
        <w:rPr>
          <w:sz w:val="23"/>
        </w:rPr>
        <w:t>V.</w:t>
      </w:r>
      <w:r>
        <w:rPr>
          <w:spacing w:val="33"/>
          <w:sz w:val="23"/>
        </w:rPr>
        <w:t> </w:t>
      </w:r>
      <w:r>
        <w:rPr>
          <w:sz w:val="23"/>
        </w:rPr>
        <w:t>Short-course</w:t>
      </w:r>
      <w:r>
        <w:rPr>
          <w:spacing w:val="34"/>
          <w:sz w:val="23"/>
        </w:rPr>
        <w:t> </w:t>
      </w:r>
      <w:r>
        <w:rPr>
          <w:sz w:val="23"/>
        </w:rPr>
        <w:t>therapy</w:t>
      </w:r>
      <w:r>
        <w:rPr>
          <w:spacing w:val="34"/>
          <w:sz w:val="23"/>
        </w:rPr>
        <w:t> </w:t>
      </w:r>
      <w:r>
        <w:rPr>
          <w:sz w:val="23"/>
        </w:rPr>
        <w:t>with</w:t>
      </w:r>
      <w:r>
        <w:rPr>
          <w:spacing w:val="35"/>
          <w:sz w:val="23"/>
        </w:rPr>
        <w:t> </w:t>
      </w:r>
      <w:r>
        <w:rPr>
          <w:sz w:val="23"/>
        </w:rPr>
        <w:t>rifampicin</w:t>
      </w:r>
      <w:r>
        <w:rPr>
          <w:spacing w:val="34"/>
          <w:sz w:val="23"/>
        </w:rPr>
        <w:t> </w:t>
      </w:r>
      <w:r>
        <w:rPr>
          <w:sz w:val="23"/>
        </w:rPr>
        <w:t>plus</w:t>
      </w:r>
      <w:r>
        <w:rPr>
          <w:spacing w:val="35"/>
          <w:sz w:val="23"/>
        </w:rPr>
        <w:t> </w:t>
      </w:r>
      <w:r>
        <w:rPr>
          <w:sz w:val="23"/>
        </w:rPr>
        <w:t>isoniazid,</w:t>
      </w:r>
      <w:r>
        <w:rPr>
          <w:spacing w:val="34"/>
          <w:sz w:val="23"/>
        </w:rPr>
        <w:t> </w:t>
      </w:r>
      <w:r>
        <w:rPr>
          <w:sz w:val="23"/>
        </w:rPr>
        <w:t>compared</w:t>
      </w:r>
    </w:p>
    <w:p>
      <w:pPr>
        <w:spacing w:line="232" w:lineRule="auto" w:before="0"/>
        <w:ind w:left="925" w:right="1383" w:firstLine="0"/>
        <w:jc w:val="both"/>
        <w:rPr>
          <w:sz w:val="23"/>
        </w:rPr>
      </w:pPr>
      <w:r>
        <w:rPr>
          <w:sz w:val="23"/>
        </w:rPr>
        <w:t>with standard therapy with isoniazid, for latent tuberculosis infection: a meta- analysis. Clin Infect Dis 2005; 40: 670–6.</w:t>
      </w:r>
    </w:p>
    <w:p>
      <w:pPr>
        <w:pStyle w:val="ListParagraph"/>
        <w:numPr>
          <w:ilvl w:val="1"/>
          <w:numId w:val="118"/>
        </w:numPr>
        <w:tabs>
          <w:tab w:pos="926" w:val="left" w:leader="none"/>
        </w:tabs>
        <w:spacing w:line="232" w:lineRule="auto" w:before="0" w:after="0"/>
        <w:ind w:left="925" w:right="1382" w:hanging="434"/>
        <w:jc w:val="both"/>
        <w:rPr>
          <w:sz w:val="24"/>
        </w:rPr>
      </w:pPr>
      <w:r>
        <w:rPr>
          <w:sz w:val="23"/>
        </w:rPr>
        <w:t>Anonymous. Guidelines for preventing opportunistic infections among hematopoietic stem cell transplant recipients. Recommendations of CDC, the Infectious Disease Society of America, and the American Society of Blood and Marrow Transplantation. MMWR 2000; 49(RR10):</w:t>
      </w:r>
      <w:r>
        <w:rPr>
          <w:spacing w:val="22"/>
          <w:sz w:val="23"/>
        </w:rPr>
        <w:t> </w:t>
      </w:r>
      <w:r>
        <w:rPr>
          <w:sz w:val="23"/>
        </w:rPr>
        <w:t>1-128.</w:t>
      </w:r>
    </w:p>
    <w:p>
      <w:pPr>
        <w:pStyle w:val="ListParagraph"/>
        <w:numPr>
          <w:ilvl w:val="1"/>
          <w:numId w:val="118"/>
        </w:numPr>
        <w:tabs>
          <w:tab w:pos="926" w:val="left" w:leader="none"/>
        </w:tabs>
        <w:spacing w:line="403" w:lineRule="exact" w:before="0" w:after="0"/>
        <w:ind w:left="925" w:right="0" w:hanging="434"/>
        <w:jc w:val="both"/>
        <w:rPr>
          <w:sz w:val="24"/>
        </w:rPr>
      </w:pPr>
      <w:r>
        <w:rPr>
          <w:sz w:val="23"/>
        </w:rPr>
        <w:t>World</w:t>
      </w:r>
      <w:r>
        <w:rPr>
          <w:spacing w:val="17"/>
          <w:sz w:val="23"/>
        </w:rPr>
        <w:t> </w:t>
      </w:r>
      <w:r>
        <w:rPr>
          <w:sz w:val="23"/>
        </w:rPr>
        <w:t>Health</w:t>
      </w:r>
      <w:r>
        <w:rPr>
          <w:spacing w:val="17"/>
          <w:sz w:val="23"/>
        </w:rPr>
        <w:t> </w:t>
      </w:r>
      <w:r>
        <w:rPr>
          <w:sz w:val="23"/>
        </w:rPr>
        <w:t>Organization.</w:t>
      </w:r>
      <w:r>
        <w:rPr>
          <w:spacing w:val="17"/>
          <w:sz w:val="23"/>
        </w:rPr>
        <w:t> </w:t>
      </w:r>
      <w:r>
        <w:rPr>
          <w:sz w:val="23"/>
        </w:rPr>
        <w:t>Rapid</w:t>
      </w:r>
      <w:r>
        <w:rPr>
          <w:spacing w:val="16"/>
          <w:sz w:val="23"/>
        </w:rPr>
        <w:t> </w:t>
      </w:r>
      <w:r>
        <w:rPr>
          <w:sz w:val="23"/>
        </w:rPr>
        <w:t>advice:</w:t>
      </w:r>
      <w:r>
        <w:rPr>
          <w:spacing w:val="17"/>
          <w:sz w:val="23"/>
        </w:rPr>
        <w:t> </w:t>
      </w:r>
      <w:r>
        <w:rPr>
          <w:sz w:val="23"/>
        </w:rPr>
        <w:t>treatment</w:t>
      </w:r>
      <w:r>
        <w:rPr>
          <w:spacing w:val="16"/>
          <w:sz w:val="23"/>
        </w:rPr>
        <w:t> </w:t>
      </w:r>
      <w:r>
        <w:rPr>
          <w:sz w:val="23"/>
        </w:rPr>
        <w:t>of</w:t>
      </w:r>
      <w:r>
        <w:rPr>
          <w:spacing w:val="17"/>
          <w:sz w:val="23"/>
        </w:rPr>
        <w:t> </w:t>
      </w:r>
      <w:r>
        <w:rPr>
          <w:sz w:val="23"/>
        </w:rPr>
        <w:t>tuberculosis</w:t>
      </w:r>
      <w:r>
        <w:rPr>
          <w:spacing w:val="17"/>
          <w:sz w:val="23"/>
        </w:rPr>
        <w:t> </w:t>
      </w:r>
      <w:r>
        <w:rPr>
          <w:sz w:val="23"/>
        </w:rPr>
        <w:t>in</w:t>
      </w:r>
      <w:r>
        <w:rPr>
          <w:spacing w:val="16"/>
          <w:sz w:val="23"/>
        </w:rPr>
        <w:t> </w:t>
      </w:r>
      <w:r>
        <w:rPr>
          <w:sz w:val="23"/>
        </w:rPr>
        <w:t>children,</w:t>
      </w:r>
    </w:p>
    <w:p>
      <w:pPr>
        <w:spacing w:line="408" w:lineRule="exact" w:before="0"/>
        <w:ind w:left="925" w:right="0" w:firstLine="0"/>
        <w:jc w:val="both"/>
        <w:rPr>
          <w:sz w:val="23"/>
        </w:rPr>
      </w:pPr>
      <w:r>
        <w:rPr>
          <w:sz w:val="23"/>
        </w:rPr>
        <w:t>2010. (</w:t>
      </w:r>
      <w:hyperlink r:id="rId53">
        <w:r>
          <w:rPr>
            <w:sz w:val="23"/>
            <w:u w:val="single"/>
          </w:rPr>
          <w:t>http://apps.who.int/iris/handle/10665/44444?locale=en&amp;null</w:t>
        </w:r>
        <w:r>
          <w:rPr>
            <w:sz w:val="23"/>
          </w:rPr>
          <w:t>;</w:t>
        </w:r>
      </w:hyperlink>
      <w:r>
        <w:rPr>
          <w:sz w:val="23"/>
        </w:rPr>
        <w:t> access:</w:t>
      </w:r>
    </w:p>
    <w:p>
      <w:pPr>
        <w:spacing w:line="403" w:lineRule="exact" w:before="0"/>
        <w:ind w:left="925" w:right="0" w:firstLine="0"/>
        <w:jc w:val="both"/>
        <w:rPr>
          <w:sz w:val="23"/>
        </w:rPr>
      </w:pPr>
      <w:r>
        <w:rPr>
          <w:sz w:val="23"/>
        </w:rPr>
        <w:t>Oct. 3, 2016).</w:t>
      </w:r>
    </w:p>
    <w:p>
      <w:pPr>
        <w:pStyle w:val="ListParagraph"/>
        <w:numPr>
          <w:ilvl w:val="1"/>
          <w:numId w:val="118"/>
        </w:numPr>
        <w:tabs>
          <w:tab w:pos="926" w:val="left" w:leader="none"/>
        </w:tabs>
        <w:spacing w:line="230" w:lineRule="auto" w:before="0" w:after="0"/>
        <w:ind w:left="925" w:right="1382" w:hanging="434"/>
        <w:jc w:val="both"/>
        <w:rPr>
          <w:sz w:val="24"/>
        </w:rPr>
      </w:pPr>
      <w:r>
        <w:rPr>
          <w:sz w:val="23"/>
        </w:rPr>
        <w:t>World Health Organization. New fixed-dose combinations for the treatment of TB in children. (</w:t>
      </w:r>
      <w:hyperlink r:id="rId54">
        <w:r>
          <w:rPr>
            <w:sz w:val="23"/>
            <w:u w:val="single"/>
          </w:rPr>
          <w:t>http://www.who.int/tb/areas-of-work/children/en/</w:t>
        </w:r>
      </w:hyperlink>
      <w:r>
        <w:rPr>
          <w:sz w:val="23"/>
          <w:u w:val="single"/>
        </w:rPr>
        <w:t>;  access: Oct. 3,</w:t>
      </w:r>
      <w:r>
        <w:rPr>
          <w:spacing w:val="4"/>
          <w:sz w:val="23"/>
          <w:u w:val="single"/>
        </w:rPr>
        <w:t> </w:t>
      </w:r>
      <w:r>
        <w:rPr>
          <w:sz w:val="23"/>
          <w:u w:val="single"/>
        </w:rPr>
        <w:t>2016).</w:t>
      </w:r>
    </w:p>
    <w:p>
      <w:pPr>
        <w:pStyle w:val="ListParagraph"/>
        <w:numPr>
          <w:ilvl w:val="1"/>
          <w:numId w:val="118"/>
        </w:numPr>
        <w:tabs>
          <w:tab w:pos="926" w:val="left" w:leader="none"/>
        </w:tabs>
        <w:spacing w:line="228" w:lineRule="auto" w:before="0" w:after="0"/>
        <w:ind w:left="925" w:right="1381" w:hanging="433"/>
        <w:jc w:val="both"/>
        <w:rPr>
          <w:color w:val="FF0000"/>
          <w:sz w:val="24"/>
        </w:rPr>
      </w:pPr>
      <w:r>
        <w:rPr>
          <w:color w:val="FF0000"/>
          <w:sz w:val="23"/>
        </w:rPr>
        <w:t>Opota O, Mazza-Stalder J, Greub G, Jaton K. The rapid molecular test Xpert MTB/</w:t>
      </w:r>
      <w:r>
        <w:rPr>
          <w:color w:val="FF0000"/>
          <w:sz w:val="24"/>
        </w:rPr>
        <w:t>RMP </w:t>
      </w:r>
      <w:r>
        <w:rPr>
          <w:color w:val="FF0000"/>
          <w:sz w:val="23"/>
        </w:rPr>
        <w:t>ultra: towards improved tuberculosis diagnosis and rifampicin resistance detection. Clin Microbiol Infect. 2019;25(11):1370-1376. Epub 2019 Mar</w:t>
      </w:r>
      <w:r>
        <w:rPr>
          <w:color w:val="FF0000"/>
          <w:spacing w:val="4"/>
          <w:sz w:val="23"/>
        </w:rPr>
        <w:t> </w:t>
      </w:r>
      <w:r>
        <w:rPr>
          <w:color w:val="FF0000"/>
          <w:sz w:val="23"/>
        </w:rPr>
        <w:t>28.</w:t>
      </w:r>
    </w:p>
    <w:p>
      <w:pPr>
        <w:pStyle w:val="ListParagraph"/>
        <w:numPr>
          <w:ilvl w:val="1"/>
          <w:numId w:val="118"/>
        </w:numPr>
        <w:tabs>
          <w:tab w:pos="926" w:val="left" w:leader="none"/>
        </w:tabs>
        <w:spacing w:line="232" w:lineRule="auto" w:before="0" w:after="0"/>
        <w:ind w:left="925" w:right="1383" w:hanging="434"/>
        <w:jc w:val="both"/>
        <w:rPr>
          <w:color w:val="FF0000"/>
          <w:sz w:val="24"/>
        </w:rPr>
      </w:pPr>
      <w:r>
        <w:rPr>
          <w:color w:val="FF0000"/>
          <w:sz w:val="23"/>
        </w:rPr>
        <w:t>Walters</w:t>
      </w:r>
      <w:r>
        <w:rPr>
          <w:color w:val="FF0000"/>
          <w:spacing w:val="-3"/>
          <w:sz w:val="23"/>
        </w:rPr>
        <w:t> </w:t>
      </w:r>
      <w:r>
        <w:rPr>
          <w:color w:val="FF0000"/>
          <w:sz w:val="23"/>
        </w:rPr>
        <w:t>E,</w:t>
      </w:r>
      <w:r>
        <w:rPr>
          <w:color w:val="FF0000"/>
          <w:spacing w:val="-5"/>
          <w:sz w:val="23"/>
        </w:rPr>
        <w:t> </w:t>
      </w:r>
      <w:r>
        <w:rPr>
          <w:color w:val="FF0000"/>
          <w:sz w:val="23"/>
        </w:rPr>
        <w:t>van</w:t>
      </w:r>
      <w:r>
        <w:rPr>
          <w:color w:val="FF0000"/>
          <w:spacing w:val="-4"/>
          <w:sz w:val="23"/>
        </w:rPr>
        <w:t> </w:t>
      </w:r>
      <w:r>
        <w:rPr>
          <w:color w:val="FF0000"/>
          <w:sz w:val="23"/>
        </w:rPr>
        <w:t>der</w:t>
      </w:r>
      <w:r>
        <w:rPr>
          <w:color w:val="FF0000"/>
          <w:spacing w:val="-3"/>
          <w:sz w:val="23"/>
        </w:rPr>
        <w:t> </w:t>
      </w:r>
      <w:r>
        <w:rPr>
          <w:color w:val="FF0000"/>
          <w:sz w:val="23"/>
        </w:rPr>
        <w:t>Zalm</w:t>
      </w:r>
      <w:r>
        <w:rPr>
          <w:color w:val="FF0000"/>
          <w:spacing w:val="-2"/>
          <w:sz w:val="23"/>
        </w:rPr>
        <w:t> </w:t>
      </w:r>
      <w:r>
        <w:rPr>
          <w:color w:val="FF0000"/>
          <w:sz w:val="23"/>
        </w:rPr>
        <w:t>MM,</w:t>
      </w:r>
      <w:r>
        <w:rPr>
          <w:color w:val="FF0000"/>
          <w:spacing w:val="-3"/>
          <w:sz w:val="23"/>
        </w:rPr>
        <w:t> </w:t>
      </w:r>
      <w:r>
        <w:rPr>
          <w:color w:val="FF0000"/>
          <w:sz w:val="23"/>
        </w:rPr>
        <w:t>Palmer</w:t>
      </w:r>
      <w:r>
        <w:rPr>
          <w:color w:val="FF0000"/>
          <w:spacing w:val="-3"/>
          <w:sz w:val="23"/>
        </w:rPr>
        <w:t> </w:t>
      </w:r>
      <w:r>
        <w:rPr>
          <w:color w:val="FF0000"/>
          <w:sz w:val="23"/>
        </w:rPr>
        <w:t>M,</w:t>
      </w:r>
      <w:r>
        <w:rPr>
          <w:color w:val="FF0000"/>
          <w:spacing w:val="-4"/>
          <w:sz w:val="23"/>
        </w:rPr>
        <w:t> </w:t>
      </w:r>
      <w:r>
        <w:rPr>
          <w:color w:val="FF0000"/>
          <w:sz w:val="23"/>
        </w:rPr>
        <w:t>Bosch</w:t>
      </w:r>
      <w:r>
        <w:rPr>
          <w:color w:val="FF0000"/>
          <w:spacing w:val="-2"/>
          <w:sz w:val="23"/>
        </w:rPr>
        <w:t> </w:t>
      </w:r>
      <w:r>
        <w:rPr>
          <w:color w:val="FF0000"/>
          <w:sz w:val="23"/>
        </w:rPr>
        <w:t>C,</w:t>
      </w:r>
      <w:r>
        <w:rPr>
          <w:color w:val="FF0000"/>
          <w:spacing w:val="-3"/>
          <w:sz w:val="23"/>
        </w:rPr>
        <w:t> </w:t>
      </w:r>
      <w:r>
        <w:rPr>
          <w:color w:val="FF0000"/>
          <w:sz w:val="23"/>
        </w:rPr>
        <w:t>Demers</w:t>
      </w:r>
      <w:r>
        <w:rPr>
          <w:color w:val="FF0000"/>
          <w:spacing w:val="-3"/>
          <w:sz w:val="23"/>
        </w:rPr>
        <w:t> </w:t>
      </w:r>
      <w:r>
        <w:rPr>
          <w:color w:val="FF0000"/>
          <w:sz w:val="23"/>
        </w:rPr>
        <w:t>AM,</w:t>
      </w:r>
      <w:r>
        <w:rPr>
          <w:color w:val="FF0000"/>
          <w:spacing w:val="-4"/>
          <w:sz w:val="23"/>
        </w:rPr>
        <w:t> </w:t>
      </w:r>
      <w:r>
        <w:rPr>
          <w:color w:val="FF0000"/>
          <w:sz w:val="23"/>
        </w:rPr>
        <w:t>Draper</w:t>
      </w:r>
      <w:r>
        <w:rPr>
          <w:color w:val="FF0000"/>
          <w:spacing w:val="-2"/>
          <w:sz w:val="23"/>
        </w:rPr>
        <w:t> </w:t>
      </w:r>
      <w:r>
        <w:rPr>
          <w:color w:val="FF0000"/>
          <w:sz w:val="23"/>
        </w:rPr>
        <w:t>H,</w:t>
      </w:r>
      <w:r>
        <w:rPr>
          <w:color w:val="FF0000"/>
          <w:spacing w:val="-4"/>
          <w:sz w:val="23"/>
        </w:rPr>
        <w:t> </w:t>
      </w:r>
      <w:r>
        <w:rPr>
          <w:color w:val="FF0000"/>
          <w:sz w:val="23"/>
        </w:rPr>
        <w:t>Goussard P,</w:t>
      </w:r>
      <w:r>
        <w:rPr>
          <w:color w:val="FF0000"/>
          <w:spacing w:val="34"/>
          <w:sz w:val="23"/>
        </w:rPr>
        <w:t> </w:t>
      </w:r>
      <w:r>
        <w:rPr>
          <w:color w:val="FF0000"/>
          <w:sz w:val="23"/>
        </w:rPr>
        <w:t>Schaaf</w:t>
      </w:r>
      <w:r>
        <w:rPr>
          <w:color w:val="FF0000"/>
          <w:spacing w:val="33"/>
          <w:sz w:val="23"/>
        </w:rPr>
        <w:t> </w:t>
      </w:r>
      <w:r>
        <w:rPr>
          <w:color w:val="FF0000"/>
          <w:sz w:val="23"/>
        </w:rPr>
        <w:t>HS,</w:t>
      </w:r>
      <w:r>
        <w:rPr>
          <w:color w:val="FF0000"/>
          <w:spacing w:val="33"/>
          <w:sz w:val="23"/>
        </w:rPr>
        <w:t> </w:t>
      </w:r>
      <w:r>
        <w:rPr>
          <w:color w:val="FF0000"/>
          <w:sz w:val="23"/>
        </w:rPr>
        <w:t>Friedrich</w:t>
      </w:r>
      <w:r>
        <w:rPr>
          <w:color w:val="FF0000"/>
          <w:spacing w:val="34"/>
          <w:sz w:val="23"/>
        </w:rPr>
        <w:t> </w:t>
      </w:r>
      <w:r>
        <w:rPr>
          <w:color w:val="FF0000"/>
          <w:sz w:val="23"/>
        </w:rPr>
        <w:t>SO,</w:t>
      </w:r>
      <w:r>
        <w:rPr>
          <w:color w:val="FF0000"/>
          <w:spacing w:val="33"/>
          <w:sz w:val="23"/>
        </w:rPr>
        <w:t> </w:t>
      </w:r>
      <w:r>
        <w:rPr>
          <w:color w:val="FF0000"/>
          <w:sz w:val="23"/>
        </w:rPr>
        <w:t>Whitelaw</w:t>
      </w:r>
      <w:r>
        <w:rPr>
          <w:color w:val="FF0000"/>
          <w:spacing w:val="35"/>
          <w:sz w:val="23"/>
        </w:rPr>
        <w:t> </w:t>
      </w:r>
      <w:r>
        <w:rPr>
          <w:color w:val="FF0000"/>
          <w:sz w:val="23"/>
        </w:rPr>
        <w:t>A,</w:t>
      </w:r>
      <w:r>
        <w:rPr>
          <w:color w:val="FF0000"/>
          <w:spacing w:val="32"/>
          <w:sz w:val="23"/>
        </w:rPr>
        <w:t> </w:t>
      </w:r>
      <w:r>
        <w:rPr>
          <w:color w:val="FF0000"/>
          <w:sz w:val="23"/>
        </w:rPr>
        <w:t>Warren</w:t>
      </w:r>
      <w:r>
        <w:rPr>
          <w:color w:val="FF0000"/>
          <w:spacing w:val="33"/>
          <w:sz w:val="23"/>
        </w:rPr>
        <w:t> </w:t>
      </w:r>
      <w:r>
        <w:rPr>
          <w:color w:val="FF0000"/>
          <w:sz w:val="23"/>
        </w:rPr>
        <w:t>R,</w:t>
      </w:r>
      <w:r>
        <w:rPr>
          <w:color w:val="FF0000"/>
          <w:spacing w:val="33"/>
          <w:sz w:val="23"/>
        </w:rPr>
        <w:t> </w:t>
      </w:r>
      <w:r>
        <w:rPr>
          <w:color w:val="FF0000"/>
          <w:sz w:val="23"/>
        </w:rPr>
        <w:t>Gie</w:t>
      </w:r>
      <w:r>
        <w:rPr>
          <w:color w:val="FF0000"/>
          <w:spacing w:val="34"/>
          <w:sz w:val="23"/>
        </w:rPr>
        <w:t> </w:t>
      </w:r>
      <w:r>
        <w:rPr>
          <w:color w:val="FF0000"/>
          <w:sz w:val="23"/>
        </w:rPr>
        <w:t>RP,</w:t>
      </w:r>
      <w:r>
        <w:rPr>
          <w:color w:val="FF0000"/>
          <w:spacing w:val="33"/>
          <w:sz w:val="23"/>
        </w:rPr>
        <w:t> </w:t>
      </w:r>
      <w:r>
        <w:rPr>
          <w:color w:val="FF0000"/>
          <w:sz w:val="23"/>
        </w:rPr>
        <w:t>Hesseling</w:t>
      </w:r>
      <w:r>
        <w:rPr>
          <w:color w:val="FF0000"/>
          <w:spacing w:val="33"/>
          <w:sz w:val="23"/>
        </w:rPr>
        <w:t> </w:t>
      </w:r>
      <w:r>
        <w:rPr>
          <w:color w:val="FF0000"/>
          <w:sz w:val="23"/>
        </w:rPr>
        <w:t>AC.</w:t>
      </w:r>
      <w:r>
        <w:rPr>
          <w:color w:val="FF0000"/>
          <w:spacing w:val="33"/>
          <w:sz w:val="23"/>
        </w:rPr>
        <w:t> </w:t>
      </w:r>
      <w:r>
        <w:rPr>
          <w:color w:val="FF0000"/>
          <w:sz w:val="23"/>
        </w:rPr>
        <w:t>Xpert</w:t>
      </w:r>
    </w:p>
    <w:p>
      <w:pPr>
        <w:spacing w:after="0" w:line="232" w:lineRule="auto"/>
        <w:jc w:val="both"/>
        <w:rPr>
          <w:sz w:val="24"/>
        </w:rPr>
        <w:sectPr>
          <w:pgSz w:w="12250" w:h="17190"/>
          <w:pgMar w:header="0" w:footer="828" w:top="1480" w:bottom="1020" w:left="1220" w:right="0"/>
        </w:sectPr>
      </w:pPr>
    </w:p>
    <w:p>
      <w:pPr>
        <w:spacing w:line="232" w:lineRule="auto" w:before="34"/>
        <w:ind w:left="925" w:right="1382" w:hanging="1"/>
        <w:jc w:val="both"/>
        <w:rPr>
          <w:sz w:val="23"/>
        </w:rPr>
      </w:pPr>
      <w:r>
        <w:rPr/>
        <w:pict>
          <v:group style="position:absolute;margin-left:570pt;margin-top:.591839pt;width:42.4pt;height:152.2pt;mso-position-horizontal-relative:page;mso-position-vertical-relative:paragraph;z-index:251826176" coordorigin="11400,12" coordsize="848,3044">
            <v:shape style="position:absolute;left:11400;top:11;width:848;height:3044" coordorigin="11400,12" coordsize="848,3044" path="m12227,12l11565,12,11501,25,11448,60,11413,113,11400,177,11400,2890,11413,2955,11448,3007,11501,3043,11565,3056,12227,3056,12247,3052,12247,16,12227,12xe" filled="true" fillcolor="#a6a6a6" stroked="false">
              <v:path arrowok="t"/>
              <v:fill type="solid"/>
            </v:shape>
            <v:shape style="position:absolute;left:11400;top:11;width:848;height:3044" type="#_x0000_t202" filled="false" stroked="false">
              <v:textbox inset="0,0,0,0">
                <w:txbxContent>
                  <w:p>
                    <w:pPr>
                      <w:spacing w:line="146" w:lineRule="auto" w:before="127"/>
                      <w:ind w:left="136" w:right="488" w:firstLine="0"/>
                      <w:jc w:val="both"/>
                      <w:rPr>
                        <w:sz w:val="22"/>
                      </w:rPr>
                    </w:pPr>
                    <w:r>
                      <w:rPr>
                        <w:sz w:val="22"/>
                      </w:rPr>
                      <w:t>第八章</w:t>
                    </w:r>
                  </w:p>
                  <w:p>
                    <w:pPr>
                      <w:spacing w:line="141" w:lineRule="auto" w:before="175"/>
                      <w:ind w:left="136" w:right="488" w:firstLine="0"/>
                      <w:jc w:val="both"/>
                      <w:rPr>
                        <w:sz w:val="22"/>
                      </w:rPr>
                    </w:pPr>
                    <w:r>
                      <w:rPr>
                        <w:sz w:val="22"/>
                      </w:rPr>
                      <w:t>兒童結核病之診療</w:t>
                    </w:r>
                  </w:p>
                </w:txbxContent>
              </v:textbox>
              <w10:wrap type="none"/>
            </v:shape>
            <w10:wrap type="none"/>
          </v:group>
        </w:pict>
      </w:r>
      <w:r>
        <w:rPr>
          <w:color w:val="FF0000"/>
          <w:sz w:val="23"/>
        </w:rPr>
        <w:t>MTB/</w:t>
      </w:r>
      <w:r>
        <w:rPr>
          <w:color w:val="FF0000"/>
          <w:sz w:val="24"/>
        </w:rPr>
        <w:t>RMP </w:t>
      </w:r>
      <w:r>
        <w:rPr>
          <w:color w:val="FF0000"/>
          <w:sz w:val="23"/>
        </w:rPr>
        <w:t>on Stool Is Useful for the Rapid Diagnosis of Tuberculosis in Young Children With Severe Pulmonary Disease. Pediatr Infect Dis J. 2017; 36(9):837- 843.</w:t>
      </w:r>
    </w:p>
    <w:p>
      <w:pPr>
        <w:spacing w:line="235" w:lineRule="auto" w:before="4"/>
        <w:ind w:left="921" w:right="2245" w:firstLine="0"/>
        <w:jc w:val="left"/>
        <w:rPr>
          <w:sz w:val="23"/>
        </w:rPr>
      </w:pPr>
      <w:hyperlink r:id="rId55">
        <w:r>
          <w:rPr>
            <w:color w:val="FF0000"/>
            <w:sz w:val="23"/>
            <w:u w:val="single" w:color="FF0000"/>
          </w:rPr>
          <w:t>https://www.kncvtbc.org/en/2018/10/25/simple-kncv-stool-test-break-</w:t>
        </w:r>
      </w:hyperlink>
      <w:r>
        <w:rPr>
          <w:color w:val="FF0000"/>
          <w:sz w:val="23"/>
        </w:rPr>
        <w:t> </w:t>
      </w:r>
      <w:hyperlink r:id="rId55">
        <w:r>
          <w:rPr>
            <w:color w:val="FF0000"/>
            <w:sz w:val="23"/>
            <w:u w:val="single" w:color="FF0000"/>
          </w:rPr>
          <w:t>through-for-childhood-tb/</w:t>
        </w:r>
      </w:hyperlink>
    </w:p>
    <w:p>
      <w:pPr>
        <w:pStyle w:val="ListParagraph"/>
        <w:numPr>
          <w:ilvl w:val="1"/>
          <w:numId w:val="118"/>
        </w:numPr>
        <w:tabs>
          <w:tab w:pos="926" w:val="left" w:leader="none"/>
        </w:tabs>
        <w:spacing w:line="232" w:lineRule="auto" w:before="0" w:after="0"/>
        <w:ind w:left="925" w:right="1382" w:hanging="433"/>
        <w:jc w:val="both"/>
        <w:rPr>
          <w:color w:val="FF0000"/>
          <w:sz w:val="24"/>
        </w:rPr>
      </w:pPr>
      <w:r>
        <w:rPr>
          <w:color w:val="FF0000"/>
          <w:sz w:val="23"/>
        </w:rPr>
        <w:t>Giulia Lombardi et al. QuantiFERON-TB Performs Better in Children, Including Infants, than in Adults with Active Tuberculosis: a Multicenter Study. Journal of Clinical Microbiology 2019 Volume 57 Issue 10</w:t>
      </w:r>
      <w:r>
        <w:rPr>
          <w:color w:val="FF0000"/>
          <w:spacing w:val="33"/>
          <w:sz w:val="23"/>
        </w:rPr>
        <w:t> </w:t>
      </w:r>
      <w:r>
        <w:rPr>
          <w:color w:val="FF0000"/>
          <w:sz w:val="23"/>
        </w:rPr>
        <w:t>e01048-19</w:t>
      </w:r>
    </w:p>
    <w:p>
      <w:pPr>
        <w:pStyle w:val="ListParagraph"/>
        <w:numPr>
          <w:ilvl w:val="1"/>
          <w:numId w:val="118"/>
        </w:numPr>
        <w:tabs>
          <w:tab w:pos="926" w:val="left" w:leader="none"/>
        </w:tabs>
        <w:spacing w:line="232" w:lineRule="auto" w:before="0" w:after="0"/>
        <w:ind w:left="925" w:right="1383" w:hanging="434"/>
        <w:jc w:val="both"/>
        <w:rPr>
          <w:color w:val="FF0000"/>
          <w:sz w:val="24"/>
        </w:rPr>
      </w:pPr>
      <w:r>
        <w:rPr>
          <w:color w:val="FF0000"/>
          <w:sz w:val="23"/>
        </w:rPr>
        <w:t>WHO operational handbook on tuberculosis. Module 1: prevention - tuberculosis preventive treatment. Geneva: World Health Organization; 2020. Licence: CC BY-NC-SA 3.0</w:t>
      </w:r>
      <w:r>
        <w:rPr>
          <w:color w:val="FF0000"/>
          <w:spacing w:val="16"/>
          <w:sz w:val="23"/>
        </w:rPr>
        <w:t> </w:t>
      </w:r>
      <w:r>
        <w:rPr>
          <w:color w:val="FF0000"/>
          <w:sz w:val="23"/>
        </w:rPr>
        <w:t>IGO.</w:t>
      </w:r>
    </w:p>
    <w:p>
      <w:pPr>
        <w:pStyle w:val="ListParagraph"/>
        <w:numPr>
          <w:ilvl w:val="1"/>
          <w:numId w:val="118"/>
        </w:numPr>
        <w:tabs>
          <w:tab w:pos="926" w:val="left" w:leader="none"/>
        </w:tabs>
        <w:spacing w:line="235" w:lineRule="auto" w:before="0" w:after="0"/>
        <w:ind w:left="925" w:right="1381" w:hanging="434"/>
        <w:jc w:val="both"/>
        <w:rPr>
          <w:sz w:val="24"/>
        </w:rPr>
      </w:pPr>
      <w:r>
        <w:rPr>
          <w:sz w:val="23"/>
        </w:rPr>
        <w:t>Chakravorty S, Simmons AM, Rowneki M, et al. The new Xpert MTB/</w:t>
      </w:r>
      <w:r>
        <w:rPr>
          <w:sz w:val="24"/>
        </w:rPr>
        <w:t>RMP </w:t>
      </w:r>
      <w:r>
        <w:rPr>
          <w:sz w:val="23"/>
        </w:rPr>
        <w:t>Ultra: improving detection of Mycobacterium tuberculosis and resistance to rifampin  in an assay suitable for point-of care testing. mBio 2017;8:e00812-17. DOI: 10.1128/mBio.00812-17</w:t>
      </w:r>
    </w:p>
    <w:p>
      <w:pPr>
        <w:pStyle w:val="ListParagraph"/>
        <w:numPr>
          <w:ilvl w:val="1"/>
          <w:numId w:val="118"/>
        </w:numPr>
        <w:tabs>
          <w:tab w:pos="926" w:val="left" w:leader="none"/>
        </w:tabs>
        <w:spacing w:line="408" w:lineRule="exact" w:before="0" w:after="0"/>
        <w:ind w:left="925" w:right="0" w:hanging="434"/>
        <w:jc w:val="both"/>
        <w:rPr>
          <w:sz w:val="24"/>
        </w:rPr>
      </w:pPr>
      <w:r>
        <w:rPr>
          <w:sz w:val="23"/>
        </w:rPr>
        <w:t>Peng</w:t>
      </w:r>
      <w:r>
        <w:rPr>
          <w:spacing w:val="14"/>
          <w:sz w:val="23"/>
        </w:rPr>
        <w:t> </w:t>
      </w:r>
      <w:r>
        <w:rPr>
          <w:sz w:val="23"/>
        </w:rPr>
        <w:t>SS*,</w:t>
      </w:r>
      <w:r>
        <w:rPr>
          <w:spacing w:val="13"/>
          <w:sz w:val="23"/>
        </w:rPr>
        <w:t> </w:t>
      </w:r>
      <w:r>
        <w:rPr>
          <w:sz w:val="23"/>
        </w:rPr>
        <w:t>Chan</w:t>
      </w:r>
      <w:r>
        <w:rPr>
          <w:spacing w:val="15"/>
          <w:sz w:val="23"/>
        </w:rPr>
        <w:t> </w:t>
      </w:r>
      <w:r>
        <w:rPr>
          <w:sz w:val="23"/>
        </w:rPr>
        <w:t>PC,</w:t>
      </w:r>
      <w:r>
        <w:rPr>
          <w:spacing w:val="14"/>
          <w:sz w:val="23"/>
        </w:rPr>
        <w:t> </w:t>
      </w:r>
      <w:r>
        <w:rPr>
          <w:sz w:val="23"/>
        </w:rPr>
        <w:t>Chang</w:t>
      </w:r>
      <w:r>
        <w:rPr>
          <w:spacing w:val="15"/>
          <w:sz w:val="23"/>
        </w:rPr>
        <w:t> </w:t>
      </w:r>
      <w:r>
        <w:rPr>
          <w:sz w:val="23"/>
        </w:rPr>
        <w:t>YC,</w:t>
      </w:r>
      <w:r>
        <w:rPr>
          <w:spacing w:val="15"/>
          <w:sz w:val="23"/>
        </w:rPr>
        <w:t> </w:t>
      </w:r>
      <w:r>
        <w:rPr>
          <w:sz w:val="23"/>
        </w:rPr>
        <w:t>Shih</w:t>
      </w:r>
      <w:r>
        <w:rPr>
          <w:spacing w:val="16"/>
          <w:sz w:val="23"/>
        </w:rPr>
        <w:t> </w:t>
      </w:r>
      <w:r>
        <w:rPr>
          <w:sz w:val="23"/>
        </w:rPr>
        <w:t>TT.</w:t>
      </w:r>
      <w:r>
        <w:rPr>
          <w:spacing w:val="15"/>
          <w:sz w:val="23"/>
        </w:rPr>
        <w:t> </w:t>
      </w:r>
      <w:r>
        <w:rPr>
          <w:sz w:val="23"/>
        </w:rPr>
        <w:t>Computed</w:t>
      </w:r>
      <w:r>
        <w:rPr>
          <w:spacing w:val="16"/>
          <w:sz w:val="23"/>
        </w:rPr>
        <w:t> </w:t>
      </w:r>
      <w:r>
        <w:rPr>
          <w:sz w:val="23"/>
        </w:rPr>
        <w:t>tomography</w:t>
      </w:r>
      <w:r>
        <w:rPr>
          <w:spacing w:val="14"/>
          <w:sz w:val="23"/>
        </w:rPr>
        <w:t> </w:t>
      </w:r>
      <w:r>
        <w:rPr>
          <w:sz w:val="23"/>
        </w:rPr>
        <w:t>of</w:t>
      </w:r>
      <w:r>
        <w:rPr>
          <w:spacing w:val="14"/>
          <w:sz w:val="23"/>
        </w:rPr>
        <w:t> </w:t>
      </w:r>
      <w:r>
        <w:rPr>
          <w:sz w:val="23"/>
        </w:rPr>
        <w:t>children</w:t>
      </w:r>
      <w:r>
        <w:rPr>
          <w:spacing w:val="15"/>
          <w:sz w:val="23"/>
        </w:rPr>
        <w:t> </w:t>
      </w:r>
      <w:r>
        <w:rPr>
          <w:sz w:val="23"/>
        </w:rPr>
        <w:t>with</w:t>
      </w:r>
    </w:p>
    <w:p>
      <w:pPr>
        <w:spacing w:line="235" w:lineRule="auto" w:before="0"/>
        <w:ind w:left="925" w:right="1384" w:firstLine="0"/>
        <w:jc w:val="both"/>
        <w:rPr>
          <w:sz w:val="23"/>
        </w:rPr>
      </w:pPr>
      <w:r>
        <w:rPr>
          <w:sz w:val="23"/>
        </w:rPr>
        <w:t>pulmonary Mycobacterium tuberculosis infection. J Formos Med Assoc. 2011; 110(12):744-9.</w:t>
      </w:r>
    </w:p>
    <w:p>
      <w:pPr>
        <w:pStyle w:val="ListParagraph"/>
        <w:numPr>
          <w:ilvl w:val="1"/>
          <w:numId w:val="118"/>
        </w:numPr>
        <w:tabs>
          <w:tab w:pos="926" w:val="left" w:leader="none"/>
        </w:tabs>
        <w:spacing w:line="232" w:lineRule="auto" w:before="0" w:after="0"/>
        <w:ind w:left="925" w:right="1381" w:hanging="434"/>
        <w:jc w:val="both"/>
        <w:rPr>
          <w:color w:val="FF0000"/>
          <w:sz w:val="24"/>
        </w:rPr>
      </w:pPr>
      <w:r>
        <w:rPr>
          <w:color w:val="FF0000"/>
          <w:sz w:val="23"/>
        </w:rPr>
        <w:t>WHO consolidated guidelines on tuberculosis. Module 3: diagnosis – rapid diagnostics for tuberculosis detection.</w:t>
      </w:r>
      <w:r>
        <w:rPr>
          <w:color w:val="FF0000"/>
          <w:spacing w:val="13"/>
          <w:sz w:val="23"/>
        </w:rPr>
        <w:t> </w:t>
      </w:r>
      <w:r>
        <w:rPr>
          <w:color w:val="FF0000"/>
          <w:sz w:val="23"/>
        </w:rPr>
        <w:t>2020</w:t>
      </w:r>
    </w:p>
    <w:p>
      <w:pPr>
        <w:spacing w:after="0" w:line="232" w:lineRule="auto"/>
        <w:jc w:val="both"/>
        <w:rPr>
          <w:sz w:val="24"/>
        </w:rPr>
        <w:sectPr>
          <w:pgSz w:w="12250" w:h="17190"/>
          <w:pgMar w:header="0" w:footer="828" w:top="1460" w:bottom="1020" w:left="1220" w:right="0"/>
        </w:sectPr>
      </w:pPr>
    </w:p>
    <w:p>
      <w:pPr>
        <w:pStyle w:val="Heading6"/>
        <w:spacing w:before="8"/>
        <w:ind w:left="68" w:right="1288"/>
        <w:jc w:val="center"/>
      </w:pPr>
      <w:bookmarkStart w:name="表 8-1 兒童抗結核藥物建議療程" w:id="96"/>
      <w:bookmarkEnd w:id="96"/>
      <w:r>
        <w:rPr>
          <w:b w:val="0"/>
        </w:rPr>
      </w:r>
      <w:r>
        <w:rPr/>
        <w:t>表 8-1 </w:t>
      </w:r>
      <w:r>
        <w:rPr>
          <w:color w:val="FF0000"/>
        </w:rPr>
        <w:t>兒童</w:t>
      </w:r>
      <w:r>
        <w:rPr/>
        <w:t>抗結核藥物建議療程</w:t>
      </w:r>
    </w:p>
    <w:p>
      <w:pPr>
        <w:pStyle w:val="BodyText"/>
        <w:spacing w:before="9"/>
        <w:rPr>
          <w:b/>
          <w:sz w:val="5"/>
        </w:rPr>
      </w:pPr>
    </w:p>
    <w:tbl>
      <w:tblPr>
        <w:tblW w:w="0" w:type="auto"/>
        <w:jc w:val="left"/>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8"/>
        <w:gridCol w:w="1520"/>
        <w:gridCol w:w="3120"/>
        <w:gridCol w:w="2730"/>
      </w:tblGrid>
      <w:tr>
        <w:trPr>
          <w:trHeight w:val="444" w:hRule="atLeast"/>
        </w:trPr>
        <w:tc>
          <w:tcPr>
            <w:tcW w:w="2128" w:type="dxa"/>
            <w:tcBorders>
              <w:bottom w:val="single" w:sz="6" w:space="0" w:color="000000"/>
              <w:right w:val="single" w:sz="6" w:space="0" w:color="000000"/>
            </w:tcBorders>
            <w:shd w:val="clear" w:color="auto" w:fill="F1F1F1"/>
          </w:tcPr>
          <w:p>
            <w:pPr>
              <w:pStyle w:val="TableParagraph"/>
              <w:spacing w:line="419" w:lineRule="exact" w:before="5"/>
              <w:ind w:left="802" w:right="792"/>
              <w:jc w:val="center"/>
              <w:rPr>
                <w:sz w:val="24"/>
              </w:rPr>
            </w:pPr>
            <w:r>
              <w:rPr>
                <w:sz w:val="24"/>
              </w:rPr>
              <w:t>疾病</w:t>
            </w:r>
          </w:p>
        </w:tc>
        <w:tc>
          <w:tcPr>
            <w:tcW w:w="1520" w:type="dxa"/>
            <w:tcBorders>
              <w:left w:val="single" w:sz="6" w:space="0" w:color="000000"/>
              <w:bottom w:val="single" w:sz="6" w:space="0" w:color="000000"/>
              <w:right w:val="single" w:sz="6" w:space="0" w:color="000000"/>
            </w:tcBorders>
            <w:shd w:val="clear" w:color="auto" w:fill="F1F1F1"/>
          </w:tcPr>
          <w:p>
            <w:pPr>
              <w:pStyle w:val="TableParagraph"/>
              <w:spacing w:line="419" w:lineRule="exact" w:before="5"/>
              <w:ind w:left="59" w:right="51"/>
              <w:jc w:val="center"/>
              <w:rPr>
                <w:sz w:val="24"/>
              </w:rPr>
            </w:pPr>
            <w:r>
              <w:rPr>
                <w:sz w:val="24"/>
              </w:rPr>
              <w:t>治療時間(月)</w:t>
            </w:r>
          </w:p>
        </w:tc>
        <w:tc>
          <w:tcPr>
            <w:tcW w:w="3120" w:type="dxa"/>
            <w:tcBorders>
              <w:left w:val="single" w:sz="6" w:space="0" w:color="000000"/>
              <w:bottom w:val="single" w:sz="6" w:space="0" w:color="000000"/>
              <w:right w:val="single" w:sz="6" w:space="0" w:color="000000"/>
            </w:tcBorders>
            <w:shd w:val="clear" w:color="auto" w:fill="F1F1F1"/>
          </w:tcPr>
          <w:p>
            <w:pPr>
              <w:pStyle w:val="TableParagraph"/>
              <w:spacing w:line="419" w:lineRule="exact" w:before="5"/>
              <w:ind w:left="1173" w:right="1171"/>
              <w:jc w:val="center"/>
              <w:rPr>
                <w:sz w:val="24"/>
              </w:rPr>
            </w:pPr>
            <w:r>
              <w:rPr>
                <w:sz w:val="24"/>
              </w:rPr>
              <w:t>加強期</w:t>
            </w:r>
          </w:p>
        </w:tc>
        <w:tc>
          <w:tcPr>
            <w:tcW w:w="2730" w:type="dxa"/>
            <w:tcBorders>
              <w:left w:val="single" w:sz="6" w:space="0" w:color="000000"/>
              <w:bottom w:val="single" w:sz="6" w:space="0" w:color="000000"/>
            </w:tcBorders>
            <w:shd w:val="clear" w:color="auto" w:fill="F1F1F1"/>
          </w:tcPr>
          <w:p>
            <w:pPr>
              <w:pStyle w:val="TableParagraph"/>
              <w:spacing w:line="419" w:lineRule="exact" w:before="5"/>
              <w:ind w:left="979" w:right="978"/>
              <w:jc w:val="center"/>
              <w:rPr>
                <w:sz w:val="24"/>
              </w:rPr>
            </w:pPr>
            <w:r>
              <w:rPr>
                <w:sz w:val="24"/>
              </w:rPr>
              <w:t>持續期</w:t>
            </w:r>
          </w:p>
        </w:tc>
      </w:tr>
      <w:tr>
        <w:trPr>
          <w:trHeight w:val="1115" w:hRule="atLeast"/>
        </w:trPr>
        <w:tc>
          <w:tcPr>
            <w:tcW w:w="2128" w:type="dxa"/>
            <w:vMerge w:val="restart"/>
            <w:tcBorders>
              <w:top w:val="single" w:sz="6" w:space="0" w:color="000000"/>
              <w:bottom w:val="single" w:sz="6" w:space="0" w:color="000000"/>
              <w:right w:val="single" w:sz="6" w:space="0" w:color="000000"/>
            </w:tcBorders>
          </w:tcPr>
          <w:p>
            <w:pPr>
              <w:pStyle w:val="TableParagraph"/>
              <w:spacing w:line="196" w:lineRule="auto" w:before="281"/>
              <w:ind w:left="75" w:right="118"/>
              <w:jc w:val="both"/>
              <w:rPr>
                <w:sz w:val="24"/>
              </w:rPr>
            </w:pPr>
            <w:r>
              <w:rPr>
                <w:sz w:val="24"/>
              </w:rPr>
              <w:t>肺結核、頸部淋巴腺結核等輕度肺外結核</w:t>
            </w:r>
          </w:p>
        </w:tc>
        <w:tc>
          <w:tcPr>
            <w:tcW w:w="1520" w:type="dxa"/>
            <w:tcBorders>
              <w:top w:val="single" w:sz="6" w:space="0" w:color="000000"/>
              <w:left w:val="single" w:sz="6" w:space="0" w:color="000000"/>
              <w:bottom w:val="single" w:sz="6" w:space="0" w:color="000000"/>
              <w:right w:val="single" w:sz="6" w:space="0" w:color="000000"/>
            </w:tcBorders>
          </w:tcPr>
          <w:p>
            <w:pPr>
              <w:pStyle w:val="TableParagraph"/>
              <w:spacing w:before="11"/>
              <w:rPr>
                <w:b/>
                <w:sz w:val="18"/>
              </w:rPr>
            </w:pPr>
          </w:p>
          <w:p>
            <w:pPr>
              <w:pStyle w:val="TableParagraph"/>
              <w:ind w:left="58" w:right="51"/>
              <w:jc w:val="center"/>
              <w:rPr>
                <w:sz w:val="16"/>
              </w:rPr>
            </w:pPr>
            <w:r>
              <w:rPr>
                <w:position w:val="-10"/>
                <w:sz w:val="24"/>
              </w:rPr>
              <w:t>6</w:t>
            </w:r>
            <w:r>
              <w:rPr>
                <w:sz w:val="16"/>
              </w:rPr>
              <w:t>*</w:t>
            </w:r>
          </w:p>
        </w:tc>
        <w:tc>
          <w:tcPr>
            <w:tcW w:w="3120" w:type="dxa"/>
            <w:tcBorders>
              <w:top w:val="single" w:sz="6" w:space="0" w:color="000000"/>
              <w:left w:val="single" w:sz="6" w:space="0" w:color="000000"/>
              <w:bottom w:val="single" w:sz="6" w:space="0" w:color="000000"/>
              <w:right w:val="single" w:sz="6" w:space="0" w:color="000000"/>
            </w:tcBorders>
          </w:tcPr>
          <w:p>
            <w:pPr>
              <w:pStyle w:val="TableParagraph"/>
              <w:spacing w:line="379" w:lineRule="exact"/>
              <w:ind w:left="102"/>
              <w:rPr>
                <w:sz w:val="24"/>
              </w:rPr>
            </w:pPr>
            <w:r>
              <w:rPr>
                <w:sz w:val="24"/>
              </w:rPr>
              <w:t>INH + RMP + PZA + EMB</w:t>
            </w:r>
          </w:p>
          <w:p>
            <w:pPr>
              <w:pStyle w:val="TableParagraph"/>
              <w:spacing w:line="402" w:lineRule="exact"/>
              <w:ind w:left="102"/>
              <w:rPr>
                <w:sz w:val="16"/>
              </w:rPr>
            </w:pPr>
            <w:r>
              <w:rPr>
                <w:sz w:val="24"/>
              </w:rPr>
              <w:t>每日服用，2 個月</w:t>
            </w:r>
            <w:r>
              <w:rPr>
                <w:position w:val="11"/>
                <w:sz w:val="16"/>
              </w:rPr>
              <w:t>**</w:t>
            </w:r>
          </w:p>
        </w:tc>
        <w:tc>
          <w:tcPr>
            <w:tcW w:w="2730" w:type="dxa"/>
            <w:tcBorders>
              <w:top w:val="single" w:sz="6" w:space="0" w:color="000000"/>
              <w:left w:val="single" w:sz="6" w:space="0" w:color="000000"/>
              <w:bottom w:val="single" w:sz="6" w:space="0" w:color="000000"/>
            </w:tcBorders>
          </w:tcPr>
          <w:p>
            <w:pPr>
              <w:pStyle w:val="TableParagraph"/>
              <w:spacing w:line="196" w:lineRule="auto" w:before="38"/>
              <w:ind w:left="102" w:right="553"/>
              <w:rPr>
                <w:sz w:val="24"/>
              </w:rPr>
            </w:pPr>
            <w:r>
              <w:rPr>
                <w:sz w:val="24"/>
              </w:rPr>
              <w:t>INH + RMP 每日服用，</w:t>
            </w:r>
          </w:p>
          <w:p>
            <w:pPr>
              <w:pStyle w:val="TableParagraph"/>
              <w:spacing w:line="334" w:lineRule="exact"/>
              <w:ind w:left="102"/>
              <w:rPr>
                <w:sz w:val="24"/>
              </w:rPr>
            </w:pPr>
            <w:r>
              <w:rPr>
                <w:sz w:val="24"/>
              </w:rPr>
              <w:t>4 個 月</w:t>
            </w:r>
          </w:p>
        </w:tc>
      </w:tr>
      <w:tr>
        <w:trPr>
          <w:trHeight w:val="460" w:hRule="atLeast"/>
        </w:trPr>
        <w:tc>
          <w:tcPr>
            <w:tcW w:w="2128" w:type="dxa"/>
            <w:vMerge/>
            <w:tcBorders>
              <w:top w:val="nil"/>
              <w:bottom w:val="single" w:sz="6" w:space="0" w:color="000000"/>
              <w:right w:val="single" w:sz="6" w:space="0" w:color="000000"/>
            </w:tcBorders>
          </w:tcPr>
          <w:p>
            <w:pPr>
              <w:rPr>
                <w:sz w:val="2"/>
                <w:szCs w:val="2"/>
              </w:rPr>
            </w:pPr>
          </w:p>
        </w:tc>
        <w:tc>
          <w:tcPr>
            <w:tcW w:w="1520" w:type="dxa"/>
            <w:tcBorders>
              <w:top w:val="single" w:sz="6" w:space="0" w:color="000000"/>
              <w:left w:val="single" w:sz="6" w:space="0" w:color="000000"/>
              <w:bottom w:val="single" w:sz="6" w:space="0" w:color="000000"/>
              <w:right w:val="single" w:sz="6" w:space="0" w:color="000000"/>
            </w:tcBorders>
          </w:tcPr>
          <w:p>
            <w:pPr>
              <w:pStyle w:val="TableParagraph"/>
              <w:spacing w:line="158" w:lineRule="auto" w:before="84"/>
              <w:ind w:left="58" w:right="51"/>
              <w:jc w:val="center"/>
              <w:rPr>
                <w:sz w:val="16"/>
              </w:rPr>
            </w:pPr>
            <w:r>
              <w:rPr>
                <w:position w:val="-10"/>
                <w:sz w:val="24"/>
              </w:rPr>
              <w:t>9</w:t>
            </w:r>
            <w:r>
              <w:rPr>
                <w:sz w:val="16"/>
              </w:rPr>
              <w:t>†</w:t>
            </w:r>
          </w:p>
        </w:tc>
        <w:tc>
          <w:tcPr>
            <w:tcW w:w="3120" w:type="dxa"/>
            <w:tcBorders>
              <w:top w:val="single" w:sz="6" w:space="0" w:color="000000"/>
              <w:left w:val="single" w:sz="6" w:space="0" w:color="000000"/>
              <w:bottom w:val="single" w:sz="6" w:space="0" w:color="000000"/>
              <w:right w:val="single" w:sz="6" w:space="0" w:color="000000"/>
            </w:tcBorders>
          </w:tcPr>
          <w:p>
            <w:pPr>
              <w:pStyle w:val="TableParagraph"/>
              <w:spacing w:line="426" w:lineRule="exact" w:before="14"/>
              <w:ind w:left="102"/>
              <w:rPr>
                <w:sz w:val="24"/>
              </w:rPr>
            </w:pPr>
            <w:r>
              <w:rPr>
                <w:sz w:val="24"/>
              </w:rPr>
              <w:t>INH + RMP，每日服用</w:t>
            </w:r>
          </w:p>
        </w:tc>
        <w:tc>
          <w:tcPr>
            <w:tcW w:w="2730" w:type="dxa"/>
            <w:tcBorders>
              <w:top w:val="single" w:sz="6" w:space="0" w:color="000000"/>
              <w:left w:val="single" w:sz="6" w:space="0" w:color="000000"/>
              <w:bottom w:val="single" w:sz="6" w:space="0" w:color="000000"/>
            </w:tcBorders>
          </w:tcPr>
          <w:p>
            <w:pPr>
              <w:pStyle w:val="TableParagraph"/>
              <w:spacing w:line="426" w:lineRule="exact" w:before="14"/>
              <w:ind w:left="102"/>
              <w:rPr>
                <w:sz w:val="24"/>
              </w:rPr>
            </w:pPr>
            <w:r>
              <w:rPr>
                <w:sz w:val="24"/>
              </w:rPr>
              <w:t>INH + RMP，每日服用</w:t>
            </w:r>
          </w:p>
        </w:tc>
      </w:tr>
      <w:tr>
        <w:trPr>
          <w:trHeight w:val="756" w:hRule="atLeast"/>
        </w:trPr>
        <w:tc>
          <w:tcPr>
            <w:tcW w:w="2128" w:type="dxa"/>
            <w:tcBorders>
              <w:top w:val="single" w:sz="6" w:space="0" w:color="000000"/>
              <w:bottom w:val="single" w:sz="6" w:space="0" w:color="000000"/>
              <w:right w:val="single" w:sz="6" w:space="0" w:color="000000"/>
            </w:tcBorders>
          </w:tcPr>
          <w:p>
            <w:pPr>
              <w:pStyle w:val="TableParagraph"/>
              <w:spacing w:before="81"/>
              <w:ind w:left="75"/>
              <w:rPr>
                <w:sz w:val="23"/>
              </w:rPr>
            </w:pPr>
            <w:r>
              <w:rPr>
                <w:sz w:val="24"/>
              </w:rPr>
              <w:t>嚴重肺外結核</w:t>
            </w:r>
            <w:r>
              <w:rPr>
                <w:position w:val="10"/>
                <w:sz w:val="23"/>
              </w:rPr>
              <w:t>††</w:t>
            </w:r>
          </w:p>
        </w:tc>
        <w:tc>
          <w:tcPr>
            <w:tcW w:w="1520" w:type="dxa"/>
            <w:tcBorders>
              <w:top w:val="single" w:sz="6" w:space="0" w:color="000000"/>
              <w:left w:val="single" w:sz="6" w:space="0" w:color="000000"/>
              <w:bottom w:val="single" w:sz="6" w:space="0" w:color="000000"/>
              <w:right w:val="single" w:sz="6" w:space="0" w:color="000000"/>
            </w:tcBorders>
          </w:tcPr>
          <w:p>
            <w:pPr>
              <w:pStyle w:val="TableParagraph"/>
              <w:spacing w:before="167"/>
              <w:ind w:left="59" w:right="51"/>
              <w:jc w:val="center"/>
              <w:rPr>
                <w:sz w:val="24"/>
              </w:rPr>
            </w:pPr>
            <w:r>
              <w:rPr>
                <w:sz w:val="24"/>
              </w:rPr>
              <w:t>9-12</w:t>
            </w:r>
          </w:p>
        </w:tc>
        <w:tc>
          <w:tcPr>
            <w:tcW w:w="3120" w:type="dxa"/>
            <w:tcBorders>
              <w:top w:val="single" w:sz="6" w:space="0" w:color="000000"/>
              <w:left w:val="single" w:sz="6" w:space="0" w:color="000000"/>
              <w:bottom w:val="single" w:sz="6" w:space="0" w:color="000000"/>
              <w:right w:val="single" w:sz="6" w:space="0" w:color="000000"/>
            </w:tcBorders>
          </w:tcPr>
          <w:p>
            <w:pPr>
              <w:pStyle w:val="TableParagraph"/>
              <w:spacing w:line="387" w:lineRule="exact"/>
              <w:ind w:left="102"/>
              <w:rPr>
                <w:sz w:val="24"/>
              </w:rPr>
            </w:pPr>
            <w:r>
              <w:rPr>
                <w:sz w:val="24"/>
              </w:rPr>
              <w:t>INH + RMP + PZA + EMB</w:t>
            </w:r>
          </w:p>
          <w:p>
            <w:pPr>
              <w:pStyle w:val="TableParagraph"/>
              <w:spacing w:line="350" w:lineRule="exact"/>
              <w:ind w:left="102"/>
              <w:rPr>
                <w:sz w:val="16"/>
              </w:rPr>
            </w:pPr>
            <w:r>
              <w:rPr>
                <w:sz w:val="24"/>
              </w:rPr>
              <w:t>每日服用，2 個月</w:t>
            </w:r>
            <w:r>
              <w:rPr>
                <w:position w:val="11"/>
                <w:sz w:val="16"/>
              </w:rPr>
              <w:t>**</w:t>
            </w:r>
          </w:p>
        </w:tc>
        <w:tc>
          <w:tcPr>
            <w:tcW w:w="2730" w:type="dxa"/>
            <w:tcBorders>
              <w:top w:val="single" w:sz="6" w:space="0" w:color="000000"/>
              <w:left w:val="single" w:sz="6" w:space="0" w:color="000000"/>
              <w:bottom w:val="single" w:sz="6" w:space="0" w:color="000000"/>
            </w:tcBorders>
          </w:tcPr>
          <w:p>
            <w:pPr>
              <w:pStyle w:val="TableParagraph"/>
              <w:spacing w:line="382" w:lineRule="exact"/>
              <w:ind w:left="102"/>
              <w:rPr>
                <w:sz w:val="24"/>
              </w:rPr>
            </w:pPr>
            <w:r>
              <w:rPr>
                <w:sz w:val="24"/>
              </w:rPr>
              <w:t>INH + RMP 每日服用，</w:t>
            </w:r>
          </w:p>
          <w:p>
            <w:pPr>
              <w:pStyle w:val="TableParagraph"/>
              <w:spacing w:line="354" w:lineRule="exact"/>
              <w:ind w:left="102"/>
              <w:rPr>
                <w:sz w:val="24"/>
              </w:rPr>
            </w:pPr>
            <w:r>
              <w:rPr>
                <w:sz w:val="24"/>
              </w:rPr>
              <w:t>7-10 個 月</w:t>
            </w:r>
          </w:p>
        </w:tc>
      </w:tr>
      <w:tr>
        <w:trPr>
          <w:trHeight w:val="1871" w:hRule="atLeast"/>
        </w:trPr>
        <w:tc>
          <w:tcPr>
            <w:tcW w:w="2128" w:type="dxa"/>
            <w:tcBorders>
              <w:top w:val="single" w:sz="6" w:space="0" w:color="000000"/>
              <w:bottom w:val="single" w:sz="6" w:space="0" w:color="000000"/>
              <w:right w:val="single" w:sz="6" w:space="0" w:color="000000"/>
            </w:tcBorders>
          </w:tcPr>
          <w:p>
            <w:pPr>
              <w:pStyle w:val="TableParagraph"/>
              <w:spacing w:before="7"/>
              <w:rPr>
                <w:b/>
                <w:sz w:val="39"/>
              </w:rPr>
            </w:pPr>
          </w:p>
          <w:p>
            <w:pPr>
              <w:pStyle w:val="TableParagraph"/>
              <w:ind w:left="75"/>
              <w:rPr>
                <w:sz w:val="24"/>
              </w:rPr>
            </w:pPr>
            <w:r>
              <w:rPr>
                <w:sz w:val="24"/>
              </w:rPr>
              <w:t>腦膜炎</w:t>
            </w:r>
          </w:p>
        </w:tc>
        <w:tc>
          <w:tcPr>
            <w:tcW w:w="1520" w:type="dxa"/>
            <w:tcBorders>
              <w:top w:val="single" w:sz="6" w:space="0" w:color="000000"/>
              <w:left w:val="single" w:sz="6" w:space="0" w:color="000000"/>
              <w:bottom w:val="single" w:sz="6" w:space="0" w:color="000000"/>
              <w:right w:val="single" w:sz="6" w:space="0" w:color="000000"/>
            </w:tcBorders>
          </w:tcPr>
          <w:p>
            <w:pPr>
              <w:pStyle w:val="TableParagraph"/>
              <w:spacing w:before="7"/>
              <w:rPr>
                <w:b/>
                <w:sz w:val="39"/>
              </w:rPr>
            </w:pPr>
          </w:p>
          <w:p>
            <w:pPr>
              <w:pStyle w:val="TableParagraph"/>
              <w:ind w:left="59" w:right="51"/>
              <w:jc w:val="center"/>
              <w:rPr>
                <w:sz w:val="24"/>
              </w:rPr>
            </w:pPr>
            <w:r>
              <w:rPr>
                <w:sz w:val="24"/>
              </w:rPr>
              <w:t>12</w:t>
            </w:r>
          </w:p>
        </w:tc>
        <w:tc>
          <w:tcPr>
            <w:tcW w:w="3120" w:type="dxa"/>
            <w:tcBorders>
              <w:top w:val="single" w:sz="6" w:space="0" w:color="000000"/>
              <w:left w:val="single" w:sz="6" w:space="0" w:color="000000"/>
              <w:bottom w:val="single" w:sz="6" w:space="0" w:color="000000"/>
              <w:right w:val="single" w:sz="6" w:space="0" w:color="000000"/>
            </w:tcBorders>
          </w:tcPr>
          <w:p>
            <w:pPr>
              <w:pStyle w:val="TableParagraph"/>
              <w:spacing w:line="401" w:lineRule="exact" w:before="4"/>
              <w:ind w:left="102"/>
              <w:rPr>
                <w:sz w:val="24"/>
              </w:rPr>
            </w:pPr>
            <w:r>
              <w:rPr>
                <w:sz w:val="24"/>
              </w:rPr>
              <w:t>INH + RMP + PZA</w:t>
            </w:r>
          </w:p>
          <w:p>
            <w:pPr>
              <w:pStyle w:val="TableParagraph"/>
              <w:spacing w:line="196" w:lineRule="auto" w:before="17"/>
              <w:ind w:left="102" w:right="864"/>
              <w:rPr>
                <w:sz w:val="24"/>
              </w:rPr>
            </w:pPr>
            <w:r>
              <w:rPr>
                <w:sz w:val="24"/>
              </w:rPr>
              <w:t>+levofloxacin</w:t>
            </w:r>
            <w:r>
              <w:rPr>
                <w:spacing w:val="29"/>
                <w:sz w:val="24"/>
              </w:rPr>
              <w:t> 或moxifloxacin 或aminoglycoside</w:t>
            </w:r>
            <w:r>
              <w:rPr>
                <w:spacing w:val="18"/>
                <w:sz w:val="24"/>
              </w:rPr>
              <w:t> 或</w:t>
            </w:r>
          </w:p>
          <w:p>
            <w:pPr>
              <w:pStyle w:val="TableParagraph"/>
              <w:spacing w:line="344" w:lineRule="exact"/>
              <w:ind w:left="102"/>
              <w:rPr>
                <w:sz w:val="24"/>
              </w:rPr>
            </w:pPr>
            <w:r>
              <w:rPr>
                <w:sz w:val="24"/>
              </w:rPr>
              <w:t>prothionamide，2 個 月</w:t>
            </w:r>
          </w:p>
        </w:tc>
        <w:tc>
          <w:tcPr>
            <w:tcW w:w="2730" w:type="dxa"/>
            <w:tcBorders>
              <w:top w:val="single" w:sz="6" w:space="0" w:color="000000"/>
              <w:left w:val="single" w:sz="6" w:space="0" w:color="000000"/>
              <w:bottom w:val="single" w:sz="6" w:space="0" w:color="000000"/>
            </w:tcBorders>
          </w:tcPr>
          <w:p>
            <w:pPr>
              <w:pStyle w:val="TableParagraph"/>
              <w:spacing w:before="4"/>
              <w:ind w:left="102"/>
              <w:rPr>
                <w:sz w:val="24"/>
              </w:rPr>
            </w:pPr>
            <w:r>
              <w:rPr>
                <w:sz w:val="24"/>
              </w:rPr>
              <w:t>INH + RMP，10 個 月</w:t>
            </w:r>
          </w:p>
        </w:tc>
      </w:tr>
      <w:tr>
        <w:trPr>
          <w:trHeight w:val="1321" w:hRule="atLeast"/>
        </w:trPr>
        <w:tc>
          <w:tcPr>
            <w:tcW w:w="2128" w:type="dxa"/>
            <w:tcBorders>
              <w:top w:val="single" w:sz="6" w:space="0" w:color="000000"/>
              <w:bottom w:val="single" w:sz="6" w:space="0" w:color="000000"/>
              <w:right w:val="single" w:sz="6" w:space="0" w:color="000000"/>
            </w:tcBorders>
          </w:tcPr>
          <w:p>
            <w:pPr>
              <w:pStyle w:val="TableParagraph"/>
              <w:spacing w:before="8"/>
              <w:rPr>
                <w:b/>
                <w:sz w:val="24"/>
              </w:rPr>
            </w:pPr>
          </w:p>
          <w:p>
            <w:pPr>
              <w:pStyle w:val="TableParagraph"/>
              <w:ind w:left="75"/>
              <w:rPr>
                <w:sz w:val="24"/>
              </w:rPr>
            </w:pPr>
            <w:r>
              <w:rPr>
                <w:sz w:val="24"/>
              </w:rPr>
              <w:t>多重抗藥性結核</w:t>
            </w:r>
            <w:r>
              <w:rPr>
                <w:color w:val="FF0000"/>
                <w:sz w:val="24"/>
              </w:rPr>
              <w:t>病</w:t>
            </w:r>
          </w:p>
        </w:tc>
        <w:tc>
          <w:tcPr>
            <w:tcW w:w="1520" w:type="dxa"/>
            <w:tcBorders>
              <w:top w:val="single" w:sz="6" w:space="0" w:color="000000"/>
              <w:left w:val="single" w:sz="6" w:space="0" w:color="000000"/>
              <w:bottom w:val="single" w:sz="6" w:space="0" w:color="000000"/>
              <w:right w:val="single" w:sz="6" w:space="0" w:color="000000"/>
            </w:tcBorders>
          </w:tcPr>
          <w:p>
            <w:pPr>
              <w:pStyle w:val="TableParagraph"/>
              <w:spacing w:before="8"/>
              <w:rPr>
                <w:b/>
                <w:sz w:val="24"/>
              </w:rPr>
            </w:pPr>
          </w:p>
          <w:p>
            <w:pPr>
              <w:pStyle w:val="TableParagraph"/>
              <w:ind w:left="59" w:right="51"/>
              <w:jc w:val="center"/>
              <w:rPr>
                <w:sz w:val="24"/>
              </w:rPr>
            </w:pPr>
            <w:r>
              <w:rPr>
                <w:sz w:val="24"/>
              </w:rPr>
              <w:t>12-24</w:t>
            </w:r>
          </w:p>
        </w:tc>
        <w:tc>
          <w:tcPr>
            <w:tcW w:w="3120" w:type="dxa"/>
            <w:tcBorders>
              <w:top w:val="single" w:sz="6" w:space="0" w:color="000000"/>
              <w:left w:val="single" w:sz="6" w:space="0" w:color="000000"/>
              <w:bottom w:val="single" w:sz="6" w:space="0" w:color="000000"/>
              <w:right w:val="single" w:sz="6" w:space="0" w:color="000000"/>
            </w:tcBorders>
          </w:tcPr>
          <w:p>
            <w:pPr>
              <w:pStyle w:val="TableParagraph"/>
              <w:spacing w:line="196" w:lineRule="auto" w:before="147"/>
              <w:ind w:left="102" w:right="145"/>
              <w:rPr>
                <w:sz w:val="24"/>
              </w:rPr>
            </w:pPr>
            <w:r>
              <w:rPr>
                <w:sz w:val="24"/>
              </w:rPr>
              <w:t>4-6 種有效藥物(必須包含levofloxacin 或moxifloxacin)，每日服用#</w:t>
            </w:r>
          </w:p>
        </w:tc>
        <w:tc>
          <w:tcPr>
            <w:tcW w:w="2730" w:type="dxa"/>
            <w:tcBorders>
              <w:top w:val="single" w:sz="6" w:space="0" w:color="000000"/>
              <w:left w:val="single" w:sz="6" w:space="0" w:color="000000"/>
              <w:bottom w:val="single" w:sz="6" w:space="0" w:color="000000"/>
            </w:tcBorders>
          </w:tcPr>
          <w:p>
            <w:pPr>
              <w:pStyle w:val="TableParagraph"/>
              <w:rPr>
                <w:rFonts w:ascii="Times New Roman"/>
                <w:sz w:val="22"/>
              </w:rPr>
            </w:pPr>
          </w:p>
        </w:tc>
      </w:tr>
      <w:tr>
        <w:trPr>
          <w:trHeight w:val="832" w:hRule="atLeast"/>
        </w:trPr>
        <w:tc>
          <w:tcPr>
            <w:tcW w:w="2128" w:type="dxa"/>
            <w:tcBorders>
              <w:top w:val="single" w:sz="6" w:space="0" w:color="000000"/>
              <w:right w:val="single" w:sz="6" w:space="0" w:color="000000"/>
            </w:tcBorders>
          </w:tcPr>
          <w:p>
            <w:pPr>
              <w:pStyle w:val="TableParagraph"/>
              <w:spacing w:line="196" w:lineRule="auto" w:before="82"/>
              <w:ind w:left="75" w:right="90"/>
              <w:rPr>
                <w:sz w:val="24"/>
              </w:rPr>
            </w:pPr>
            <w:r>
              <w:rPr>
                <w:sz w:val="24"/>
              </w:rPr>
              <w:t>人類免疫</w:t>
            </w:r>
            <w:r>
              <w:rPr>
                <w:color w:val="FF0000"/>
                <w:sz w:val="24"/>
              </w:rPr>
              <w:t>缺乏</w:t>
            </w:r>
            <w:r>
              <w:rPr>
                <w:sz w:val="24"/>
              </w:rPr>
              <w:t>病毒感染</w:t>
            </w:r>
          </w:p>
        </w:tc>
        <w:tc>
          <w:tcPr>
            <w:tcW w:w="1520" w:type="dxa"/>
            <w:tcBorders>
              <w:top w:val="single" w:sz="6" w:space="0" w:color="000000"/>
              <w:left w:val="single" w:sz="6" w:space="0" w:color="000000"/>
              <w:right w:val="single" w:sz="6" w:space="0" w:color="000000"/>
            </w:tcBorders>
          </w:tcPr>
          <w:p>
            <w:pPr>
              <w:pStyle w:val="TableParagraph"/>
              <w:spacing w:before="205"/>
              <w:ind w:left="59" w:right="51"/>
              <w:jc w:val="center"/>
              <w:rPr>
                <w:sz w:val="24"/>
              </w:rPr>
            </w:pPr>
            <w:r>
              <w:rPr>
                <w:sz w:val="24"/>
              </w:rPr>
              <w:t>9-12</w:t>
            </w:r>
          </w:p>
        </w:tc>
        <w:tc>
          <w:tcPr>
            <w:tcW w:w="3120" w:type="dxa"/>
            <w:tcBorders>
              <w:top w:val="single" w:sz="6" w:space="0" w:color="000000"/>
              <w:left w:val="single" w:sz="6" w:space="0" w:color="000000"/>
              <w:right w:val="single" w:sz="6" w:space="0" w:color="000000"/>
            </w:tcBorders>
          </w:tcPr>
          <w:p>
            <w:pPr>
              <w:pStyle w:val="TableParagraph"/>
              <w:spacing w:line="399" w:lineRule="exact" w:before="25"/>
              <w:ind w:left="102"/>
              <w:rPr>
                <w:sz w:val="24"/>
              </w:rPr>
            </w:pPr>
            <w:r>
              <w:rPr>
                <w:sz w:val="24"/>
              </w:rPr>
              <w:t>INH + RMP + PZA + EMB</w:t>
            </w:r>
          </w:p>
          <w:p>
            <w:pPr>
              <w:pStyle w:val="TableParagraph"/>
              <w:spacing w:line="389" w:lineRule="exact"/>
              <w:ind w:left="102"/>
              <w:rPr>
                <w:sz w:val="16"/>
              </w:rPr>
            </w:pPr>
            <w:r>
              <w:rPr>
                <w:sz w:val="24"/>
              </w:rPr>
              <w:t>2 個月</w:t>
            </w:r>
            <w:r>
              <w:rPr>
                <w:position w:val="11"/>
                <w:sz w:val="16"/>
              </w:rPr>
              <w:t>**</w:t>
            </w:r>
          </w:p>
        </w:tc>
        <w:tc>
          <w:tcPr>
            <w:tcW w:w="2730" w:type="dxa"/>
            <w:tcBorders>
              <w:top w:val="single" w:sz="6" w:space="0" w:color="000000"/>
              <w:left w:val="single" w:sz="6" w:space="0" w:color="000000"/>
            </w:tcBorders>
          </w:tcPr>
          <w:p>
            <w:pPr>
              <w:pStyle w:val="TableParagraph"/>
              <w:spacing w:line="399" w:lineRule="exact" w:before="25"/>
              <w:ind w:left="102"/>
              <w:rPr>
                <w:sz w:val="24"/>
              </w:rPr>
            </w:pPr>
            <w:r>
              <w:rPr>
                <w:sz w:val="24"/>
              </w:rPr>
              <w:t>INH + RMP + EMB 7-</w:t>
            </w:r>
          </w:p>
          <w:p>
            <w:pPr>
              <w:pStyle w:val="TableParagraph"/>
              <w:spacing w:line="389" w:lineRule="exact"/>
              <w:ind w:left="102"/>
              <w:rPr>
                <w:sz w:val="16"/>
              </w:rPr>
            </w:pPr>
            <w:r>
              <w:rPr>
                <w:sz w:val="24"/>
              </w:rPr>
              <w:t>10 個月</w:t>
            </w:r>
            <w:r>
              <w:rPr>
                <w:position w:val="11"/>
                <w:sz w:val="16"/>
              </w:rPr>
              <w:t>**</w:t>
            </w:r>
          </w:p>
        </w:tc>
      </w:tr>
    </w:tbl>
    <w:p>
      <w:pPr>
        <w:pStyle w:val="BodyText"/>
        <w:spacing w:line="420" w:lineRule="exact" w:before="49"/>
        <w:ind w:left="153" w:right="1288"/>
        <w:jc w:val="center"/>
      </w:pPr>
      <w:r>
        <w:rPr/>
        <w:t>縮寫：INH，isoniazid；RMP，rifampicin；PZA，pyrazinamide；EMB，ethambutol。</w:t>
      </w:r>
    </w:p>
    <w:p>
      <w:pPr>
        <w:pStyle w:val="BodyText"/>
        <w:spacing w:line="400" w:lineRule="exact"/>
        <w:ind w:left="153" w:right="1225"/>
        <w:jc w:val="center"/>
      </w:pPr>
      <w:r>
        <w:rPr/>
        <w:t>* 肺部感染之首選治療。若懷疑抗藥性結核菌感染，請照會兒童感染科醫師。</w:t>
      </w:r>
    </w:p>
    <w:p>
      <w:pPr>
        <w:pStyle w:val="BodyText"/>
        <w:spacing w:line="350" w:lineRule="exact"/>
        <w:ind w:left="153" w:right="6058"/>
        <w:jc w:val="center"/>
      </w:pPr>
      <w:r>
        <w:rPr/>
        <w:t>**未滿四歲不建議使用 EMB。</w:t>
      </w:r>
    </w:p>
    <w:p>
      <w:pPr>
        <w:pStyle w:val="BodyText"/>
        <w:spacing w:line="400" w:lineRule="exact"/>
        <w:ind w:left="953"/>
      </w:pPr>
      <w:r>
        <w:rPr>
          <w:position w:val="10"/>
        </w:rPr>
        <w:t>† </w:t>
      </w:r>
      <w:r>
        <w:rPr/>
        <w:t>無法耐受 PZA 之副作用時，使用此療程。</w:t>
      </w:r>
    </w:p>
    <w:p>
      <w:pPr>
        <w:pStyle w:val="BodyText"/>
        <w:spacing w:line="450" w:lineRule="exact"/>
        <w:ind w:left="953"/>
      </w:pPr>
      <w:r>
        <w:rPr>
          <w:position w:val="10"/>
        </w:rPr>
        <w:t>††</w:t>
      </w:r>
      <w:r>
        <w:rPr/>
        <w:t>包括粟粒性結核（miliary TB）、先天性感染、骨關節結核、腎結核，不包括腦</w:t>
      </w:r>
    </w:p>
    <w:p>
      <w:pPr>
        <w:pStyle w:val="BodyText"/>
        <w:spacing w:line="350" w:lineRule="exact"/>
        <w:ind w:left="1154"/>
      </w:pPr>
      <w:r>
        <w:rPr>
          <w:spacing w:val="-2"/>
          <w:w w:val="95"/>
        </w:rPr>
        <w:t>膜炎；危及生命之感染可加上第四種藥物。</w:t>
      </w:r>
    </w:p>
    <w:p>
      <w:pPr>
        <w:pStyle w:val="BodyText"/>
        <w:spacing w:line="471" w:lineRule="exact"/>
        <w:ind w:left="953"/>
      </w:pPr>
      <w:r>
        <w:rPr>
          <w:spacing w:val="-1"/>
          <w:w w:val="95"/>
          <w:position w:val="10"/>
        </w:rPr>
        <w:t>#    </w:t>
      </w:r>
      <w:r>
        <w:rPr>
          <w:spacing w:val="-1"/>
          <w:w w:val="95"/>
        </w:rPr>
        <w:t>請參考「</w:t>
      </w:r>
      <w:r>
        <w:rPr>
          <w:color w:val="FF0000"/>
          <w:w w:val="95"/>
        </w:rPr>
        <w:t>兒童</w:t>
      </w:r>
      <w:r>
        <w:rPr>
          <w:w w:val="95"/>
        </w:rPr>
        <w:t>抗藥性結核病之診療」章節。</w:t>
      </w:r>
    </w:p>
    <w:p>
      <w:pPr>
        <w:spacing w:after="0" w:line="471" w:lineRule="exact"/>
        <w:sectPr>
          <w:pgSz w:w="12250" w:h="17190"/>
          <w:pgMar w:header="0" w:footer="828" w:top="1420" w:bottom="1020" w:left="1220" w:right="0"/>
        </w:sectPr>
      </w:pPr>
    </w:p>
    <w:p>
      <w:pPr>
        <w:pStyle w:val="Heading6"/>
        <w:spacing w:before="8"/>
        <w:ind w:left="3074"/>
      </w:pPr>
      <w:r>
        <w:rPr/>
        <w:pict>
          <v:group style="position:absolute;margin-left:570pt;margin-top:2.595557pt;width:42.4pt;height:152.2pt;mso-position-horizontal-relative:page;mso-position-vertical-relative:paragraph;z-index:251828224" coordorigin="11400,52" coordsize="848,3044">
            <v:shape style="position:absolute;left:11400;top:51;width:848;height:3044" coordorigin="11400,52" coordsize="848,3044" path="m12227,52l11565,52,11501,65,11448,100,11413,153,11400,217,11400,2931,11413,2995,11448,3047,11501,3083,11565,3096,12227,3096,12247,3092,12247,56,12227,52xe" filled="true" fillcolor="#a6a6a6" stroked="false">
              <v:path arrowok="t"/>
              <v:fill type="solid"/>
            </v:shape>
            <v:shape style="position:absolute;left:11400;top:51;width:848;height:3044" type="#_x0000_t202" filled="false" stroked="false">
              <v:textbox inset="0,0,0,0">
                <w:txbxContent>
                  <w:p>
                    <w:pPr>
                      <w:spacing w:line="146" w:lineRule="auto" w:before="127"/>
                      <w:ind w:left="136" w:right="488" w:firstLine="0"/>
                      <w:jc w:val="both"/>
                      <w:rPr>
                        <w:sz w:val="22"/>
                      </w:rPr>
                    </w:pPr>
                    <w:r>
                      <w:rPr>
                        <w:sz w:val="22"/>
                      </w:rPr>
                      <w:t>第八章</w:t>
                    </w:r>
                  </w:p>
                  <w:p>
                    <w:pPr>
                      <w:spacing w:line="141" w:lineRule="auto" w:before="175"/>
                      <w:ind w:left="136" w:right="488" w:firstLine="0"/>
                      <w:jc w:val="both"/>
                      <w:rPr>
                        <w:sz w:val="22"/>
                      </w:rPr>
                    </w:pPr>
                    <w:r>
                      <w:rPr>
                        <w:sz w:val="22"/>
                      </w:rPr>
                      <w:t>兒童結核病之診療</w:t>
                    </w:r>
                  </w:p>
                </w:txbxContent>
              </v:textbox>
              <w10:wrap type="none"/>
            </v:shape>
            <w10:wrap type="none"/>
          </v:group>
        </w:pict>
      </w:r>
      <w:bookmarkStart w:name="表 8-2 兒童抗結核藥物建議劑量" w:id="97"/>
      <w:bookmarkEnd w:id="97"/>
      <w:r>
        <w:rPr>
          <w:b w:val="0"/>
        </w:rPr>
      </w:r>
      <w:r>
        <w:rPr/>
        <w:t>表 8-2 </w:t>
      </w:r>
      <w:r>
        <w:rPr>
          <w:color w:val="FF0000"/>
        </w:rPr>
        <w:t>兒童</w:t>
      </w:r>
      <w:r>
        <w:rPr/>
        <w:t>抗結核藥物建議劑量</w:t>
      </w:r>
    </w:p>
    <w:p>
      <w:pPr>
        <w:pStyle w:val="BodyText"/>
        <w:spacing w:before="9"/>
        <w:rPr>
          <w:b/>
          <w:sz w:val="5"/>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5"/>
        <w:gridCol w:w="4381"/>
        <w:gridCol w:w="2826"/>
      </w:tblGrid>
      <w:tr>
        <w:trPr>
          <w:trHeight w:val="811" w:hRule="atLeast"/>
        </w:trPr>
        <w:tc>
          <w:tcPr>
            <w:tcW w:w="2375" w:type="dxa"/>
            <w:tcBorders>
              <w:bottom w:val="single" w:sz="6" w:space="0" w:color="000000"/>
              <w:right w:val="single" w:sz="6" w:space="0" w:color="000000"/>
            </w:tcBorders>
            <w:shd w:val="clear" w:color="auto" w:fill="F1F1F1"/>
          </w:tcPr>
          <w:p>
            <w:pPr>
              <w:pStyle w:val="TableParagraph"/>
              <w:spacing w:before="220"/>
              <w:ind w:left="980" w:right="862"/>
              <w:jc w:val="center"/>
              <w:rPr>
                <w:sz w:val="24"/>
              </w:rPr>
            </w:pPr>
            <w:r>
              <w:rPr>
                <w:sz w:val="24"/>
              </w:rPr>
              <w:t>藥物</w:t>
            </w:r>
          </w:p>
        </w:tc>
        <w:tc>
          <w:tcPr>
            <w:tcW w:w="4381" w:type="dxa"/>
            <w:tcBorders>
              <w:left w:val="single" w:sz="6" w:space="0" w:color="000000"/>
              <w:bottom w:val="single" w:sz="6" w:space="0" w:color="000000"/>
              <w:right w:val="single" w:sz="6" w:space="0" w:color="000000"/>
            </w:tcBorders>
            <w:shd w:val="clear" w:color="auto" w:fill="F1F1F1"/>
          </w:tcPr>
          <w:p>
            <w:pPr>
              <w:pStyle w:val="TableParagraph"/>
              <w:spacing w:line="184" w:lineRule="auto" w:before="109"/>
              <w:ind w:left="1689" w:right="714" w:hanging="778"/>
              <w:rPr>
                <w:sz w:val="24"/>
              </w:rPr>
            </w:pPr>
            <w:r>
              <w:rPr>
                <w:sz w:val="24"/>
              </w:rPr>
              <w:t>建議劑量(mg/kg/dose) * (最高劑量)</w:t>
            </w:r>
          </w:p>
        </w:tc>
        <w:tc>
          <w:tcPr>
            <w:tcW w:w="2826" w:type="dxa"/>
            <w:tcBorders>
              <w:left w:val="single" w:sz="6" w:space="0" w:color="000000"/>
              <w:bottom w:val="single" w:sz="6" w:space="0" w:color="000000"/>
            </w:tcBorders>
            <w:shd w:val="clear" w:color="auto" w:fill="F1F1F1"/>
          </w:tcPr>
          <w:p>
            <w:pPr>
              <w:pStyle w:val="TableParagraph"/>
              <w:spacing w:before="220"/>
              <w:ind w:left="750"/>
              <w:rPr>
                <w:sz w:val="24"/>
              </w:rPr>
            </w:pPr>
            <w:r>
              <w:rPr>
                <w:sz w:val="24"/>
              </w:rPr>
              <w:t>主要不良反應</w:t>
            </w:r>
          </w:p>
        </w:tc>
      </w:tr>
      <w:tr>
        <w:trPr>
          <w:trHeight w:val="779" w:hRule="atLeast"/>
        </w:trPr>
        <w:tc>
          <w:tcPr>
            <w:tcW w:w="2375" w:type="dxa"/>
            <w:tcBorders>
              <w:top w:val="single" w:sz="6" w:space="0" w:color="000000"/>
              <w:bottom w:val="single" w:sz="6" w:space="0" w:color="000000"/>
              <w:right w:val="single" w:sz="6" w:space="0" w:color="000000"/>
            </w:tcBorders>
          </w:tcPr>
          <w:p>
            <w:pPr>
              <w:pStyle w:val="TableParagraph"/>
              <w:spacing w:line="416" w:lineRule="exact"/>
              <w:ind w:left="38"/>
              <w:rPr>
                <w:sz w:val="24"/>
              </w:rPr>
            </w:pPr>
            <w:r>
              <w:rPr>
                <w:sz w:val="24"/>
              </w:rPr>
              <w:t>isoniazid</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373" w:lineRule="exact"/>
              <w:ind w:left="36"/>
              <w:rPr>
                <w:sz w:val="24"/>
              </w:rPr>
            </w:pPr>
            <w:r>
              <w:rPr>
                <w:rFonts w:ascii="Arial"/>
                <w:sz w:val="24"/>
              </w:rPr>
              <w:t>&lt; </w:t>
            </w:r>
            <w:r>
              <w:rPr>
                <w:sz w:val="24"/>
              </w:rPr>
              <w:t>30 kg: 10 (7-15) mg/kg (300 mg) qd</w:t>
            </w:r>
          </w:p>
          <w:p>
            <w:pPr>
              <w:pStyle w:val="TableParagraph"/>
              <w:spacing w:line="387" w:lineRule="exact"/>
              <w:ind w:left="36"/>
              <w:rPr>
                <w:sz w:val="24"/>
              </w:rPr>
            </w:pPr>
            <w:r>
              <w:rPr>
                <w:rFonts w:ascii="Arial" w:hAnsi="Arial"/>
                <w:sz w:val="24"/>
              </w:rPr>
              <w:t>≥ </w:t>
            </w:r>
            <w:r>
              <w:rPr>
                <w:sz w:val="24"/>
              </w:rPr>
              <w:t>30 kg: 4-6 mg/kg (300 mg) qd</w:t>
            </w:r>
          </w:p>
        </w:tc>
        <w:tc>
          <w:tcPr>
            <w:tcW w:w="2826" w:type="dxa"/>
            <w:tcBorders>
              <w:top w:val="single" w:sz="6" w:space="0" w:color="000000"/>
              <w:left w:val="single" w:sz="6" w:space="0" w:color="000000"/>
              <w:bottom w:val="single" w:sz="6" w:space="0" w:color="000000"/>
            </w:tcBorders>
          </w:tcPr>
          <w:p>
            <w:pPr>
              <w:pStyle w:val="TableParagraph"/>
              <w:spacing w:line="172" w:lineRule="auto" w:before="64"/>
              <w:ind w:left="36" w:right="161"/>
              <w:rPr>
                <w:sz w:val="24"/>
              </w:rPr>
            </w:pPr>
            <w:r>
              <w:rPr>
                <w:w w:val="95"/>
                <w:sz w:val="24"/>
              </w:rPr>
              <w:t>肝炎、周邊神經病變、皮</w:t>
            </w:r>
            <w:r>
              <w:rPr>
                <w:sz w:val="24"/>
              </w:rPr>
              <w:t>疹</w:t>
            </w:r>
          </w:p>
        </w:tc>
      </w:tr>
      <w:tr>
        <w:trPr>
          <w:trHeight w:val="750" w:hRule="atLeast"/>
        </w:trPr>
        <w:tc>
          <w:tcPr>
            <w:tcW w:w="2375" w:type="dxa"/>
            <w:tcBorders>
              <w:top w:val="single" w:sz="6" w:space="0" w:color="000000"/>
              <w:bottom w:val="single" w:sz="6" w:space="0" w:color="000000"/>
              <w:right w:val="single" w:sz="6" w:space="0" w:color="000000"/>
            </w:tcBorders>
          </w:tcPr>
          <w:p>
            <w:pPr>
              <w:pStyle w:val="TableParagraph"/>
              <w:spacing w:line="416" w:lineRule="exact"/>
              <w:ind w:left="38"/>
              <w:rPr>
                <w:sz w:val="24"/>
              </w:rPr>
            </w:pPr>
            <w:r>
              <w:rPr>
                <w:sz w:val="24"/>
              </w:rPr>
              <w:t>rifampicin</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16" w:lineRule="exact"/>
              <w:ind w:left="36"/>
              <w:rPr>
                <w:sz w:val="24"/>
              </w:rPr>
            </w:pPr>
            <w:r>
              <w:rPr>
                <w:sz w:val="24"/>
              </w:rPr>
              <w:t>15 (10-20) mg/kg (600 mg) qd</w:t>
            </w:r>
          </w:p>
        </w:tc>
        <w:tc>
          <w:tcPr>
            <w:tcW w:w="2826" w:type="dxa"/>
            <w:tcBorders>
              <w:top w:val="single" w:sz="6" w:space="0" w:color="000000"/>
              <w:left w:val="single" w:sz="6" w:space="0" w:color="000000"/>
              <w:bottom w:val="single" w:sz="6" w:space="0" w:color="000000"/>
            </w:tcBorders>
          </w:tcPr>
          <w:p>
            <w:pPr>
              <w:pStyle w:val="TableParagraph"/>
              <w:spacing w:line="172" w:lineRule="auto" w:before="62"/>
              <w:ind w:left="36" w:right="161"/>
              <w:rPr>
                <w:sz w:val="24"/>
              </w:rPr>
            </w:pPr>
            <w:r>
              <w:rPr>
                <w:w w:val="95"/>
                <w:sz w:val="24"/>
              </w:rPr>
              <w:t>肝炎、尿等身體分泌物變</w:t>
            </w:r>
            <w:r>
              <w:rPr>
                <w:sz w:val="24"/>
              </w:rPr>
              <w:t>橘色、皮疹</w:t>
            </w:r>
          </w:p>
        </w:tc>
      </w:tr>
      <w:tr>
        <w:trPr>
          <w:trHeight w:val="749" w:hRule="atLeast"/>
        </w:trPr>
        <w:tc>
          <w:tcPr>
            <w:tcW w:w="2375" w:type="dxa"/>
            <w:tcBorders>
              <w:top w:val="single" w:sz="6" w:space="0" w:color="000000"/>
              <w:bottom w:val="single" w:sz="6" w:space="0" w:color="000000"/>
              <w:right w:val="single" w:sz="6" w:space="0" w:color="000000"/>
            </w:tcBorders>
          </w:tcPr>
          <w:p>
            <w:pPr>
              <w:pStyle w:val="TableParagraph"/>
              <w:spacing w:line="415" w:lineRule="exact"/>
              <w:ind w:left="38"/>
              <w:rPr>
                <w:sz w:val="24"/>
              </w:rPr>
            </w:pPr>
            <w:r>
              <w:rPr>
                <w:sz w:val="24"/>
              </w:rPr>
              <w:t>pyrazinamide</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15" w:lineRule="exact"/>
              <w:ind w:left="36"/>
              <w:rPr>
                <w:sz w:val="24"/>
              </w:rPr>
            </w:pPr>
            <w:r>
              <w:rPr>
                <w:sz w:val="24"/>
              </w:rPr>
              <w:t>35 (30-40) mg/kg (2 gm) qd</w:t>
            </w:r>
          </w:p>
        </w:tc>
        <w:tc>
          <w:tcPr>
            <w:tcW w:w="2826" w:type="dxa"/>
            <w:tcBorders>
              <w:top w:val="single" w:sz="6" w:space="0" w:color="000000"/>
              <w:left w:val="single" w:sz="6" w:space="0" w:color="000000"/>
              <w:bottom w:val="single" w:sz="6" w:space="0" w:color="000000"/>
            </w:tcBorders>
          </w:tcPr>
          <w:p>
            <w:pPr>
              <w:pStyle w:val="TableParagraph"/>
              <w:spacing w:line="172" w:lineRule="auto" w:before="62"/>
              <w:ind w:left="36" w:right="161"/>
              <w:rPr>
                <w:sz w:val="24"/>
              </w:rPr>
            </w:pPr>
            <w:r>
              <w:rPr>
                <w:w w:val="95"/>
                <w:sz w:val="24"/>
              </w:rPr>
              <w:t>肝炎、腸胃不適、高尿酸</w:t>
            </w:r>
            <w:r>
              <w:rPr>
                <w:sz w:val="24"/>
              </w:rPr>
              <w:t>血</w:t>
            </w:r>
          </w:p>
        </w:tc>
      </w:tr>
      <w:tr>
        <w:trPr>
          <w:trHeight w:val="807" w:hRule="atLeast"/>
        </w:trPr>
        <w:tc>
          <w:tcPr>
            <w:tcW w:w="2375" w:type="dxa"/>
            <w:tcBorders>
              <w:top w:val="single" w:sz="6" w:space="0" w:color="000000"/>
              <w:bottom w:val="single" w:sz="6" w:space="0" w:color="000000"/>
              <w:right w:val="single" w:sz="6" w:space="0" w:color="000000"/>
            </w:tcBorders>
          </w:tcPr>
          <w:p>
            <w:pPr>
              <w:pStyle w:val="TableParagraph"/>
              <w:spacing w:line="431" w:lineRule="exact"/>
              <w:ind w:left="38"/>
              <w:rPr>
                <w:sz w:val="24"/>
              </w:rPr>
            </w:pPr>
            <w:r>
              <w:rPr>
                <w:sz w:val="24"/>
              </w:rPr>
              <w:t>ethambutol</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399" w:lineRule="exact"/>
              <w:ind w:left="36"/>
              <w:rPr>
                <w:sz w:val="24"/>
              </w:rPr>
            </w:pPr>
            <w:r>
              <w:rPr>
                <w:sz w:val="24"/>
              </w:rPr>
              <w:t>20 (15-25) mg/kg (1.6 gm) qd 如</w:t>
            </w:r>
          </w:p>
          <w:p>
            <w:pPr>
              <w:pStyle w:val="TableParagraph"/>
              <w:spacing w:line="388" w:lineRule="exact"/>
              <w:ind w:left="36"/>
              <w:rPr>
                <w:sz w:val="24"/>
              </w:rPr>
            </w:pPr>
            <w:r>
              <w:rPr>
                <w:spacing w:val="1"/>
                <w:sz w:val="24"/>
              </w:rPr>
              <w:t>果使用時間超過</w:t>
            </w:r>
            <w:r>
              <w:rPr>
                <w:sz w:val="24"/>
              </w:rPr>
              <w:t>2</w:t>
            </w:r>
            <w:r>
              <w:rPr>
                <w:spacing w:val="-7"/>
                <w:sz w:val="24"/>
              </w:rPr>
              <w:t> 個月建議使用</w:t>
            </w:r>
            <w:r>
              <w:rPr>
                <w:spacing w:val="-4"/>
                <w:sz w:val="24"/>
              </w:rPr>
              <w:t>15mg/kg</w:t>
            </w:r>
          </w:p>
        </w:tc>
        <w:tc>
          <w:tcPr>
            <w:tcW w:w="2826" w:type="dxa"/>
            <w:tcBorders>
              <w:top w:val="single" w:sz="6" w:space="0" w:color="000000"/>
              <w:left w:val="single" w:sz="6" w:space="0" w:color="000000"/>
              <w:bottom w:val="single" w:sz="6" w:space="0" w:color="000000"/>
            </w:tcBorders>
          </w:tcPr>
          <w:p>
            <w:pPr>
              <w:pStyle w:val="TableParagraph"/>
              <w:spacing w:line="184" w:lineRule="auto" w:before="63"/>
              <w:ind w:left="36" w:right="161"/>
              <w:rPr>
                <w:sz w:val="24"/>
              </w:rPr>
            </w:pPr>
            <w:r>
              <w:rPr>
                <w:w w:val="95"/>
                <w:sz w:val="24"/>
              </w:rPr>
              <w:t>劑量相關之視神經炎、腸</w:t>
            </w:r>
            <w:r>
              <w:rPr>
                <w:sz w:val="24"/>
              </w:rPr>
              <w:t>胃</w:t>
            </w:r>
          </w:p>
        </w:tc>
      </w:tr>
      <w:tr>
        <w:trPr>
          <w:trHeight w:val="467" w:hRule="atLeast"/>
        </w:trPr>
        <w:tc>
          <w:tcPr>
            <w:tcW w:w="2375" w:type="dxa"/>
            <w:tcBorders>
              <w:top w:val="single" w:sz="6" w:space="0" w:color="000000"/>
              <w:bottom w:val="single" w:sz="6" w:space="0" w:color="000000"/>
              <w:right w:val="single" w:sz="6" w:space="0" w:color="000000"/>
            </w:tcBorders>
          </w:tcPr>
          <w:p>
            <w:pPr>
              <w:pStyle w:val="TableParagraph"/>
              <w:spacing w:line="426" w:lineRule="exact" w:before="21"/>
              <w:ind w:left="38"/>
              <w:rPr>
                <w:sz w:val="24"/>
              </w:rPr>
            </w:pPr>
            <w:r>
              <w:rPr>
                <w:sz w:val="24"/>
              </w:rPr>
              <w:t>streptomycin</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26" w:lineRule="exact" w:before="21"/>
              <w:ind w:left="36"/>
              <w:rPr>
                <w:sz w:val="24"/>
              </w:rPr>
            </w:pPr>
            <w:r>
              <w:rPr>
                <w:sz w:val="24"/>
              </w:rPr>
              <w:t>20-40 mg/kg (1 gm) qd IM</w:t>
            </w:r>
          </w:p>
        </w:tc>
        <w:tc>
          <w:tcPr>
            <w:tcW w:w="2826" w:type="dxa"/>
            <w:tcBorders>
              <w:top w:val="single" w:sz="6" w:space="0" w:color="000000"/>
              <w:left w:val="single" w:sz="6" w:space="0" w:color="000000"/>
              <w:bottom w:val="single" w:sz="6" w:space="0" w:color="000000"/>
            </w:tcBorders>
          </w:tcPr>
          <w:p>
            <w:pPr>
              <w:pStyle w:val="TableParagraph"/>
              <w:spacing w:line="426" w:lineRule="exact" w:before="21"/>
              <w:ind w:left="36"/>
              <w:rPr>
                <w:sz w:val="24"/>
              </w:rPr>
            </w:pPr>
            <w:r>
              <w:rPr>
                <w:sz w:val="24"/>
              </w:rPr>
              <w:t>腎毒性、耳毒性、皮疹</w:t>
            </w:r>
          </w:p>
        </w:tc>
      </w:tr>
      <w:tr>
        <w:trPr>
          <w:trHeight w:val="466" w:hRule="atLeast"/>
        </w:trPr>
        <w:tc>
          <w:tcPr>
            <w:tcW w:w="2375" w:type="dxa"/>
            <w:tcBorders>
              <w:top w:val="single" w:sz="6" w:space="0" w:color="000000"/>
              <w:bottom w:val="single" w:sz="6" w:space="0" w:color="000000"/>
              <w:right w:val="single" w:sz="6" w:space="0" w:color="000000"/>
            </w:tcBorders>
          </w:tcPr>
          <w:p>
            <w:pPr>
              <w:pStyle w:val="TableParagraph"/>
              <w:spacing w:line="426" w:lineRule="exact" w:before="20"/>
              <w:ind w:left="38"/>
              <w:rPr>
                <w:sz w:val="24"/>
              </w:rPr>
            </w:pPr>
            <w:r>
              <w:rPr>
                <w:sz w:val="24"/>
              </w:rPr>
              <w:t>amikacin</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26" w:lineRule="exact" w:before="20"/>
              <w:ind w:left="36"/>
              <w:rPr>
                <w:sz w:val="24"/>
              </w:rPr>
            </w:pPr>
            <w:r>
              <w:rPr>
                <w:sz w:val="24"/>
              </w:rPr>
              <w:t>15-30 mg/kg (1 gm) qd IM</w:t>
            </w:r>
          </w:p>
        </w:tc>
        <w:tc>
          <w:tcPr>
            <w:tcW w:w="2826" w:type="dxa"/>
            <w:tcBorders>
              <w:top w:val="single" w:sz="6" w:space="0" w:color="000000"/>
              <w:left w:val="single" w:sz="6" w:space="0" w:color="000000"/>
              <w:bottom w:val="single" w:sz="6" w:space="0" w:color="000000"/>
            </w:tcBorders>
          </w:tcPr>
          <w:p>
            <w:pPr>
              <w:pStyle w:val="TableParagraph"/>
              <w:spacing w:line="426" w:lineRule="exact" w:before="20"/>
              <w:ind w:left="36"/>
              <w:rPr>
                <w:sz w:val="24"/>
              </w:rPr>
            </w:pPr>
            <w:r>
              <w:rPr>
                <w:sz w:val="24"/>
              </w:rPr>
              <w:t>腎毒性、耳毒性</w:t>
            </w:r>
          </w:p>
        </w:tc>
      </w:tr>
      <w:tr>
        <w:trPr>
          <w:trHeight w:val="467" w:hRule="atLeast"/>
        </w:trPr>
        <w:tc>
          <w:tcPr>
            <w:tcW w:w="2375" w:type="dxa"/>
            <w:tcBorders>
              <w:top w:val="single" w:sz="6" w:space="0" w:color="000000"/>
              <w:bottom w:val="single" w:sz="6" w:space="0" w:color="000000"/>
              <w:right w:val="single" w:sz="6" w:space="0" w:color="000000"/>
            </w:tcBorders>
          </w:tcPr>
          <w:p>
            <w:pPr>
              <w:pStyle w:val="TableParagraph"/>
              <w:spacing w:line="426" w:lineRule="exact" w:before="21"/>
              <w:ind w:left="38"/>
              <w:rPr>
                <w:sz w:val="24"/>
              </w:rPr>
            </w:pPr>
            <w:r>
              <w:rPr>
                <w:sz w:val="24"/>
              </w:rPr>
              <w:t>kanamycin</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26" w:lineRule="exact" w:before="21"/>
              <w:ind w:left="36"/>
              <w:rPr>
                <w:sz w:val="24"/>
              </w:rPr>
            </w:pPr>
            <w:r>
              <w:rPr>
                <w:sz w:val="24"/>
              </w:rPr>
              <w:t>15-30 mg/kg (1 gm) qd IM</w:t>
            </w:r>
          </w:p>
        </w:tc>
        <w:tc>
          <w:tcPr>
            <w:tcW w:w="2826" w:type="dxa"/>
            <w:tcBorders>
              <w:top w:val="single" w:sz="6" w:space="0" w:color="000000"/>
              <w:left w:val="single" w:sz="6" w:space="0" w:color="000000"/>
              <w:bottom w:val="single" w:sz="6" w:space="0" w:color="000000"/>
            </w:tcBorders>
          </w:tcPr>
          <w:p>
            <w:pPr>
              <w:pStyle w:val="TableParagraph"/>
              <w:spacing w:line="426" w:lineRule="exact" w:before="21"/>
              <w:ind w:left="36"/>
              <w:rPr>
                <w:sz w:val="24"/>
              </w:rPr>
            </w:pPr>
            <w:r>
              <w:rPr>
                <w:sz w:val="24"/>
              </w:rPr>
              <w:t>腎毒性、耳毒性</w:t>
            </w:r>
          </w:p>
        </w:tc>
      </w:tr>
      <w:tr>
        <w:trPr>
          <w:trHeight w:val="467" w:hRule="atLeast"/>
        </w:trPr>
        <w:tc>
          <w:tcPr>
            <w:tcW w:w="2375" w:type="dxa"/>
            <w:tcBorders>
              <w:top w:val="single" w:sz="6" w:space="0" w:color="000000"/>
              <w:bottom w:val="single" w:sz="6" w:space="0" w:color="000000"/>
              <w:right w:val="single" w:sz="6" w:space="0" w:color="000000"/>
            </w:tcBorders>
          </w:tcPr>
          <w:p>
            <w:pPr>
              <w:pStyle w:val="TableParagraph"/>
              <w:spacing w:line="426" w:lineRule="exact" w:before="21"/>
              <w:ind w:left="38"/>
              <w:rPr>
                <w:sz w:val="24"/>
              </w:rPr>
            </w:pPr>
            <w:r>
              <w:rPr>
                <w:sz w:val="24"/>
              </w:rPr>
              <w:t>capreomycin</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26" w:lineRule="exact" w:before="21"/>
              <w:ind w:left="36"/>
              <w:rPr>
                <w:sz w:val="24"/>
              </w:rPr>
            </w:pPr>
            <w:r>
              <w:rPr>
                <w:sz w:val="24"/>
              </w:rPr>
              <w:t>15-30 mg/kg (1gm) qd IM</w:t>
            </w:r>
          </w:p>
        </w:tc>
        <w:tc>
          <w:tcPr>
            <w:tcW w:w="2826" w:type="dxa"/>
            <w:tcBorders>
              <w:top w:val="single" w:sz="6" w:space="0" w:color="000000"/>
              <w:left w:val="single" w:sz="6" w:space="0" w:color="000000"/>
              <w:bottom w:val="single" w:sz="6" w:space="0" w:color="000000"/>
            </w:tcBorders>
          </w:tcPr>
          <w:p>
            <w:pPr>
              <w:pStyle w:val="TableParagraph"/>
              <w:spacing w:line="426" w:lineRule="exact" w:before="21"/>
              <w:ind w:left="36"/>
              <w:rPr>
                <w:sz w:val="24"/>
              </w:rPr>
            </w:pPr>
            <w:r>
              <w:rPr>
                <w:sz w:val="24"/>
              </w:rPr>
              <w:t>腎毒性、耳毒性</w:t>
            </w:r>
          </w:p>
        </w:tc>
      </w:tr>
      <w:tr>
        <w:trPr>
          <w:trHeight w:val="466" w:hRule="atLeast"/>
        </w:trPr>
        <w:tc>
          <w:tcPr>
            <w:tcW w:w="2375" w:type="dxa"/>
            <w:tcBorders>
              <w:top w:val="single" w:sz="6" w:space="0" w:color="000000"/>
              <w:bottom w:val="single" w:sz="6" w:space="0" w:color="000000"/>
              <w:right w:val="single" w:sz="6" w:space="0" w:color="000000"/>
            </w:tcBorders>
          </w:tcPr>
          <w:p>
            <w:pPr>
              <w:pStyle w:val="TableParagraph"/>
              <w:spacing w:line="426" w:lineRule="exact" w:before="20"/>
              <w:ind w:left="38"/>
              <w:rPr>
                <w:sz w:val="24"/>
              </w:rPr>
            </w:pPr>
            <w:r>
              <w:rPr>
                <w:sz w:val="24"/>
              </w:rPr>
              <w:t>prothionamide</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26" w:lineRule="exact" w:before="20"/>
              <w:ind w:left="36"/>
              <w:rPr>
                <w:sz w:val="24"/>
              </w:rPr>
            </w:pPr>
            <w:r>
              <w:rPr>
                <w:sz w:val="24"/>
              </w:rPr>
              <w:t>15-20 mg/kg/day (1 gm) bid-tid</w:t>
            </w:r>
          </w:p>
        </w:tc>
        <w:tc>
          <w:tcPr>
            <w:tcW w:w="2826" w:type="dxa"/>
            <w:tcBorders>
              <w:top w:val="single" w:sz="6" w:space="0" w:color="000000"/>
              <w:left w:val="single" w:sz="6" w:space="0" w:color="000000"/>
              <w:bottom w:val="single" w:sz="6" w:space="0" w:color="000000"/>
            </w:tcBorders>
          </w:tcPr>
          <w:p>
            <w:pPr>
              <w:pStyle w:val="TableParagraph"/>
              <w:spacing w:line="426" w:lineRule="exact" w:before="20"/>
              <w:ind w:left="36"/>
              <w:rPr>
                <w:sz w:val="24"/>
              </w:rPr>
            </w:pPr>
            <w:r>
              <w:rPr>
                <w:sz w:val="24"/>
              </w:rPr>
              <w:t>腸胃不適、肝毒性、過敏</w:t>
            </w:r>
          </w:p>
        </w:tc>
      </w:tr>
      <w:tr>
        <w:trPr>
          <w:trHeight w:val="750" w:hRule="atLeast"/>
        </w:trPr>
        <w:tc>
          <w:tcPr>
            <w:tcW w:w="2375" w:type="dxa"/>
            <w:tcBorders>
              <w:top w:val="single" w:sz="6" w:space="0" w:color="000000"/>
              <w:bottom w:val="single" w:sz="6" w:space="0" w:color="000000"/>
              <w:right w:val="single" w:sz="6" w:space="0" w:color="000000"/>
            </w:tcBorders>
          </w:tcPr>
          <w:p>
            <w:pPr>
              <w:pStyle w:val="TableParagraph"/>
              <w:spacing w:line="423" w:lineRule="exact"/>
              <w:ind w:left="38"/>
              <w:rPr>
                <w:sz w:val="24"/>
              </w:rPr>
            </w:pPr>
            <w:r>
              <w:rPr>
                <w:sz w:val="24"/>
              </w:rPr>
              <w:t>cycloserine</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23" w:lineRule="exact"/>
              <w:ind w:left="36"/>
              <w:rPr>
                <w:sz w:val="24"/>
              </w:rPr>
            </w:pPr>
            <w:r>
              <w:rPr>
                <w:sz w:val="24"/>
              </w:rPr>
              <w:t>10-20 mg/kg/day (1 gm) bid</w:t>
            </w:r>
          </w:p>
        </w:tc>
        <w:tc>
          <w:tcPr>
            <w:tcW w:w="2826" w:type="dxa"/>
            <w:tcBorders>
              <w:top w:val="single" w:sz="6" w:space="0" w:color="000000"/>
              <w:left w:val="single" w:sz="6" w:space="0" w:color="000000"/>
              <w:bottom w:val="single" w:sz="6" w:space="0" w:color="000000"/>
            </w:tcBorders>
          </w:tcPr>
          <w:p>
            <w:pPr>
              <w:pStyle w:val="TableParagraph"/>
              <w:spacing w:line="180" w:lineRule="auto" w:before="61"/>
              <w:ind w:left="36" w:right="448"/>
              <w:rPr>
                <w:sz w:val="24"/>
              </w:rPr>
            </w:pPr>
            <w:r>
              <w:rPr>
                <w:spacing w:val="-29"/>
                <w:w w:val="95"/>
                <w:sz w:val="24"/>
              </w:rPr>
              <w:t>精神異常、性格變化、抽</w:t>
            </w:r>
            <w:r>
              <w:rPr>
                <w:spacing w:val="-15"/>
                <w:sz w:val="24"/>
              </w:rPr>
              <w:t>搐、皮疹</w:t>
            </w:r>
          </w:p>
        </w:tc>
      </w:tr>
      <w:tr>
        <w:trPr>
          <w:trHeight w:val="749" w:hRule="atLeast"/>
        </w:trPr>
        <w:tc>
          <w:tcPr>
            <w:tcW w:w="2375" w:type="dxa"/>
            <w:tcBorders>
              <w:top w:val="single" w:sz="6" w:space="0" w:color="000000"/>
              <w:bottom w:val="single" w:sz="6" w:space="0" w:color="000000"/>
              <w:right w:val="single" w:sz="6" w:space="0" w:color="000000"/>
            </w:tcBorders>
          </w:tcPr>
          <w:p>
            <w:pPr>
              <w:pStyle w:val="TableParagraph"/>
              <w:spacing w:line="172" w:lineRule="auto" w:before="50"/>
              <w:ind w:left="38"/>
              <w:rPr>
                <w:sz w:val="24"/>
              </w:rPr>
            </w:pPr>
            <w:r>
              <w:rPr>
                <w:w w:val="95"/>
                <w:sz w:val="24"/>
              </w:rPr>
              <w:t>para-aminosalicylate </w:t>
            </w:r>
            <w:r>
              <w:rPr>
                <w:sz w:val="24"/>
              </w:rPr>
              <w:t>(PAS)</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01" w:lineRule="exact"/>
              <w:ind w:left="36"/>
              <w:rPr>
                <w:sz w:val="24"/>
              </w:rPr>
            </w:pPr>
            <w:r>
              <w:rPr>
                <w:sz w:val="24"/>
              </w:rPr>
              <w:t>200-300mg/kg/day (12gm) bid-qid</w:t>
            </w:r>
          </w:p>
        </w:tc>
        <w:tc>
          <w:tcPr>
            <w:tcW w:w="2826" w:type="dxa"/>
            <w:tcBorders>
              <w:top w:val="single" w:sz="6" w:space="0" w:color="000000"/>
              <w:left w:val="single" w:sz="6" w:space="0" w:color="000000"/>
              <w:bottom w:val="single" w:sz="6" w:space="0" w:color="000000"/>
            </w:tcBorders>
          </w:tcPr>
          <w:p>
            <w:pPr>
              <w:pStyle w:val="TableParagraph"/>
              <w:spacing w:line="401" w:lineRule="exact"/>
              <w:ind w:left="36"/>
              <w:rPr>
                <w:sz w:val="24"/>
              </w:rPr>
            </w:pPr>
            <w:r>
              <w:rPr>
                <w:sz w:val="24"/>
              </w:rPr>
              <w:t>腸胃不適、過敏、肝毒性</w:t>
            </w:r>
          </w:p>
        </w:tc>
      </w:tr>
      <w:tr>
        <w:trPr>
          <w:trHeight w:val="750" w:hRule="atLeast"/>
        </w:trPr>
        <w:tc>
          <w:tcPr>
            <w:tcW w:w="2375" w:type="dxa"/>
            <w:tcBorders>
              <w:top w:val="single" w:sz="6" w:space="0" w:color="000000"/>
              <w:bottom w:val="single" w:sz="6" w:space="0" w:color="000000"/>
              <w:right w:val="single" w:sz="6" w:space="0" w:color="000000"/>
            </w:tcBorders>
          </w:tcPr>
          <w:p>
            <w:pPr>
              <w:pStyle w:val="TableParagraph"/>
              <w:spacing w:line="423" w:lineRule="exact"/>
              <w:ind w:left="38"/>
              <w:rPr>
                <w:sz w:val="24"/>
              </w:rPr>
            </w:pPr>
            <w:r>
              <w:rPr>
                <w:sz w:val="24"/>
              </w:rPr>
              <w:t>levofloxacin</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385" w:lineRule="exact"/>
              <w:ind w:left="36"/>
              <w:rPr>
                <w:sz w:val="24"/>
              </w:rPr>
            </w:pPr>
            <w:r>
              <w:rPr>
                <w:sz w:val="24"/>
              </w:rPr>
              <w:t>未 滿 5 歲 ：7.5-10 mg/kg bid</w:t>
            </w:r>
          </w:p>
          <w:p>
            <w:pPr>
              <w:pStyle w:val="TableParagraph"/>
              <w:spacing w:line="345" w:lineRule="exact"/>
              <w:ind w:left="36"/>
              <w:rPr>
                <w:sz w:val="24"/>
              </w:rPr>
            </w:pPr>
            <w:r>
              <w:rPr>
                <w:sz w:val="24"/>
              </w:rPr>
              <w:t>5</w:t>
            </w:r>
            <w:r>
              <w:rPr>
                <w:spacing w:val="-29"/>
                <w:sz w:val="24"/>
              </w:rPr>
              <w:t> 歲</w:t>
            </w:r>
            <w:r>
              <w:rPr>
                <w:spacing w:val="-65"/>
                <w:sz w:val="24"/>
              </w:rPr>
              <w:t>（</w:t>
            </w:r>
            <w:r>
              <w:rPr>
                <w:spacing w:val="-66"/>
                <w:sz w:val="24"/>
              </w:rPr>
              <w:t>含</w:t>
            </w:r>
            <w:r>
              <w:rPr>
                <w:spacing w:val="-142"/>
                <w:sz w:val="24"/>
              </w:rPr>
              <w:t>）</w:t>
            </w:r>
            <w:r>
              <w:rPr>
                <w:spacing w:val="-23"/>
                <w:sz w:val="24"/>
              </w:rPr>
              <w:t>以上：</w:t>
            </w:r>
            <w:r>
              <w:rPr>
                <w:spacing w:val="-10"/>
                <w:sz w:val="24"/>
              </w:rPr>
              <w:t>15-20 </w:t>
            </w:r>
            <w:r>
              <w:rPr>
                <w:sz w:val="24"/>
              </w:rPr>
              <w:t>mg/kg</w:t>
            </w:r>
            <w:r>
              <w:rPr>
                <w:spacing w:val="-10"/>
                <w:sz w:val="24"/>
              </w:rPr>
              <w:t> (</w:t>
            </w:r>
            <w:r>
              <w:rPr>
                <w:sz w:val="24"/>
              </w:rPr>
              <w:t>750 mg)qd</w:t>
            </w:r>
          </w:p>
        </w:tc>
        <w:tc>
          <w:tcPr>
            <w:tcW w:w="2826" w:type="dxa"/>
            <w:tcBorders>
              <w:top w:val="single" w:sz="6" w:space="0" w:color="000000"/>
              <w:left w:val="single" w:sz="6" w:space="0" w:color="000000"/>
              <w:bottom w:val="single" w:sz="6" w:space="0" w:color="000000"/>
            </w:tcBorders>
          </w:tcPr>
          <w:p>
            <w:pPr>
              <w:pStyle w:val="TableParagraph"/>
              <w:spacing w:line="423" w:lineRule="exact"/>
              <w:ind w:left="37"/>
              <w:rPr>
                <w:sz w:val="24"/>
              </w:rPr>
            </w:pPr>
            <w:r>
              <w:rPr>
                <w:sz w:val="24"/>
              </w:rPr>
              <w:t>關節炎、關節病變</w:t>
            </w:r>
          </w:p>
        </w:tc>
      </w:tr>
      <w:tr>
        <w:trPr>
          <w:trHeight w:val="438" w:hRule="atLeast"/>
        </w:trPr>
        <w:tc>
          <w:tcPr>
            <w:tcW w:w="2375" w:type="dxa"/>
            <w:tcBorders>
              <w:top w:val="single" w:sz="6" w:space="0" w:color="000000"/>
              <w:bottom w:val="single" w:sz="6" w:space="0" w:color="000000"/>
              <w:right w:val="single" w:sz="6" w:space="0" w:color="000000"/>
            </w:tcBorders>
          </w:tcPr>
          <w:p>
            <w:pPr>
              <w:pStyle w:val="TableParagraph"/>
              <w:spacing w:line="419" w:lineRule="exact"/>
              <w:ind w:left="38"/>
              <w:rPr>
                <w:sz w:val="24"/>
              </w:rPr>
            </w:pPr>
            <w:r>
              <w:rPr>
                <w:sz w:val="24"/>
              </w:rPr>
              <w:t>moxifloxacin</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19" w:lineRule="exact"/>
              <w:ind w:left="36"/>
              <w:rPr>
                <w:sz w:val="24"/>
              </w:rPr>
            </w:pPr>
            <w:r>
              <w:rPr>
                <w:sz w:val="24"/>
              </w:rPr>
              <w:t>10-15 mg/kg (400 mg) qd</w:t>
            </w:r>
          </w:p>
        </w:tc>
        <w:tc>
          <w:tcPr>
            <w:tcW w:w="2826" w:type="dxa"/>
            <w:tcBorders>
              <w:top w:val="single" w:sz="6" w:space="0" w:color="000000"/>
              <w:left w:val="single" w:sz="6" w:space="0" w:color="000000"/>
              <w:bottom w:val="single" w:sz="6" w:space="0" w:color="000000"/>
            </w:tcBorders>
          </w:tcPr>
          <w:p>
            <w:pPr>
              <w:pStyle w:val="TableParagraph"/>
              <w:spacing w:line="419" w:lineRule="exact"/>
              <w:ind w:left="36"/>
              <w:rPr>
                <w:sz w:val="24"/>
              </w:rPr>
            </w:pPr>
            <w:r>
              <w:rPr>
                <w:sz w:val="24"/>
              </w:rPr>
              <w:t>關節炎、關節病變</w:t>
            </w:r>
          </w:p>
        </w:tc>
      </w:tr>
      <w:tr>
        <w:trPr>
          <w:trHeight w:val="779" w:hRule="atLeast"/>
        </w:trPr>
        <w:tc>
          <w:tcPr>
            <w:tcW w:w="2375" w:type="dxa"/>
            <w:tcBorders>
              <w:top w:val="single" w:sz="6" w:space="0" w:color="000000"/>
              <w:bottom w:val="single" w:sz="6" w:space="0" w:color="000000"/>
              <w:right w:val="single" w:sz="6" w:space="0" w:color="000000"/>
            </w:tcBorders>
          </w:tcPr>
          <w:p>
            <w:pPr>
              <w:pStyle w:val="TableParagraph"/>
              <w:spacing w:line="423" w:lineRule="exact"/>
              <w:ind w:left="38"/>
              <w:rPr>
                <w:sz w:val="24"/>
              </w:rPr>
            </w:pPr>
            <w:r>
              <w:rPr>
                <w:sz w:val="24"/>
              </w:rPr>
              <w:t>rifabutin</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385" w:lineRule="exact"/>
              <w:ind w:left="36"/>
              <w:rPr>
                <w:sz w:val="24"/>
              </w:rPr>
            </w:pPr>
            <w:r>
              <w:rPr>
                <w:sz w:val="24"/>
              </w:rPr>
              <w:t>未 滿 1 歲 ：10-20 mg/kg qd</w:t>
            </w:r>
          </w:p>
          <w:p>
            <w:pPr>
              <w:pStyle w:val="TableParagraph"/>
              <w:spacing w:line="374" w:lineRule="exact"/>
              <w:ind w:left="36"/>
              <w:rPr>
                <w:sz w:val="24"/>
              </w:rPr>
            </w:pPr>
            <w:r>
              <w:rPr>
                <w:sz w:val="24"/>
              </w:rPr>
              <w:t>1 歲以上：5-10 mg/kg qd (300mg)</w:t>
            </w:r>
          </w:p>
        </w:tc>
        <w:tc>
          <w:tcPr>
            <w:tcW w:w="2826" w:type="dxa"/>
            <w:tcBorders>
              <w:top w:val="single" w:sz="6" w:space="0" w:color="000000"/>
              <w:left w:val="single" w:sz="6" w:space="0" w:color="000000"/>
              <w:bottom w:val="single" w:sz="6" w:space="0" w:color="000000"/>
            </w:tcBorders>
          </w:tcPr>
          <w:p>
            <w:pPr>
              <w:pStyle w:val="TableParagraph"/>
              <w:rPr>
                <w:rFonts w:ascii="Times New Roman"/>
                <w:sz w:val="22"/>
              </w:rPr>
            </w:pPr>
          </w:p>
        </w:tc>
      </w:tr>
      <w:tr>
        <w:trPr>
          <w:trHeight w:val="495" w:hRule="atLeast"/>
        </w:trPr>
        <w:tc>
          <w:tcPr>
            <w:tcW w:w="2375" w:type="dxa"/>
            <w:tcBorders>
              <w:top w:val="single" w:sz="6" w:space="0" w:color="000000"/>
              <w:bottom w:val="single" w:sz="6" w:space="0" w:color="000000"/>
              <w:right w:val="single" w:sz="6" w:space="0" w:color="000000"/>
            </w:tcBorders>
          </w:tcPr>
          <w:p>
            <w:pPr>
              <w:pStyle w:val="TableParagraph"/>
              <w:spacing w:line="439" w:lineRule="exact" w:before="35"/>
              <w:ind w:left="38"/>
              <w:rPr>
                <w:sz w:val="24"/>
              </w:rPr>
            </w:pPr>
            <w:r>
              <w:rPr>
                <w:sz w:val="24"/>
              </w:rPr>
              <w:t>clofazimine</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39" w:lineRule="exact" w:before="35"/>
              <w:ind w:left="36"/>
              <w:rPr>
                <w:sz w:val="24"/>
              </w:rPr>
            </w:pPr>
            <w:r>
              <w:rPr>
                <w:sz w:val="24"/>
              </w:rPr>
              <w:t>2-3 mg/kg qd (100 mg)</w:t>
            </w:r>
          </w:p>
        </w:tc>
        <w:tc>
          <w:tcPr>
            <w:tcW w:w="2826" w:type="dxa"/>
            <w:tcBorders>
              <w:top w:val="single" w:sz="6" w:space="0" w:color="000000"/>
              <w:left w:val="single" w:sz="6" w:space="0" w:color="000000"/>
              <w:bottom w:val="single" w:sz="6" w:space="0" w:color="000000"/>
            </w:tcBorders>
          </w:tcPr>
          <w:p>
            <w:pPr>
              <w:pStyle w:val="TableParagraph"/>
              <w:rPr>
                <w:rFonts w:ascii="Times New Roman"/>
                <w:sz w:val="22"/>
              </w:rPr>
            </w:pPr>
          </w:p>
        </w:tc>
      </w:tr>
      <w:tr>
        <w:trPr>
          <w:trHeight w:val="495" w:hRule="atLeast"/>
        </w:trPr>
        <w:tc>
          <w:tcPr>
            <w:tcW w:w="2375" w:type="dxa"/>
            <w:tcBorders>
              <w:top w:val="single" w:sz="6" w:space="0" w:color="000000"/>
              <w:bottom w:val="single" w:sz="6" w:space="0" w:color="000000"/>
              <w:right w:val="single" w:sz="6" w:space="0" w:color="000000"/>
            </w:tcBorders>
          </w:tcPr>
          <w:p>
            <w:pPr>
              <w:pStyle w:val="TableParagraph"/>
              <w:spacing w:line="439" w:lineRule="exact" w:before="35"/>
              <w:ind w:left="38"/>
              <w:rPr>
                <w:sz w:val="24"/>
              </w:rPr>
            </w:pPr>
            <w:r>
              <w:rPr>
                <w:sz w:val="24"/>
              </w:rPr>
              <w:t>meropenem</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39" w:lineRule="exact" w:before="35"/>
              <w:ind w:left="36"/>
              <w:rPr>
                <w:sz w:val="24"/>
              </w:rPr>
            </w:pPr>
            <w:r>
              <w:rPr>
                <w:sz w:val="24"/>
              </w:rPr>
              <w:t>20-40 mg/kg (2g) q8h</w:t>
            </w:r>
          </w:p>
        </w:tc>
        <w:tc>
          <w:tcPr>
            <w:tcW w:w="2826" w:type="dxa"/>
            <w:tcBorders>
              <w:top w:val="single" w:sz="6" w:space="0" w:color="000000"/>
              <w:left w:val="single" w:sz="6" w:space="0" w:color="000000"/>
              <w:bottom w:val="single" w:sz="6" w:space="0" w:color="000000"/>
            </w:tcBorders>
          </w:tcPr>
          <w:p>
            <w:pPr>
              <w:pStyle w:val="TableParagraph"/>
              <w:rPr>
                <w:rFonts w:ascii="Times New Roman"/>
                <w:sz w:val="22"/>
              </w:rPr>
            </w:pPr>
          </w:p>
        </w:tc>
      </w:tr>
      <w:tr>
        <w:trPr>
          <w:trHeight w:val="1185" w:hRule="atLeast"/>
        </w:trPr>
        <w:tc>
          <w:tcPr>
            <w:tcW w:w="2375" w:type="dxa"/>
            <w:tcBorders>
              <w:top w:val="single" w:sz="6" w:space="0" w:color="000000"/>
              <w:right w:val="single" w:sz="6" w:space="0" w:color="000000"/>
            </w:tcBorders>
          </w:tcPr>
          <w:p>
            <w:pPr>
              <w:pStyle w:val="TableParagraph"/>
              <w:spacing w:line="437" w:lineRule="exact"/>
              <w:ind w:left="38"/>
              <w:rPr>
                <w:sz w:val="24"/>
              </w:rPr>
            </w:pPr>
            <w:r>
              <w:rPr>
                <w:sz w:val="24"/>
              </w:rPr>
              <w:t>linezolid</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spacing w:line="411" w:lineRule="exact"/>
              <w:ind w:left="36"/>
              <w:rPr>
                <w:sz w:val="24"/>
              </w:rPr>
            </w:pPr>
            <w:r>
              <w:rPr>
                <w:rFonts w:ascii="Arial" w:eastAsia="Arial"/>
                <w:sz w:val="24"/>
              </w:rPr>
              <w:t>&lt; </w:t>
            </w:r>
            <w:r>
              <w:rPr>
                <w:sz w:val="24"/>
              </w:rPr>
              <w:t>12 歲 ：10 mg/kg (600 mg) bid</w:t>
            </w:r>
          </w:p>
          <w:p>
            <w:pPr>
              <w:pStyle w:val="TableParagraph"/>
              <w:spacing w:line="415" w:lineRule="exact"/>
              <w:ind w:left="36"/>
              <w:rPr>
                <w:sz w:val="24"/>
              </w:rPr>
            </w:pPr>
            <w:r>
              <w:rPr>
                <w:rFonts w:ascii="Arial" w:hAnsi="Arial" w:eastAsia="Arial"/>
                <w:sz w:val="24"/>
              </w:rPr>
              <w:t>≥ </w:t>
            </w:r>
            <w:r>
              <w:rPr>
                <w:sz w:val="24"/>
              </w:rPr>
              <w:t>12 歲 ：10 mg/kg (600 mg) qd</w:t>
            </w:r>
          </w:p>
        </w:tc>
        <w:tc>
          <w:tcPr>
            <w:tcW w:w="2826" w:type="dxa"/>
            <w:tcBorders>
              <w:top w:val="single" w:sz="6" w:space="0" w:color="000000"/>
              <w:left w:val="single" w:sz="6" w:space="0" w:color="000000"/>
            </w:tcBorders>
          </w:tcPr>
          <w:p>
            <w:pPr>
              <w:pStyle w:val="TableParagraph"/>
              <w:spacing w:line="196" w:lineRule="auto" w:before="53"/>
              <w:ind w:left="36" w:right="286"/>
              <w:rPr>
                <w:sz w:val="24"/>
              </w:rPr>
            </w:pPr>
            <w:r>
              <w:rPr>
                <w:sz w:val="24"/>
              </w:rPr>
              <w:t>建議補充維生素 B6(劑量：15-30 mg/kg/day</w:t>
            </w:r>
          </w:p>
          <w:p>
            <w:pPr>
              <w:pStyle w:val="TableParagraph"/>
              <w:spacing w:line="381" w:lineRule="exact"/>
              <w:ind w:left="36"/>
              <w:rPr>
                <w:sz w:val="24"/>
              </w:rPr>
            </w:pPr>
            <w:r>
              <w:rPr>
                <w:sz w:val="24"/>
              </w:rPr>
              <w:t>(最大劑量：500 mg/day)</w:t>
            </w:r>
          </w:p>
        </w:tc>
      </w:tr>
    </w:tbl>
    <w:p>
      <w:pPr>
        <w:pStyle w:val="BodyText"/>
        <w:ind w:left="198"/>
      </w:pPr>
      <w:r>
        <w:rPr/>
        <w:t>*除非特別註明為 mg/kg/day</w:t>
      </w:r>
    </w:p>
    <w:p>
      <w:pPr>
        <w:spacing w:after="0"/>
        <w:sectPr>
          <w:pgSz w:w="12250" w:h="17190"/>
          <w:pgMar w:header="0" w:footer="828" w:top="1420" w:bottom="1020" w:left="1220" w:right="0"/>
        </w:sectPr>
      </w:pPr>
    </w:p>
    <w:p>
      <w:pPr>
        <w:pStyle w:val="Heading6"/>
        <w:spacing w:before="8"/>
        <w:ind w:left="3575"/>
      </w:pPr>
      <w:bookmarkStart w:name="表 8-3 兒童複方可溶錠" w:id="98"/>
      <w:bookmarkEnd w:id="98"/>
      <w:r>
        <w:rPr>
          <w:b w:val="0"/>
        </w:rPr>
      </w:r>
      <w:r>
        <w:rPr/>
        <w:t>表 8-3 兒童複方可溶錠</w:t>
      </w:r>
    </w:p>
    <w:p>
      <w:pPr>
        <w:pStyle w:val="BodyText"/>
        <w:spacing w:before="9"/>
        <w:rPr>
          <w:b/>
          <w:sz w:val="5"/>
        </w:rPr>
      </w:pPr>
    </w:p>
    <w:tbl>
      <w:tblPr>
        <w:tblW w:w="0" w:type="auto"/>
        <w:jc w:val="left"/>
        <w:tblInd w:w="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8"/>
        <w:gridCol w:w="2789"/>
        <w:gridCol w:w="2787"/>
      </w:tblGrid>
      <w:tr>
        <w:trPr>
          <w:trHeight w:val="444" w:hRule="atLeast"/>
        </w:trPr>
        <w:tc>
          <w:tcPr>
            <w:tcW w:w="2788" w:type="dxa"/>
            <w:vMerge w:val="restart"/>
            <w:shd w:val="clear" w:color="auto" w:fill="F1F1F1"/>
          </w:tcPr>
          <w:p>
            <w:pPr>
              <w:pStyle w:val="TableParagraph"/>
              <w:spacing w:before="16"/>
              <w:rPr>
                <w:b/>
                <w:sz w:val="26"/>
              </w:rPr>
            </w:pPr>
          </w:p>
          <w:p>
            <w:pPr>
              <w:pStyle w:val="TableParagraph"/>
              <w:ind w:left="1012" w:right="1004"/>
              <w:jc w:val="center"/>
              <w:rPr>
                <w:sz w:val="24"/>
              </w:rPr>
            </w:pPr>
            <w:r>
              <w:rPr>
                <w:sz w:val="24"/>
              </w:rPr>
              <w:t>體重</w:t>
            </w:r>
          </w:p>
        </w:tc>
        <w:tc>
          <w:tcPr>
            <w:tcW w:w="5576" w:type="dxa"/>
            <w:gridSpan w:val="2"/>
            <w:shd w:val="clear" w:color="auto" w:fill="F1F1F1"/>
          </w:tcPr>
          <w:p>
            <w:pPr>
              <w:pStyle w:val="TableParagraph"/>
              <w:spacing w:line="407" w:lineRule="exact" w:before="17"/>
              <w:ind w:left="1927" w:right="1919"/>
              <w:jc w:val="center"/>
              <w:rPr>
                <w:sz w:val="24"/>
              </w:rPr>
            </w:pPr>
            <w:r>
              <w:rPr>
                <w:sz w:val="24"/>
              </w:rPr>
              <w:t>每日服用顆粒數</w:t>
            </w:r>
          </w:p>
        </w:tc>
      </w:tr>
      <w:tr>
        <w:trPr>
          <w:trHeight w:val="904" w:hRule="atLeast"/>
        </w:trPr>
        <w:tc>
          <w:tcPr>
            <w:tcW w:w="2788" w:type="dxa"/>
            <w:vMerge/>
            <w:tcBorders>
              <w:top w:val="nil"/>
            </w:tcBorders>
            <w:shd w:val="clear" w:color="auto" w:fill="F1F1F1"/>
          </w:tcPr>
          <w:p>
            <w:pPr>
              <w:rPr>
                <w:sz w:val="2"/>
                <w:szCs w:val="2"/>
              </w:rPr>
            </w:pPr>
          </w:p>
        </w:tc>
        <w:tc>
          <w:tcPr>
            <w:tcW w:w="2789" w:type="dxa"/>
            <w:shd w:val="clear" w:color="auto" w:fill="F1F1F1"/>
          </w:tcPr>
          <w:p>
            <w:pPr>
              <w:pStyle w:val="TableParagraph"/>
              <w:spacing w:line="408" w:lineRule="exact" w:before="75"/>
              <w:ind w:left="441" w:right="434"/>
              <w:jc w:val="center"/>
              <w:rPr>
                <w:sz w:val="16"/>
              </w:rPr>
            </w:pPr>
            <w:r>
              <w:rPr>
                <w:sz w:val="24"/>
              </w:rPr>
              <w:t>加強期</w:t>
            </w:r>
            <w:r>
              <w:rPr>
                <w:position w:val="11"/>
                <w:sz w:val="16"/>
              </w:rPr>
              <w:t>*</w:t>
            </w:r>
          </w:p>
          <w:p>
            <w:pPr>
              <w:pStyle w:val="TableParagraph"/>
              <w:spacing w:line="401" w:lineRule="exact"/>
              <w:ind w:left="441" w:right="435"/>
              <w:jc w:val="center"/>
              <w:rPr>
                <w:sz w:val="16"/>
              </w:rPr>
            </w:pPr>
            <w:r>
              <w:rPr>
                <w:sz w:val="24"/>
              </w:rPr>
              <w:t>RHZ 75/50/150</w:t>
            </w:r>
            <w:r>
              <w:rPr>
                <w:position w:val="11"/>
                <w:sz w:val="16"/>
              </w:rPr>
              <w:t>**</w:t>
            </w:r>
          </w:p>
        </w:tc>
        <w:tc>
          <w:tcPr>
            <w:tcW w:w="2787" w:type="dxa"/>
            <w:shd w:val="clear" w:color="auto" w:fill="F1F1F1"/>
          </w:tcPr>
          <w:p>
            <w:pPr>
              <w:pStyle w:val="TableParagraph"/>
              <w:spacing w:before="249"/>
              <w:ind w:left="423" w:right="416"/>
              <w:jc w:val="center"/>
              <w:rPr>
                <w:sz w:val="16"/>
              </w:rPr>
            </w:pPr>
            <w:r>
              <w:rPr>
                <w:sz w:val="24"/>
              </w:rPr>
              <w:t>持續期 RH 75/50</w:t>
            </w:r>
            <w:r>
              <w:rPr>
                <w:position w:val="11"/>
                <w:sz w:val="16"/>
              </w:rPr>
              <w:t>†</w:t>
            </w:r>
          </w:p>
        </w:tc>
      </w:tr>
      <w:tr>
        <w:trPr>
          <w:trHeight w:val="472" w:hRule="atLeast"/>
        </w:trPr>
        <w:tc>
          <w:tcPr>
            <w:tcW w:w="2788" w:type="dxa"/>
          </w:tcPr>
          <w:p>
            <w:pPr>
              <w:pStyle w:val="TableParagraph"/>
              <w:spacing w:line="427" w:lineRule="exact" w:before="25"/>
              <w:ind w:left="1012" w:right="1004"/>
              <w:jc w:val="center"/>
              <w:rPr>
                <w:sz w:val="24"/>
              </w:rPr>
            </w:pPr>
            <w:r>
              <w:rPr>
                <w:sz w:val="24"/>
              </w:rPr>
              <w:t>4-7 kg</w:t>
            </w:r>
          </w:p>
        </w:tc>
        <w:tc>
          <w:tcPr>
            <w:tcW w:w="2789" w:type="dxa"/>
          </w:tcPr>
          <w:p>
            <w:pPr>
              <w:pStyle w:val="TableParagraph"/>
              <w:spacing w:line="427" w:lineRule="exact" w:before="25"/>
              <w:ind w:left="8"/>
              <w:jc w:val="center"/>
              <w:rPr>
                <w:sz w:val="24"/>
              </w:rPr>
            </w:pPr>
            <w:r>
              <w:rPr>
                <w:sz w:val="24"/>
              </w:rPr>
              <w:t>1</w:t>
            </w:r>
          </w:p>
        </w:tc>
        <w:tc>
          <w:tcPr>
            <w:tcW w:w="2787" w:type="dxa"/>
          </w:tcPr>
          <w:p>
            <w:pPr>
              <w:pStyle w:val="TableParagraph"/>
              <w:spacing w:line="427" w:lineRule="exact" w:before="25"/>
              <w:ind w:left="7"/>
              <w:jc w:val="center"/>
              <w:rPr>
                <w:sz w:val="24"/>
              </w:rPr>
            </w:pPr>
            <w:r>
              <w:rPr>
                <w:sz w:val="24"/>
              </w:rPr>
              <w:t>1</w:t>
            </w:r>
          </w:p>
        </w:tc>
      </w:tr>
      <w:tr>
        <w:trPr>
          <w:trHeight w:val="471" w:hRule="atLeast"/>
        </w:trPr>
        <w:tc>
          <w:tcPr>
            <w:tcW w:w="2788" w:type="dxa"/>
          </w:tcPr>
          <w:p>
            <w:pPr>
              <w:pStyle w:val="TableParagraph"/>
              <w:spacing w:line="426" w:lineRule="exact" w:before="25"/>
              <w:ind w:right="952"/>
              <w:jc w:val="right"/>
              <w:rPr>
                <w:sz w:val="24"/>
              </w:rPr>
            </w:pPr>
            <w:r>
              <w:rPr>
                <w:sz w:val="24"/>
              </w:rPr>
              <w:t>8-11 kg</w:t>
            </w:r>
          </w:p>
        </w:tc>
        <w:tc>
          <w:tcPr>
            <w:tcW w:w="2789" w:type="dxa"/>
          </w:tcPr>
          <w:p>
            <w:pPr>
              <w:pStyle w:val="TableParagraph"/>
              <w:spacing w:line="426" w:lineRule="exact" w:before="25"/>
              <w:ind w:left="8"/>
              <w:jc w:val="center"/>
              <w:rPr>
                <w:sz w:val="24"/>
              </w:rPr>
            </w:pPr>
            <w:r>
              <w:rPr>
                <w:sz w:val="24"/>
              </w:rPr>
              <w:t>2</w:t>
            </w:r>
          </w:p>
        </w:tc>
        <w:tc>
          <w:tcPr>
            <w:tcW w:w="2787" w:type="dxa"/>
          </w:tcPr>
          <w:p>
            <w:pPr>
              <w:pStyle w:val="TableParagraph"/>
              <w:spacing w:line="426" w:lineRule="exact" w:before="25"/>
              <w:ind w:left="7"/>
              <w:jc w:val="center"/>
              <w:rPr>
                <w:sz w:val="24"/>
              </w:rPr>
            </w:pPr>
            <w:r>
              <w:rPr>
                <w:sz w:val="24"/>
              </w:rPr>
              <w:t>2</w:t>
            </w:r>
          </w:p>
        </w:tc>
      </w:tr>
      <w:tr>
        <w:trPr>
          <w:trHeight w:val="472" w:hRule="atLeast"/>
        </w:trPr>
        <w:tc>
          <w:tcPr>
            <w:tcW w:w="2788" w:type="dxa"/>
          </w:tcPr>
          <w:p>
            <w:pPr>
              <w:pStyle w:val="TableParagraph"/>
              <w:spacing w:line="426" w:lineRule="exact" w:before="26"/>
              <w:ind w:right="882"/>
              <w:jc w:val="right"/>
              <w:rPr>
                <w:sz w:val="24"/>
              </w:rPr>
            </w:pPr>
            <w:r>
              <w:rPr>
                <w:sz w:val="24"/>
              </w:rPr>
              <w:t>12-15 kg</w:t>
            </w:r>
          </w:p>
        </w:tc>
        <w:tc>
          <w:tcPr>
            <w:tcW w:w="2789" w:type="dxa"/>
          </w:tcPr>
          <w:p>
            <w:pPr>
              <w:pStyle w:val="TableParagraph"/>
              <w:spacing w:line="426" w:lineRule="exact" w:before="26"/>
              <w:ind w:left="8"/>
              <w:jc w:val="center"/>
              <w:rPr>
                <w:sz w:val="24"/>
              </w:rPr>
            </w:pPr>
            <w:r>
              <w:rPr>
                <w:sz w:val="24"/>
              </w:rPr>
              <w:t>3</w:t>
            </w:r>
          </w:p>
        </w:tc>
        <w:tc>
          <w:tcPr>
            <w:tcW w:w="2787" w:type="dxa"/>
          </w:tcPr>
          <w:p>
            <w:pPr>
              <w:pStyle w:val="TableParagraph"/>
              <w:spacing w:line="426" w:lineRule="exact" w:before="26"/>
              <w:ind w:left="7"/>
              <w:jc w:val="center"/>
              <w:rPr>
                <w:sz w:val="24"/>
              </w:rPr>
            </w:pPr>
            <w:r>
              <w:rPr>
                <w:sz w:val="24"/>
              </w:rPr>
              <w:t>3</w:t>
            </w:r>
          </w:p>
        </w:tc>
      </w:tr>
      <w:tr>
        <w:trPr>
          <w:trHeight w:val="472" w:hRule="atLeast"/>
        </w:trPr>
        <w:tc>
          <w:tcPr>
            <w:tcW w:w="2788" w:type="dxa"/>
          </w:tcPr>
          <w:p>
            <w:pPr>
              <w:pStyle w:val="TableParagraph"/>
              <w:spacing w:line="427" w:lineRule="exact" w:before="25"/>
              <w:ind w:right="882"/>
              <w:jc w:val="right"/>
              <w:rPr>
                <w:sz w:val="24"/>
              </w:rPr>
            </w:pPr>
            <w:r>
              <w:rPr>
                <w:sz w:val="24"/>
              </w:rPr>
              <w:t>16-24 kg</w:t>
            </w:r>
          </w:p>
        </w:tc>
        <w:tc>
          <w:tcPr>
            <w:tcW w:w="2789" w:type="dxa"/>
          </w:tcPr>
          <w:p>
            <w:pPr>
              <w:pStyle w:val="TableParagraph"/>
              <w:spacing w:line="427" w:lineRule="exact" w:before="25"/>
              <w:ind w:left="8"/>
              <w:jc w:val="center"/>
              <w:rPr>
                <w:sz w:val="24"/>
              </w:rPr>
            </w:pPr>
            <w:r>
              <w:rPr>
                <w:sz w:val="24"/>
              </w:rPr>
              <w:t>4</w:t>
            </w:r>
          </w:p>
        </w:tc>
        <w:tc>
          <w:tcPr>
            <w:tcW w:w="2787" w:type="dxa"/>
          </w:tcPr>
          <w:p>
            <w:pPr>
              <w:pStyle w:val="TableParagraph"/>
              <w:spacing w:line="427" w:lineRule="exact" w:before="25"/>
              <w:ind w:left="7"/>
              <w:jc w:val="center"/>
              <w:rPr>
                <w:sz w:val="24"/>
              </w:rPr>
            </w:pPr>
            <w:r>
              <w:rPr>
                <w:sz w:val="24"/>
              </w:rPr>
              <w:t>4</w:t>
            </w:r>
          </w:p>
        </w:tc>
      </w:tr>
    </w:tbl>
    <w:p>
      <w:pPr>
        <w:pStyle w:val="BodyText"/>
        <w:spacing w:line="242" w:lineRule="auto" w:before="76"/>
        <w:ind w:left="866" w:right="2021" w:hanging="111"/>
      </w:pPr>
      <w:r>
        <w:rPr/>
        <w:t>*若滿 4 歲以上病童的病灶相當嚴重，或住在愛滋病高盛行地區、isoniazid  抗藥性較高的地方，可考慮在加強期加上 ethambutol。</w:t>
      </w:r>
    </w:p>
    <w:p>
      <w:pPr>
        <w:pStyle w:val="BodyText"/>
        <w:spacing w:line="225" w:lineRule="auto" w:before="29"/>
        <w:ind w:left="996" w:right="1948" w:hanging="240"/>
      </w:pPr>
      <w:r>
        <w:rPr/>
        <w:t>** RHZ 75/50/150 包含 rifampicin75 mg + isoniazid 50 mg + pyrazinamide 150 mg。</w:t>
      </w:r>
    </w:p>
    <w:p>
      <w:pPr>
        <w:pStyle w:val="BodyText"/>
        <w:spacing w:before="14"/>
        <w:ind w:left="779"/>
      </w:pPr>
      <w:r>
        <w:rPr/>
        <w:t>† RH 75/50 包含 rifampicin 75 mg + isoniazid 50 mg。</w:t>
      </w:r>
    </w:p>
    <w:p>
      <w:pPr>
        <w:spacing w:after="0"/>
        <w:sectPr>
          <w:pgSz w:w="12250" w:h="17190"/>
          <w:pgMar w:header="0" w:footer="828" w:top="1420" w:bottom="1020" w:left="1220" w:right="0"/>
        </w:sectPr>
      </w:pPr>
    </w:p>
    <w:p>
      <w:pPr>
        <w:pStyle w:val="Heading1"/>
        <w:spacing w:line="668" w:lineRule="exact"/>
        <w:ind w:left="4447" w:right="4743"/>
        <w:jc w:val="center"/>
      </w:pPr>
      <w:r>
        <w:rPr/>
        <w:drawing>
          <wp:anchor distT="0" distB="0" distL="0" distR="0" allowOverlap="1" layoutInCell="1" locked="0" behindDoc="1" simplePos="0" relativeHeight="234638336">
            <wp:simplePos x="0" y="0"/>
            <wp:positionH relativeFrom="page">
              <wp:posOffset>919705</wp:posOffset>
            </wp:positionH>
            <wp:positionV relativeFrom="page">
              <wp:posOffset>1099185</wp:posOffset>
            </wp:positionV>
            <wp:extent cx="9089797" cy="5893688"/>
            <wp:effectExtent l="0" t="0" r="0" b="0"/>
            <wp:wrapNone/>
            <wp:docPr id="19" name="image8.jpeg" descr="\\Colonel-ftp\設計部-給數印\數印\明珠\9.附件10-8-嬰幼兒接觸者之處置建議（表8-4）(0309紅字改黑字)更新.jpg"/>
            <wp:cNvGraphicFramePr>
              <a:graphicFrameLocks noChangeAspect="1"/>
            </wp:cNvGraphicFramePr>
            <a:graphic>
              <a:graphicData uri="http://schemas.openxmlformats.org/drawingml/2006/picture">
                <pic:pic>
                  <pic:nvPicPr>
                    <pic:cNvPr id="20" name="image8.jpeg"/>
                    <pic:cNvPicPr/>
                  </pic:nvPicPr>
                  <pic:blipFill>
                    <a:blip r:embed="rId57" cstate="print"/>
                    <a:stretch>
                      <a:fillRect/>
                    </a:stretch>
                  </pic:blipFill>
                  <pic:spPr>
                    <a:xfrm>
                      <a:off x="0" y="0"/>
                      <a:ext cx="9089797" cy="5893688"/>
                    </a:xfrm>
                    <a:prstGeom prst="rect">
                      <a:avLst/>
                    </a:prstGeom>
                  </pic:spPr>
                </pic:pic>
              </a:graphicData>
            </a:graphic>
          </wp:anchor>
        </w:drawing>
      </w:r>
      <w:r>
        <w:rPr/>
        <w:t>表 8-4  嬰幼兒接觸者之處置建議</w:t>
      </w:r>
    </w:p>
    <w:p>
      <w:pPr>
        <w:spacing w:after="0" w:line="668" w:lineRule="exact"/>
        <w:jc w:val="center"/>
        <w:sectPr>
          <w:footerReference w:type="default" r:id="rId56"/>
          <w:pgSz w:w="17190" w:h="12250" w:orient="landscape"/>
          <w:pgMar w:footer="828" w:header="0" w:top="1120" w:bottom="1020" w:left="1340" w:right="1300"/>
        </w:sectPr>
      </w:pPr>
    </w:p>
    <w:p>
      <w:pPr>
        <w:pStyle w:val="BodyText"/>
        <w:spacing w:before="14"/>
        <w:rPr>
          <w:b/>
          <w:sz w:val="43"/>
        </w:rPr>
      </w:pPr>
    </w:p>
    <w:p>
      <w:pPr>
        <w:pStyle w:val="Heading6"/>
        <w:numPr>
          <w:ilvl w:val="1"/>
          <w:numId w:val="119"/>
        </w:numPr>
        <w:tabs>
          <w:tab w:pos="1029" w:val="left" w:leader="none"/>
        </w:tabs>
        <w:spacing w:line="240" w:lineRule="auto" w:before="0" w:after="0"/>
        <w:ind w:left="1028" w:right="0" w:hanging="509"/>
        <w:jc w:val="left"/>
      </w:pPr>
      <w:r>
        <w:rPr>
          <w:spacing w:val="4"/>
        </w:rPr>
        <w:t>前言</w:t>
      </w:r>
    </w:p>
    <w:p>
      <w:pPr>
        <w:tabs>
          <w:tab w:pos="2000" w:val="left" w:leader="none"/>
        </w:tabs>
        <w:spacing w:line="674" w:lineRule="exact" w:before="0"/>
        <w:ind w:left="520" w:right="0" w:firstLine="0"/>
        <w:jc w:val="left"/>
        <w:rPr>
          <w:b/>
          <w:sz w:val="37"/>
        </w:rPr>
      </w:pPr>
      <w:r>
        <w:rPr/>
        <w:br w:type="column"/>
      </w:r>
      <w:r>
        <w:rPr>
          <w:b/>
          <w:sz w:val="37"/>
        </w:rPr>
        <w:t>第九章</w:t>
        <w:tab/>
        <w:t>愛滋病毒感染者結核病之診療</w:t>
      </w:r>
    </w:p>
    <w:p>
      <w:pPr>
        <w:spacing w:after="0" w:line="674" w:lineRule="exact"/>
        <w:jc w:val="left"/>
        <w:rPr>
          <w:sz w:val="37"/>
        </w:rPr>
        <w:sectPr>
          <w:footerReference w:type="default" r:id="rId58"/>
          <w:pgSz w:w="12250" w:h="17190"/>
          <w:pgMar w:footer="748" w:header="0" w:top="1340" w:bottom="940" w:left="840" w:right="0"/>
          <w:pgNumType w:start="110"/>
          <w:cols w:num="2" w:equalWidth="0">
            <w:col w:w="1577" w:space="40"/>
            <w:col w:w="9793"/>
          </w:cols>
        </w:sectPr>
      </w:pPr>
    </w:p>
    <w:p>
      <w:pPr>
        <w:pStyle w:val="BodyText"/>
        <w:spacing w:line="225" w:lineRule="auto" w:before="24"/>
        <w:ind w:left="1016" w:right="1301" w:firstLine="487"/>
        <w:jc w:val="both"/>
      </w:pPr>
      <w:r>
        <w:rPr>
          <w:spacing w:val="2"/>
        </w:rPr>
        <w:t>愛滋病毒感染者因為免疫力下降，相較於非愛滋病毒感染者，感染結核分枝桿菌</w:t>
      </w:r>
      <w:r>
        <w:rPr>
          <w:spacing w:val="-4"/>
        </w:rPr>
        <w:t>後，由潛伏結核感染</w:t>
      </w:r>
      <w:r>
        <w:rPr>
          <w:color w:val="FF0000"/>
        </w:rPr>
        <w:t>(LTBI)</w:t>
      </w:r>
      <w:r>
        <w:rPr>
          <w:spacing w:val="-3"/>
        </w:rPr>
        <w:t>變成活動性結核病的危險性，增加將近一百倍。結核病對愛</w:t>
      </w:r>
      <w:r>
        <w:rPr>
          <w:spacing w:val="-5"/>
        </w:rPr>
        <w:t>滋病也有負向的影響，愛滋病毒感染者發生結核病時，愛滋病毒量會升高，</w:t>
      </w:r>
      <w:r>
        <w:rPr>
          <w:spacing w:val="-4"/>
        </w:rPr>
        <w:t>CD4</w:t>
      </w:r>
      <w:r>
        <w:rPr>
          <w:spacing w:val="5"/>
        </w:rPr>
        <w:t> 淋巴</w:t>
      </w:r>
      <w:r>
        <w:rPr>
          <w:spacing w:val="2"/>
        </w:rPr>
        <w:t>球數會下降，造成愛滋病毒感染的病程加速。因此，愛滋病毒感染者併發結核病時， 死亡率較未發生結核病的愛滋病感染者高。在愛滋病毒感染和結核病高盛行區，結核</w:t>
      </w:r>
      <w:r>
        <w:rPr>
          <w:spacing w:val="8"/>
        </w:rPr>
        <w:t>病仍然是造成愛滋病感染者死亡的最主要的原因。在引進高效能的抗病毒組合治療(highly </w:t>
      </w:r>
      <w:r>
        <w:rPr/>
        <w:t>active antiretroviral therapy</w:t>
      </w:r>
      <w:r>
        <w:rPr>
          <w:spacing w:val="21"/>
        </w:rPr>
        <w:t>; </w:t>
      </w:r>
      <w:r>
        <w:rPr/>
        <w:t>HAART)</w:t>
      </w:r>
      <w:r>
        <w:rPr>
          <w:spacing w:val="3"/>
        </w:rPr>
        <w:t>以後，合併使用抗結核藥物和抗愛滋</w:t>
      </w:r>
      <w:r>
        <w:rPr>
          <w:spacing w:val="2"/>
        </w:rPr>
        <w:t>病毒藥物會發生藥物間交互作用及重疊的副作用，不僅造成結核病的治療較非愛滋病毒感染者複雜，愛滋病毒感染的控制也可能較未發生結核病的愛滋病毒感染者困難。再者，愛滋病毒感染者接受抗結核藥物初時，加上抗愛滋病毒藥物後，容易發生病症</w:t>
      </w:r>
      <w:r>
        <w:rPr>
          <w:spacing w:val="3"/>
        </w:rPr>
        <w:t>惡化的免疫重建症候群</w:t>
      </w:r>
      <w:r>
        <w:rPr/>
        <w:t>(immune reconstitution inflammatory syndrome</w:t>
      </w:r>
      <w:r>
        <w:rPr>
          <w:spacing w:val="2"/>
        </w:rPr>
        <w:t>; </w:t>
      </w:r>
      <w:r>
        <w:rPr/>
        <w:t>IRIS</w:t>
      </w:r>
      <w:r>
        <w:rPr>
          <w:spacing w:val="1"/>
        </w:rPr>
        <w:t>)，造</w:t>
      </w:r>
      <w:r>
        <w:rPr>
          <w:spacing w:val="2"/>
        </w:rPr>
        <w:t>成病情判斷困擾。因此，結核病的防治與愛滋病毒感染的防治有不可分割的關係。以</w:t>
      </w:r>
      <w:r>
        <w:rPr>
          <w:spacing w:val="-6"/>
        </w:rPr>
        <w:t>下本文針對愛滋病毒感染者發生結核病時，臨床病徵、診斷、抗結核藥物的治療期程、</w:t>
      </w:r>
      <w:r>
        <w:rPr>
          <w:spacing w:val="2"/>
        </w:rPr>
        <w:t>何時開始使用國內現有的抗愛滋病毒藥物、抗愛滋病毒藥物的選擇、免疫重建症候群及潛伏結核感染的檢驗及治療等，進行簡要介紹。相關併用抗結核病藥物治療時，抗</w:t>
      </w:r>
      <w:r>
        <w:rPr>
          <w:spacing w:val="8"/>
        </w:rPr>
        <w:t>愛滋病毒藥物治療的介紹，主要根據美國衛生部的成人伺機性感染預防與治療指引</w:t>
      </w:r>
      <w:r>
        <w:rPr>
          <w:spacing w:val="2"/>
        </w:rPr>
        <w:t>[1]</w:t>
      </w:r>
      <w:r>
        <w:rPr/>
        <w:t>。</w:t>
      </w:r>
    </w:p>
    <w:p>
      <w:pPr>
        <w:pStyle w:val="BodyText"/>
        <w:spacing w:before="3"/>
        <w:rPr>
          <w:sz w:val="22"/>
        </w:rPr>
      </w:pPr>
    </w:p>
    <w:p>
      <w:pPr>
        <w:pStyle w:val="Heading6"/>
        <w:numPr>
          <w:ilvl w:val="1"/>
          <w:numId w:val="119"/>
        </w:numPr>
        <w:tabs>
          <w:tab w:pos="1029" w:val="left" w:leader="none"/>
        </w:tabs>
        <w:spacing w:line="240" w:lineRule="auto" w:before="0" w:after="0"/>
        <w:ind w:left="1028" w:right="0" w:hanging="509"/>
        <w:jc w:val="both"/>
      </w:pPr>
      <w:r>
        <w:rPr>
          <w:spacing w:val="3"/>
        </w:rPr>
        <w:t>臨床表現及診斷</w:t>
      </w:r>
    </w:p>
    <w:p>
      <w:pPr>
        <w:pStyle w:val="BodyText"/>
        <w:spacing w:line="225" w:lineRule="auto" w:before="24"/>
        <w:ind w:left="1016" w:right="1356" w:firstLine="487"/>
        <w:jc w:val="both"/>
      </w:pPr>
      <w:r>
        <w:rPr>
          <w:spacing w:val="2"/>
        </w:rPr>
        <w:t>愛滋病毒感染者發生結核病時，臨床病徵和發生結核病時的 </w:t>
      </w:r>
      <w:r>
        <w:rPr/>
        <w:t>CD4</w:t>
      </w:r>
      <w:r>
        <w:rPr>
          <w:spacing w:val="3"/>
        </w:rPr>
        <w:t> 淋巴球數值有</w:t>
      </w:r>
      <w:r>
        <w:rPr>
          <w:spacing w:val="-10"/>
        </w:rPr>
        <w:t>關，</w:t>
      </w:r>
      <w:r>
        <w:rPr>
          <w:spacing w:val="-4"/>
        </w:rPr>
        <w:t>CD4 淋巴球數值越高，結核病的臨床病徵和一般未感染愛滋病毒的病人類似，主</w:t>
      </w:r>
      <w:r>
        <w:rPr>
          <w:spacing w:val="-1"/>
        </w:rPr>
        <w:t>要以肺結核表現；</w:t>
      </w:r>
      <w:r>
        <w:rPr>
          <w:spacing w:val="-4"/>
        </w:rPr>
        <w:t>CD4 淋巴球數值越低時，愛滋病毒感染者發生結核病時，較高比例</w:t>
      </w:r>
      <w:r>
        <w:rPr>
          <w:spacing w:val="2"/>
        </w:rPr>
        <w:t>同時併有肺結核和肺外結核的表現，包括：肋膜積液、淋巴結腫大、心包膜炎、粟粒性結核(</w:t>
      </w:r>
      <w:r>
        <w:rPr/>
        <w:t>miliary TB</w:t>
      </w:r>
      <w:r>
        <w:rPr>
          <w:spacing w:val="-3"/>
        </w:rPr>
        <w:t>)、腦膜炎、結核菌血症等。愛滋病毒感染者發生結核病最常見的臨</w:t>
      </w:r>
      <w:r>
        <w:rPr>
          <w:spacing w:val="2"/>
        </w:rPr>
        <w:t>床症狀，包括：咳嗽超過二至三週、發燒、有痰、體重減輕等。相較於非愛滋病毒感染者，愛滋病毒感染者結核病發作時，咳嗽及咳血的頻率較低，反而比較常出現體重減輕及不明原因的發燒，而肺部的身體檢查的發現與其他病原所致的肺部感染相較， </w:t>
      </w:r>
      <w:r>
        <w:rPr>
          <w:spacing w:val="-9"/>
        </w:rPr>
        <w:t>並無特異性，甚至沒有異常發現。</w:t>
      </w:r>
      <w:r>
        <w:rPr/>
        <w:t>CD4</w:t>
      </w:r>
      <w:r>
        <w:rPr>
          <w:spacing w:val="3"/>
        </w:rPr>
        <w:t> 淋巴球數值低下的愛滋病毒感染者發生肺結核</w:t>
      </w:r>
      <w:r>
        <w:rPr>
          <w:spacing w:val="-8"/>
        </w:rPr>
        <w:t>時，胸部 </w:t>
      </w:r>
      <w:r>
        <w:rPr/>
        <w:t>X</w:t>
      </w:r>
      <w:r>
        <w:rPr>
          <w:spacing w:val="-3"/>
        </w:rPr>
        <w:t> 光表現較容易出現肺部下葉浸潤，縱膈腔淋巴結腫大；一般非愛滋病毒感</w:t>
      </w:r>
      <w:r>
        <w:rPr>
          <w:spacing w:val="3"/>
        </w:rPr>
        <w:t>染者典型的肺上葉空洞或纖維化變化反而較不常見。</w:t>
      </w:r>
    </w:p>
    <w:p>
      <w:pPr>
        <w:pStyle w:val="BodyText"/>
        <w:spacing w:line="225" w:lineRule="auto"/>
        <w:ind w:left="1016" w:right="1361" w:firstLine="487"/>
      </w:pPr>
      <w:r>
        <w:rPr/>
        <w:t>在國內，結核病的診斷仍以結核分枝桿菌培養為標準依據，培養出來的結核分枝桿菌同時可以進行藥物感受性試驗，提供治療藥物更動的參考。根據國外的觀察，在</w:t>
      </w:r>
    </w:p>
    <w:p>
      <w:pPr>
        <w:spacing w:after="0" w:line="225" w:lineRule="auto"/>
        <w:sectPr>
          <w:type w:val="continuous"/>
          <w:pgSz w:w="12250" w:h="17190"/>
          <w:pgMar w:top="1500" w:bottom="280" w:left="840" w:right="0"/>
        </w:sectPr>
      </w:pPr>
    </w:p>
    <w:p>
      <w:pPr>
        <w:pStyle w:val="BodyText"/>
        <w:spacing w:line="225" w:lineRule="auto" w:before="44"/>
        <w:ind w:left="1016" w:right="1301"/>
        <w:jc w:val="both"/>
      </w:pPr>
      <w:r>
        <w:rPr/>
        <w:pict>
          <v:group style="position:absolute;margin-left:571.5pt;margin-top:.463211pt;width:40.9pt;height:219pt;mso-position-horizontal-relative:page;mso-position-vertical-relative:paragraph;z-index:251831296" coordorigin="11430,9" coordsize="818,4380">
            <v:shape style="position:absolute;left:11430;top:9;width:818;height:4380" coordorigin="11430,9" coordsize="818,4380" path="m12247,9l11595,9,11531,22,11478,58,11443,110,11430,175,11430,4224,11443,4288,11478,4341,11531,4376,11595,4389,12247,4389,12247,9xe" filled="true" fillcolor="#a6a6a6" stroked="false">
              <v:path arrowok="t"/>
              <v:fill type="solid"/>
            </v:shape>
            <v:shape style="position:absolute;left:11430;top:9;width:818;height:4380" type="#_x0000_t202" filled="false" stroked="false">
              <v:textbox inset="0,0,0,0">
                <w:txbxContent>
                  <w:p>
                    <w:pPr>
                      <w:spacing w:line="146" w:lineRule="auto" w:before="126"/>
                      <w:ind w:left="136" w:right="458" w:firstLine="0"/>
                      <w:jc w:val="both"/>
                      <w:rPr>
                        <w:sz w:val="22"/>
                      </w:rPr>
                    </w:pPr>
                    <w:r>
                      <w:rPr>
                        <w:sz w:val="22"/>
                      </w:rPr>
                      <w:t>第九章</w:t>
                    </w:r>
                  </w:p>
                  <w:p>
                    <w:pPr>
                      <w:spacing w:line="141" w:lineRule="auto" w:before="175"/>
                      <w:ind w:left="136" w:right="458" w:firstLine="0"/>
                      <w:jc w:val="both"/>
                      <w:rPr>
                        <w:sz w:val="22"/>
                      </w:rPr>
                    </w:pPr>
                    <w:r>
                      <w:rPr>
                        <w:sz w:val="22"/>
                      </w:rPr>
                      <w:t>愛滋病毒感染者結核病之診療</w:t>
                    </w:r>
                  </w:p>
                </w:txbxContent>
              </v:textbox>
              <w10:wrap type="none"/>
            </v:shape>
            <w10:wrap type="none"/>
          </v:group>
        </w:pict>
      </w:r>
      <w:r>
        <w:rPr>
          <w:spacing w:val="-2"/>
        </w:rPr>
        <w:t>愛滋病毒感染晚期、</w:t>
      </w:r>
      <w:r>
        <w:rPr/>
        <w:t>CD4</w:t>
      </w:r>
      <w:r>
        <w:rPr>
          <w:spacing w:val="-3"/>
        </w:rPr>
        <w:t> 淋巴球數值低下的病人，痰的耐酸性染色常為陰性。雖然如</w:t>
      </w:r>
      <w:r>
        <w:rPr>
          <w:spacing w:val="2"/>
        </w:rPr>
        <w:t>此，對於所有臨床上懷疑結核病的愛滋病毒感染者，還是應該進行至少三次的痰塗片</w:t>
      </w:r>
      <w:r>
        <w:rPr>
          <w:spacing w:val="-10"/>
        </w:rPr>
        <w:t>和培養檢查，提高診斷結核病的機會。如病人出現其他組織器官的異常表現時，例如： </w:t>
      </w:r>
      <w:r>
        <w:rPr>
          <w:spacing w:val="2"/>
        </w:rPr>
        <w:t>肋膜積液、淋巴結腫大等，也應盡可能行組織切片供病理檢查和結核分枝桿菌培養。同時，愛滋病毒感染者較容易出現結核菌血症，因此，可以利用黴菌培養試管進行結核菌血液培養。這些步驟，都是盡量提高結核病的確診機會，以利後續抗結核藥物感受性檢測。</w:t>
      </w:r>
    </w:p>
    <w:p>
      <w:pPr>
        <w:pStyle w:val="BodyText"/>
        <w:spacing w:line="223" w:lineRule="auto"/>
        <w:ind w:left="1016" w:right="1357" w:firstLine="487"/>
        <w:jc w:val="both"/>
      </w:pPr>
      <w:r>
        <w:rPr>
          <w:spacing w:val="11"/>
        </w:rPr>
        <w:t>結核菌素皮膚測驗(</w:t>
      </w:r>
      <w:r>
        <w:rPr/>
        <w:t>TST</w:t>
      </w:r>
      <w:r>
        <w:rPr>
          <w:spacing w:val="9"/>
        </w:rPr>
        <w:t>) 在愛滋病毒感染者因免疫力下降，容易出現假陰性。Interferon-gamma </w:t>
      </w:r>
      <w:r>
        <w:rPr/>
        <w:t>release assay</w:t>
      </w:r>
      <w:r>
        <w:rPr>
          <w:spacing w:val="24"/>
        </w:rPr>
        <w:t> (</w:t>
      </w:r>
      <w:r>
        <w:rPr>
          <w:spacing w:val="2"/>
        </w:rPr>
        <w:t>IGRA</w:t>
      </w:r>
      <w:r>
        <w:rPr>
          <w:spacing w:val="5"/>
        </w:rPr>
        <w:t>)已經證實對於非愛滋病毒感染者潛伏結核</w:t>
      </w:r>
      <w:r>
        <w:rPr>
          <w:spacing w:val="17"/>
        </w:rPr>
        <w:t>感染的診斷有其價值，新的方法如 </w:t>
      </w:r>
      <w:r>
        <w:rPr>
          <w:spacing w:val="5"/>
        </w:rPr>
        <w:t>QuantiFERON-TB </w:t>
      </w:r>
      <w:r>
        <w:rPr/>
        <w:t>GOLD</w:t>
      </w:r>
      <w:r>
        <w:rPr>
          <w:spacing w:val="16"/>
        </w:rPr>
        <w:t> 及酶聯免疫斑點法(enzyme</w:t>
      </w:r>
      <w:r>
        <w:rPr>
          <w:spacing w:val="12"/>
        </w:rPr>
        <w:t>- </w:t>
      </w:r>
      <w:r>
        <w:rPr/>
        <w:t>linked immunospot method</w:t>
      </w:r>
      <w:r>
        <w:rPr>
          <w:spacing w:val="4"/>
        </w:rPr>
        <w:t>, </w:t>
      </w:r>
      <w:r>
        <w:rPr/>
        <w:t>ELISpot)</w:t>
      </w:r>
      <w:r>
        <w:rPr>
          <w:spacing w:val="2"/>
        </w:rPr>
        <w:t>，針對結核分枝桿菌專一性抗原而設計有更高的敏感度及特異度，惟對於愛滋病毒感染者潛伏結核感染的診斷價值還需</w:t>
      </w:r>
      <w:r>
        <w:rPr>
          <w:spacing w:val="-2"/>
        </w:rPr>
        <w:t>進一步的研究。在免疫功能不佳，如 </w:t>
      </w:r>
      <w:r>
        <w:rPr/>
        <w:t>CD4</w:t>
      </w:r>
      <w:r>
        <w:rPr>
          <w:spacing w:val="2"/>
        </w:rPr>
        <w:t> 淋巴球數低於 </w:t>
      </w:r>
      <w:r>
        <w:rPr/>
        <w:t>200 cells/μl</w:t>
      </w:r>
      <w:r>
        <w:rPr>
          <w:spacing w:val="-1"/>
        </w:rPr>
        <w:t> 的感染者，在接</w:t>
      </w:r>
      <w:r>
        <w:rPr>
          <w:spacing w:val="4"/>
        </w:rPr>
        <w:t>受抗愛滋病毒藥物治療，並且 </w:t>
      </w:r>
      <w:r>
        <w:rPr/>
        <w:t>CD4</w:t>
      </w:r>
      <w:r>
        <w:rPr>
          <w:spacing w:val="4"/>
        </w:rPr>
        <w:t> 淋巴球數增加到大於 </w:t>
      </w:r>
      <w:r>
        <w:rPr/>
        <w:t>200 cells/μl</w:t>
      </w:r>
      <w:r>
        <w:rPr>
          <w:spacing w:val="3"/>
        </w:rPr>
        <w:t> 後，建議針對</w:t>
      </w:r>
      <w:r>
        <w:rPr/>
        <w:t>TST</w:t>
      </w:r>
      <w:r>
        <w:rPr>
          <w:spacing w:val="2"/>
        </w:rPr>
        <w:t> 及 </w:t>
      </w:r>
      <w:r>
        <w:rPr/>
        <w:t>IGRA</w:t>
      </w:r>
      <w:r>
        <w:rPr>
          <w:spacing w:val="3"/>
        </w:rPr>
        <w:t> 原本呈現陰性反應的病人再做一次檢驗。</w:t>
      </w:r>
    </w:p>
    <w:p>
      <w:pPr>
        <w:pStyle w:val="BodyText"/>
        <w:spacing w:before="7"/>
        <w:rPr>
          <w:sz w:val="20"/>
        </w:rPr>
      </w:pPr>
    </w:p>
    <w:p>
      <w:pPr>
        <w:pStyle w:val="Heading6"/>
        <w:numPr>
          <w:ilvl w:val="1"/>
          <w:numId w:val="119"/>
        </w:numPr>
        <w:tabs>
          <w:tab w:pos="1029" w:val="left" w:leader="none"/>
        </w:tabs>
        <w:spacing w:line="240" w:lineRule="auto" w:before="1" w:after="0"/>
        <w:ind w:left="1028" w:right="0" w:hanging="509"/>
        <w:jc w:val="both"/>
      </w:pPr>
      <w:r>
        <w:rPr>
          <w:spacing w:val="3"/>
        </w:rPr>
        <w:t>結核病的治療</w:t>
      </w:r>
    </w:p>
    <w:p>
      <w:pPr>
        <w:pStyle w:val="Heading7"/>
        <w:numPr>
          <w:ilvl w:val="2"/>
          <w:numId w:val="119"/>
        </w:numPr>
        <w:tabs>
          <w:tab w:pos="1326" w:val="left" w:leader="none"/>
        </w:tabs>
        <w:spacing w:line="427" w:lineRule="exact" w:before="16" w:after="0"/>
        <w:ind w:left="1326" w:right="0" w:hanging="695"/>
        <w:jc w:val="both"/>
      </w:pPr>
      <w:bookmarkStart w:name="9.3.1 抗結核藥物與抗愛滋病毒藥物的選擇" w:id="99"/>
      <w:bookmarkEnd w:id="99"/>
      <w:r>
        <w:rPr>
          <w:b w:val="0"/>
        </w:rPr>
      </w:r>
      <w:bookmarkStart w:name="9.3.1 抗結核藥物與抗愛滋病毒藥物的選擇" w:id="100"/>
      <w:bookmarkEnd w:id="100"/>
      <w:r>
        <w:rPr>
          <w:spacing w:val="3"/>
        </w:rPr>
        <w:t>抗結核藥物與抗愛滋病毒藥物的選擇</w:t>
      </w:r>
    </w:p>
    <w:p>
      <w:pPr>
        <w:pStyle w:val="BodyText"/>
        <w:spacing w:line="223" w:lineRule="auto" w:before="8"/>
        <w:ind w:left="1323" w:right="1352" w:firstLine="488"/>
        <w:jc w:val="both"/>
      </w:pPr>
      <w:r>
        <w:rPr>
          <w:spacing w:val="-1"/>
        </w:rPr>
        <w:t>愛滋病毒感染者結核病的治療藥物種類，原則上與非愛滋病毒感染者相同。在</w:t>
      </w:r>
      <w:r>
        <w:rPr>
          <w:spacing w:val="8"/>
        </w:rPr>
        <w:t>臺灣，針對自愛滋病毒感染者培養出來的結核分枝桿菌所進行藥物感受性試驗結</w:t>
      </w:r>
      <w:r>
        <w:rPr>
          <w:spacing w:val="-5"/>
        </w:rPr>
        <w:t>果顯示，結核菌抗藥性的種類和程度，與非愛滋病毒感染者相似。因此，對於抗結</w:t>
      </w:r>
      <w:r>
        <w:rPr>
          <w:spacing w:val="-4"/>
        </w:rPr>
        <w:t>核藥物的選擇，根據愛滋病毒感染者結核病治療病史，我們建議參看針對非愛滋病</w:t>
      </w:r>
      <w:r>
        <w:rPr>
          <w:spacing w:val="3"/>
        </w:rPr>
        <w:t>毒感染者的抗結核藥物治療指引。原則上，仍以含 </w:t>
      </w:r>
      <w:r>
        <w:rPr/>
        <w:t>rifampin</w:t>
      </w:r>
      <w:r>
        <w:rPr>
          <w:spacing w:val="7"/>
        </w:rPr>
        <w:t> 或 </w:t>
      </w:r>
      <w:r>
        <w:rPr/>
        <w:t>rifabutin</w:t>
      </w:r>
      <w:r>
        <w:rPr>
          <w:spacing w:val="12"/>
        </w:rPr>
        <w:t> 為主。</w:t>
      </w:r>
      <w:r>
        <w:rPr>
          <w:spacing w:val="4"/>
        </w:rPr>
        <w:t>但是，</w:t>
      </w:r>
      <w:r>
        <w:rPr/>
        <w:t>rifampin</w:t>
      </w:r>
      <w:r>
        <w:rPr>
          <w:spacing w:val="10"/>
        </w:rPr>
        <w:t> 和 </w:t>
      </w:r>
      <w:r>
        <w:rPr/>
        <w:t>rifabutin</w:t>
      </w:r>
      <w:r>
        <w:rPr>
          <w:spacing w:val="6"/>
        </w:rPr>
        <w:t> 與國內現有抗愛滋病毒藥物種類中的蛋白酶抑制劑</w:t>
      </w:r>
      <w:r>
        <w:rPr/>
        <w:t>(protease inhibitor)</w:t>
      </w:r>
      <w:r>
        <w:rPr>
          <w:spacing w:val="47"/>
        </w:rPr>
        <w:t> 、非核苷酸反轉錄酶抑制劑</w:t>
      </w:r>
      <w:r>
        <w:rPr/>
        <w:t>(non-nucleoside reverse transcriptase inhibitor</w:t>
      </w:r>
      <w:r>
        <w:rPr>
          <w:spacing w:val="2"/>
        </w:rPr>
        <w:t>)和嵌入酶抑制劑(</w:t>
      </w:r>
      <w:r>
        <w:rPr/>
        <w:t>integrase strand transfer inhibitor</w:t>
      </w:r>
      <w:r>
        <w:rPr>
          <w:spacing w:val="9"/>
        </w:rPr>
        <w:t> 或</w:t>
      </w:r>
      <w:r>
        <w:rPr>
          <w:spacing w:val="5"/>
        </w:rPr>
        <w:t>integrase </w:t>
      </w:r>
      <w:r>
        <w:rPr>
          <w:spacing w:val="7"/>
        </w:rPr>
        <w:t>inhibitor</w:t>
      </w:r>
      <w:r>
        <w:rPr>
          <w:spacing w:val="9"/>
        </w:rPr>
        <w:t>)，會發生不等程度的藥物交互作用(表 </w:t>
      </w:r>
      <w:r>
        <w:rPr>
          <w:spacing w:val="4"/>
        </w:rPr>
        <w:t>9-1</w:t>
      </w:r>
      <w:r>
        <w:rPr>
          <w:spacing w:val="9"/>
        </w:rPr>
        <w:t>)。</w:t>
      </w:r>
      <w:r>
        <w:rPr/>
        <w:t>Rifampin</w:t>
      </w:r>
      <w:r>
        <w:rPr>
          <w:spacing w:val="8"/>
        </w:rPr>
        <w:t> 或rifabutin</w:t>
      </w:r>
      <w:r>
        <w:rPr>
          <w:spacing w:val="7"/>
        </w:rPr>
        <w:t> 會刺激肝臟 </w:t>
      </w:r>
      <w:r>
        <w:rPr/>
        <w:t>cytochrome P450</w:t>
      </w:r>
      <w:r>
        <w:rPr>
          <w:spacing w:val="21"/>
        </w:rPr>
        <w:t> (</w:t>
      </w:r>
      <w:r>
        <w:rPr/>
        <w:t>CYP450</w:t>
      </w:r>
      <w:r>
        <w:rPr>
          <w:spacing w:val="3"/>
        </w:rPr>
        <w:t>)酵素(特別是 </w:t>
      </w:r>
      <w:r>
        <w:rPr/>
        <w:t>3A4</w:t>
      </w:r>
      <w:r>
        <w:rPr>
          <w:spacing w:val="9"/>
        </w:rPr>
        <w:t>)和 </w:t>
      </w:r>
      <w:r>
        <w:rPr/>
        <w:t>UGT1A1 </w:t>
      </w:r>
      <w:r>
        <w:rPr>
          <w:spacing w:val="-5"/>
        </w:rPr>
        <w:t>的活性，降低前述這些抗愛滋病毒藥物的血中濃度，因此可能影響抗愛滋病毒藥物</w:t>
      </w:r>
      <w:r>
        <w:rPr>
          <w:spacing w:val="3"/>
        </w:rPr>
        <w:t>的療效。相對地，蛋白酶抑制劑會抑制肝臟 </w:t>
      </w:r>
      <w:r>
        <w:rPr/>
        <w:t>CYP450</w:t>
      </w:r>
      <w:r>
        <w:rPr>
          <w:spacing w:val="4"/>
        </w:rPr>
        <w:t> 酵素的活性，導致 </w:t>
      </w:r>
      <w:r>
        <w:rPr/>
        <w:t>rifabutin </w:t>
      </w:r>
      <w:r>
        <w:rPr>
          <w:spacing w:val="3"/>
        </w:rPr>
        <w:t>的血中濃度升高 </w:t>
      </w:r>
      <w:r>
        <w:rPr/>
        <w:t>2-4</w:t>
      </w:r>
      <w:r>
        <w:rPr>
          <w:spacing w:val="2"/>
        </w:rPr>
        <w:t> 倍之多。例如，</w:t>
      </w:r>
      <w:r>
        <w:rPr/>
        <w:t>ritonavir</w:t>
      </w:r>
      <w:r>
        <w:rPr>
          <w:spacing w:val="7"/>
        </w:rPr>
        <w:t> 和 </w:t>
      </w:r>
      <w:r>
        <w:rPr/>
        <w:t>cobicistat</w:t>
      </w:r>
      <w:r>
        <w:rPr>
          <w:spacing w:val="5"/>
        </w:rPr>
        <w:t> 是很強的 </w:t>
      </w:r>
      <w:r>
        <w:rPr/>
        <w:t>CYP450</w:t>
      </w:r>
      <w:r>
        <w:rPr>
          <w:spacing w:val="5"/>
        </w:rPr>
        <w:t> 抑</w:t>
      </w:r>
      <w:r>
        <w:rPr>
          <w:spacing w:val="-3"/>
        </w:rPr>
        <w:t>制劑，它會增高 </w:t>
      </w:r>
      <w:r>
        <w:rPr/>
        <w:t>rifabutin</w:t>
      </w:r>
      <w:r>
        <w:rPr>
          <w:spacing w:val="3"/>
        </w:rPr>
        <w:t> 的血中濃度高達 </w:t>
      </w:r>
      <w:r>
        <w:rPr/>
        <w:t>4</w:t>
      </w:r>
      <w:r>
        <w:rPr>
          <w:spacing w:val="-3"/>
        </w:rPr>
        <w:t>  倍之多。所以如果 </w:t>
      </w:r>
      <w:r>
        <w:rPr/>
        <w:t>rifabutin</w:t>
      </w:r>
      <w:r>
        <w:rPr>
          <w:spacing w:val="2"/>
        </w:rPr>
        <w:t> 必須與</w:t>
      </w:r>
      <w:r>
        <w:rPr>
          <w:spacing w:val="6"/>
        </w:rPr>
        <w:t>含有 </w:t>
      </w:r>
      <w:r>
        <w:rPr/>
        <w:t>ritonavir</w:t>
      </w:r>
      <w:r>
        <w:rPr>
          <w:spacing w:val="4"/>
        </w:rPr>
        <w:t> 和 </w:t>
      </w:r>
      <w:r>
        <w:rPr/>
        <w:t>cobicistat</w:t>
      </w:r>
      <w:r>
        <w:rPr>
          <w:spacing w:val="-4"/>
        </w:rPr>
        <w:t> 的抗愛滋病毒藥物合併使用時，我們必須將 </w:t>
      </w:r>
      <w:r>
        <w:rPr/>
        <w:t>rifabutin </w:t>
      </w:r>
      <w:r>
        <w:rPr>
          <w:spacing w:val="2"/>
        </w:rPr>
        <w:t>的藥物劑量降低為原劑量的 </w:t>
      </w:r>
      <w:r>
        <w:rPr/>
        <w:t>1/2</w:t>
      </w:r>
      <w:r>
        <w:rPr>
          <w:spacing w:val="1"/>
        </w:rPr>
        <w:t>，亦即 </w:t>
      </w:r>
      <w:r>
        <w:rPr/>
        <w:t>150 mg 每日服用一次。以免因濃度過高增</w:t>
      </w:r>
      <w:r>
        <w:rPr>
          <w:spacing w:val="11"/>
        </w:rPr>
        <w:t>加 </w:t>
      </w:r>
      <w:r>
        <w:rPr/>
        <w:t>rifabutin</w:t>
      </w:r>
      <w:r>
        <w:rPr>
          <w:spacing w:val="9"/>
        </w:rPr>
        <w:t> 相關白血球減少、皮疹和葡萄膜炎</w:t>
      </w:r>
      <w:r>
        <w:rPr>
          <w:spacing w:val="4"/>
        </w:rPr>
        <w:t>（uveitis）</w:t>
      </w:r>
      <w:r>
        <w:rPr>
          <w:spacing w:val="9"/>
        </w:rPr>
        <w:t>副作用機會。再者，</w:t>
      </w:r>
    </w:p>
    <w:p>
      <w:pPr>
        <w:spacing w:after="0" w:line="223" w:lineRule="auto"/>
        <w:jc w:val="both"/>
        <w:sectPr>
          <w:pgSz w:w="12250" w:h="17190"/>
          <w:pgMar w:header="0" w:footer="748" w:top="1460" w:bottom="1020" w:left="840" w:right="0"/>
        </w:sectPr>
      </w:pPr>
    </w:p>
    <w:p>
      <w:pPr>
        <w:pStyle w:val="BodyText"/>
        <w:spacing w:line="223" w:lineRule="auto" w:before="46"/>
        <w:ind w:left="1323" w:right="1302"/>
        <w:jc w:val="both"/>
      </w:pPr>
      <w:r>
        <w:rPr/>
        <w:t>rifabutin</w:t>
      </w:r>
      <w:r>
        <w:rPr>
          <w:spacing w:val="7"/>
        </w:rPr>
        <w:t> 和 </w:t>
      </w:r>
      <w:r>
        <w:rPr/>
        <w:t>efavirenz 併用時，efavirenz</w:t>
      </w:r>
      <w:r>
        <w:rPr>
          <w:spacing w:val="4"/>
        </w:rPr>
        <w:t> 會降低 </w:t>
      </w:r>
      <w:r>
        <w:rPr/>
        <w:t>rifabutin</w:t>
      </w:r>
      <w:r>
        <w:rPr>
          <w:spacing w:val="-2"/>
        </w:rPr>
        <w:t> 的濃度，因此建議將</w:t>
      </w:r>
      <w:r>
        <w:rPr/>
        <w:t>rifabutin</w:t>
      </w:r>
      <w:r>
        <w:rPr>
          <w:spacing w:val="2"/>
        </w:rPr>
        <w:t> 每日劑量增加為 </w:t>
      </w:r>
      <w:r>
        <w:rPr/>
        <w:t>450 </w:t>
      </w:r>
      <w:r>
        <w:rPr>
          <w:spacing w:val="-12"/>
        </w:rPr>
        <w:t>mg</w:t>
      </w:r>
      <w:r>
        <w:rPr>
          <w:spacing w:val="-2"/>
        </w:rPr>
        <w:t>。依據國內現有抗愛滋病毒藥物的治療規範與可</w:t>
      </w:r>
      <w:r>
        <w:rPr>
          <w:spacing w:val="3"/>
        </w:rPr>
        <w:t>取得的藥物種類，我們所建議的抗結核藥物與抗愛滋病毒藥物組合，如表 </w:t>
      </w:r>
      <w:r>
        <w:rPr/>
        <w:t>9-2</w:t>
      </w:r>
      <w:r>
        <w:rPr>
          <w:spacing w:val="23"/>
        </w:rPr>
        <w:t> 所</w:t>
      </w:r>
      <w:r>
        <w:rPr>
          <w:spacing w:val="13"/>
        </w:rPr>
        <w:t>示。需要提醒的是，國內現有</w:t>
      </w:r>
      <w:r>
        <w:rPr>
          <w:color w:val="FF0000"/>
          <w:spacing w:val="13"/>
        </w:rPr>
        <w:t>含有三種治療藥物</w:t>
      </w:r>
      <w:r>
        <w:rPr>
          <w:spacing w:val="11"/>
        </w:rPr>
        <w:t>的單顆藥物組合的處方(</w:t>
      </w:r>
      <w:r>
        <w:rPr/>
        <w:t>single- tablet regimens</w:t>
      </w:r>
      <w:r>
        <w:rPr>
          <w:spacing w:val="9"/>
        </w:rPr>
        <w:t>) ，例如 </w:t>
      </w:r>
      <w:r>
        <w:rPr/>
        <w:t>tenofovir disoproxil fumarate (TDF)/emtricitabine (FTC)/efavirenz (EFV) ( 商 品 名 是 Atripla) 、 </w:t>
      </w:r>
      <w:r>
        <w:rPr>
          <w:spacing w:val="3"/>
        </w:rPr>
        <w:t>tenovofir alafenamide (TAF)/FTC/RPV</w:t>
      </w:r>
      <w:r>
        <w:rPr>
          <w:spacing w:val="2"/>
        </w:rPr>
        <w:t> (Odefsy</w:t>
      </w:r>
      <w:r>
        <w:rPr/>
        <w:t>) 、 </w:t>
      </w:r>
      <w:r>
        <w:rPr>
          <w:spacing w:val="3"/>
        </w:rPr>
        <w:t>TAF/FTC/ </w:t>
      </w:r>
      <w:r>
        <w:rPr/>
        <w:t>cobicistat</w:t>
      </w:r>
      <w:r>
        <w:rPr>
          <w:spacing w:val="1"/>
        </w:rPr>
        <w:t> (</w:t>
      </w:r>
      <w:r>
        <w:rPr>
          <w:spacing w:val="3"/>
        </w:rPr>
        <w:t>c)/elvitegravir </w:t>
      </w:r>
      <w:r>
        <w:rPr/>
        <w:t>(EVG) </w:t>
      </w:r>
      <w:r>
        <w:rPr>
          <w:spacing w:val="2"/>
        </w:rPr>
        <w:t>(Genvoya)</w:t>
      </w:r>
      <w:r>
        <w:rPr>
          <w:spacing w:val="4"/>
        </w:rPr>
        <w:t>、</w:t>
      </w:r>
      <w:r>
        <w:rPr>
          <w:spacing w:val="2"/>
        </w:rPr>
        <w:t>abacavir (</w:t>
      </w:r>
      <w:r>
        <w:rPr>
          <w:spacing w:val="3"/>
        </w:rPr>
        <w:t>ABC)/lamivudine</w:t>
      </w:r>
      <w:r>
        <w:rPr>
          <w:spacing w:val="1"/>
        </w:rPr>
        <w:t> (</w:t>
      </w:r>
      <w:r>
        <w:rPr/>
        <w:t>3TC)/ dolutegravir</w:t>
      </w:r>
      <w:r>
        <w:rPr>
          <w:spacing w:val="-1"/>
        </w:rPr>
        <w:t> (</w:t>
      </w:r>
      <w:r>
        <w:rPr/>
        <w:t>DTG) (Triumeq)、TAF/FTC/Bictegravir (BIC) (Biktarvy</w:t>
      </w:r>
      <w:r>
        <w:rPr>
          <w:spacing w:val="1"/>
        </w:rPr>
        <w:t>) 、 </w:t>
      </w:r>
      <w:r>
        <w:rPr/>
        <w:t>TAF/ FTC/c/darunavir (DRV) (Symtuza) </w:t>
      </w:r>
      <w:r>
        <w:rPr>
          <w:spacing w:val="2"/>
        </w:rPr>
        <w:t>和一些多顆粒的治療處方(</w:t>
      </w:r>
      <w:r>
        <w:rPr/>
        <w:t>multi-tablet regimens)，僅有少數藥物組合處方，和含</w:t>
      </w:r>
      <w:r>
        <w:rPr>
          <w:spacing w:val="23"/>
        </w:rPr>
        <w:t>有 </w:t>
      </w:r>
      <w:r>
        <w:rPr/>
        <w:t>rifampin</w:t>
      </w:r>
      <w:r>
        <w:rPr>
          <w:spacing w:val="3"/>
        </w:rPr>
        <w:t> 的抗結核藥物組合併用，曾經進行過較大規模的隨機分組臨床試驗評</w:t>
      </w:r>
      <w:r>
        <w:rPr>
          <w:spacing w:val="11"/>
        </w:rPr>
        <w:t>估。這些藥物組合，包含 </w:t>
      </w:r>
      <w:r>
        <w:rPr>
          <w:spacing w:val="2"/>
        </w:rPr>
        <w:t>TDF/FTC/EFV</w:t>
      </w:r>
      <w:r>
        <w:rPr>
          <w:spacing w:val="12"/>
        </w:rPr>
        <w:t>、含有兩種核苷酸反轉錄酶抑制劑加上raltegravir</w:t>
      </w:r>
      <w:r>
        <w:rPr>
          <w:spacing w:val="17"/>
        </w:rPr>
        <w:t> (</w:t>
      </w:r>
      <w:r>
        <w:rPr/>
        <w:t>RAL</w:t>
      </w:r>
      <w:r>
        <w:rPr>
          <w:spacing w:val="2"/>
        </w:rPr>
        <w:t>)或者是 </w:t>
      </w:r>
      <w:r>
        <w:rPr/>
        <w:t>DTG</w:t>
      </w:r>
      <w:r>
        <w:rPr>
          <w:spacing w:val="3"/>
        </w:rPr>
        <w:t> 的藥物組合處方 </w:t>
      </w:r>
      <w:r>
        <w:rPr/>
        <w:t>[2,3]</w:t>
      </w:r>
      <w:r>
        <w:rPr>
          <w:spacing w:val="2"/>
        </w:rPr>
        <w:t>。其他的處方組合，包含蛋白酶抑制劑等的處方，不論是合併 </w:t>
      </w:r>
      <w:r>
        <w:rPr/>
        <w:t>rifampin</w:t>
      </w:r>
      <w:r>
        <w:rPr>
          <w:spacing w:val="7"/>
        </w:rPr>
        <w:t> 或者 </w:t>
      </w:r>
      <w:r>
        <w:rPr/>
        <w:t>rifabutin</w:t>
      </w:r>
      <w:r>
        <w:rPr>
          <w:spacing w:val="1"/>
        </w:rPr>
        <w:t>，都侷限於藥物濃度的監</w:t>
      </w:r>
      <w:r>
        <w:rPr>
          <w:spacing w:val="-9"/>
        </w:rPr>
        <w:t>測試驗，缺乏大規模的臨床試驗，評估療效和安全性。因此，在考慮開立抗愛滋病</w:t>
      </w:r>
      <w:r>
        <w:rPr>
          <w:spacing w:val="9"/>
        </w:rPr>
        <w:t>毒藥物組合與 </w:t>
      </w:r>
      <w:r>
        <w:rPr>
          <w:spacing w:val="3"/>
        </w:rPr>
        <w:t>rifampin</w:t>
      </w:r>
      <w:r>
        <w:rPr>
          <w:spacing w:val="20"/>
        </w:rPr>
        <w:t> 或者 </w:t>
      </w:r>
      <w:r>
        <w:rPr>
          <w:spacing w:val="3"/>
        </w:rPr>
        <w:t>rifabutin 併用時，需要參考臨床試驗結果、藥物交互作用、藥物副作用等</w:t>
      </w:r>
      <w:r>
        <w:rPr>
          <w:spacing w:val="2"/>
        </w:rPr>
        <w:t>[1]</w:t>
      </w:r>
      <w:r>
        <w:rPr/>
        <w:t>。</w:t>
      </w:r>
    </w:p>
    <w:p>
      <w:pPr>
        <w:pStyle w:val="BodyText"/>
        <w:spacing w:line="223" w:lineRule="auto" w:before="27"/>
        <w:ind w:left="1323" w:right="1301" w:firstLine="488"/>
        <w:jc w:val="both"/>
      </w:pPr>
      <w:r>
        <w:rPr>
          <w:spacing w:val="-1"/>
        </w:rPr>
        <w:t>對於未曾服用抗愛滋病毒藥物的感染者，而且抗結核藥物感受性試驗顯示並非</w:t>
      </w:r>
      <w:r>
        <w:rPr>
          <w:spacing w:val="-7"/>
        </w:rPr>
        <w:t>抗藥結核菌時，抗結核藥物的首選，仍然是含 </w:t>
      </w:r>
      <w:r>
        <w:rPr/>
        <w:t>isoniazid</w:t>
      </w:r>
      <w:r>
        <w:rPr>
          <w:spacing w:val="-20"/>
        </w:rPr>
        <w:t>、</w:t>
      </w:r>
      <w:r>
        <w:rPr/>
        <w:t>ethambutol</w:t>
      </w:r>
      <w:r>
        <w:rPr>
          <w:spacing w:val="-18"/>
        </w:rPr>
        <w:t>、</w:t>
      </w:r>
      <w:r>
        <w:rPr/>
        <w:t>rifampin、pyrazinamide</w:t>
      </w:r>
      <w:r>
        <w:rPr>
          <w:spacing w:val="19"/>
        </w:rPr>
        <w:t> (</w:t>
      </w:r>
      <w:r>
        <w:rPr/>
        <w:t>HERZ</w:t>
      </w:r>
      <w:r>
        <w:rPr>
          <w:spacing w:val="1"/>
        </w:rPr>
        <w:t>) 的組合。如果準備開始使用抗愛滋病毒藥物(抗愛滋病毒藥</w:t>
      </w:r>
      <w:r>
        <w:rPr>
          <w:spacing w:val="-9"/>
        </w:rPr>
        <w:t>物的開始時機，後敘)，抗愛滋病毒藥物的首選藥物組合，根據臨床試驗可以考量的</w:t>
      </w:r>
      <w:r>
        <w:rPr>
          <w:spacing w:val="4"/>
        </w:rPr>
        <w:t>選擇，包括 </w:t>
      </w:r>
      <w:r>
        <w:rPr/>
        <w:t>TDF/FTC/EFV</w:t>
      </w:r>
      <w:r>
        <w:rPr>
          <w:spacing w:val="19"/>
        </w:rPr>
        <w:t> (</w:t>
      </w:r>
      <w:r>
        <w:rPr/>
        <w:t>600</w:t>
      </w:r>
      <w:r>
        <w:rPr>
          <w:spacing w:val="39"/>
        </w:rPr>
        <w:t> </w:t>
      </w:r>
      <w:r>
        <w:rPr>
          <w:spacing w:val="2"/>
        </w:rPr>
        <w:t>mg)、包含兩種核苷酸反轉錄酶抑制劑加上 </w:t>
      </w:r>
      <w:r>
        <w:rPr/>
        <w:t>RAL (800</w:t>
      </w:r>
      <w:r>
        <w:rPr>
          <w:spacing w:val="11"/>
        </w:rPr>
        <w:t> </w:t>
      </w:r>
      <w:r>
        <w:rPr/>
        <w:t>mg</w:t>
      </w:r>
      <w:r>
        <w:rPr>
          <w:spacing w:val="12"/>
        </w:rPr>
        <w:t> </w:t>
      </w:r>
      <w:r>
        <w:rPr/>
        <w:t>bid</w:t>
      </w:r>
      <w:r>
        <w:rPr>
          <w:spacing w:val="2"/>
        </w:rPr>
        <w:t>)或者是 </w:t>
      </w:r>
      <w:r>
        <w:rPr/>
        <w:t>DTG</w:t>
      </w:r>
      <w:r>
        <w:rPr>
          <w:spacing w:val="6"/>
        </w:rPr>
        <w:t> (</w:t>
      </w:r>
      <w:r>
        <w:rPr/>
        <w:t>50</w:t>
      </w:r>
      <w:r>
        <w:rPr>
          <w:spacing w:val="11"/>
        </w:rPr>
        <w:t> </w:t>
      </w:r>
      <w:r>
        <w:rPr/>
        <w:t>mg</w:t>
      </w:r>
      <w:r>
        <w:rPr>
          <w:spacing w:val="13"/>
        </w:rPr>
        <w:t> </w:t>
      </w:r>
      <w:r>
        <w:rPr/>
        <w:t>bid</w:t>
      </w:r>
      <w:r>
        <w:rPr>
          <w:spacing w:val="2"/>
        </w:rPr>
        <w:t>)。</w:t>
      </w:r>
      <w:r>
        <w:rPr/>
        <w:t>Efavirenz</w:t>
      </w:r>
      <w:r>
        <w:rPr>
          <w:spacing w:val="2"/>
        </w:rPr>
        <w:t> 的血中濃度，根據臺大醫院的</w:t>
      </w:r>
      <w:r>
        <w:rPr>
          <w:spacing w:val="-3"/>
        </w:rPr>
        <w:t>藥物動力學研究，國人使用 </w:t>
      </w:r>
      <w:r>
        <w:rPr/>
        <w:t>EFV</w:t>
      </w:r>
      <w:r>
        <w:rPr>
          <w:spacing w:val="2"/>
        </w:rPr>
        <w:t> 的每日劑量 </w:t>
      </w:r>
      <w:r>
        <w:rPr/>
        <w:t>600</w:t>
      </w:r>
      <w:r>
        <w:rPr>
          <w:spacing w:val="-10"/>
        </w:rPr>
        <w:t> </w:t>
      </w:r>
      <w:r>
        <w:rPr/>
        <w:t>mg</w:t>
      </w:r>
      <w:r>
        <w:rPr>
          <w:spacing w:val="3"/>
        </w:rPr>
        <w:t> 併用 </w:t>
      </w:r>
      <w:r>
        <w:rPr/>
        <w:t>rifampin</w:t>
      </w:r>
      <w:r>
        <w:rPr>
          <w:spacing w:val="-6"/>
        </w:rPr>
        <w:t> 時，服用後第</w:t>
      </w:r>
      <w:r>
        <w:rPr>
          <w:spacing w:val="3"/>
        </w:rPr>
        <w:t>十二小時的 </w:t>
      </w:r>
      <w:r>
        <w:rPr/>
        <w:t>EFV</w:t>
      </w:r>
      <w:r>
        <w:rPr>
          <w:spacing w:val="3"/>
        </w:rPr>
        <w:t> 藥物濃度(</w:t>
      </w:r>
      <w:r>
        <w:rPr/>
        <w:t>mid-dose</w:t>
      </w:r>
      <w:r>
        <w:rPr>
          <w:spacing w:val="39"/>
        </w:rPr>
        <w:t> </w:t>
      </w:r>
      <w:r>
        <w:rPr/>
        <w:t>plasma</w:t>
      </w:r>
      <w:r>
        <w:rPr>
          <w:spacing w:val="37"/>
        </w:rPr>
        <w:t> </w:t>
      </w:r>
      <w:r>
        <w:rPr/>
        <w:t>concentration</w:t>
      </w:r>
      <w:r>
        <w:rPr>
          <w:spacing w:val="19"/>
        </w:rPr>
        <w:t>, </w:t>
      </w:r>
      <w:r>
        <w:rPr/>
        <w:t>C12</w:t>
      </w:r>
      <w:r>
        <w:rPr>
          <w:spacing w:val="2"/>
        </w:rPr>
        <w:t>)下降 </w:t>
      </w:r>
      <w:r>
        <w:rPr/>
        <w:t>26</w:t>
      </w:r>
      <w:r>
        <w:rPr>
          <w:spacing w:val="4"/>
        </w:rPr>
        <w:t>%。現</w:t>
      </w:r>
      <w:r>
        <w:rPr>
          <w:spacing w:val="2"/>
        </w:rPr>
        <w:t>有的國際愛滋病毒感染治療指引建議，並不需將 </w:t>
      </w:r>
      <w:r>
        <w:rPr/>
        <w:t>EFV</w:t>
      </w:r>
      <w:r>
        <w:rPr>
          <w:spacing w:val="3"/>
        </w:rPr>
        <w:t> 劑量增加為 </w:t>
      </w:r>
      <w:r>
        <w:rPr/>
        <w:t>800</w:t>
      </w:r>
      <w:r>
        <w:rPr>
          <w:spacing w:val="3"/>
        </w:rPr>
        <w:t> </w:t>
      </w:r>
      <w:r>
        <w:rPr/>
        <w:t>mg</w:t>
      </w:r>
      <w:r>
        <w:rPr>
          <w:spacing w:val="2"/>
        </w:rPr>
        <w:t> [</w:t>
      </w:r>
      <w:r>
        <w:rPr/>
        <w:t>1</w:t>
      </w:r>
      <w:r>
        <w:rPr>
          <w:spacing w:val="1"/>
        </w:rPr>
        <w:t>]。如</w:t>
      </w:r>
      <w:r>
        <w:rPr>
          <w:spacing w:val="-3"/>
        </w:rPr>
        <w:t>果因為考量藥物副作用、愛滋病毒對於非核苷酸反轉錄酶抑制劑產生抗藥、或者病</w:t>
      </w:r>
      <w:r>
        <w:rPr>
          <w:spacing w:val="-1"/>
        </w:rPr>
        <w:t>人接受兩種核苷酸反轉錄酶加上非核苷酸反轉錄酶，但是病毒抑制效果不佳時，而</w:t>
      </w:r>
      <w:r>
        <w:rPr>
          <w:spacing w:val="3"/>
        </w:rPr>
        <w:t>必須將含 </w:t>
      </w:r>
      <w:r>
        <w:rPr/>
        <w:t>EFV</w:t>
      </w:r>
      <w:r>
        <w:rPr>
          <w:spacing w:val="2"/>
        </w:rPr>
        <w:t> 的抗病毒藥物組合更換為以含嵌入酶抑制劑的藥物組合時，在併用</w:t>
      </w:r>
      <w:r>
        <w:rPr>
          <w:spacing w:val="6"/>
        </w:rPr>
        <w:t>含有 </w:t>
      </w:r>
      <w:r>
        <w:rPr/>
        <w:t>rifampin</w:t>
      </w:r>
      <w:r>
        <w:rPr>
          <w:spacing w:val="2"/>
        </w:rPr>
        <w:t> 的抗結核藥物時，</w:t>
      </w:r>
      <w:r>
        <w:rPr/>
        <w:t>RAL</w:t>
      </w:r>
      <w:r>
        <w:rPr>
          <w:spacing w:val="7"/>
        </w:rPr>
        <w:t> 或者 </w:t>
      </w:r>
      <w:r>
        <w:rPr/>
        <w:t>DTG</w:t>
      </w:r>
      <w:r>
        <w:rPr>
          <w:spacing w:val="2"/>
        </w:rPr>
        <w:t> 的每日劑量都得加倍(表 </w:t>
      </w:r>
      <w:r>
        <w:rPr/>
        <w:t>9-2)</w:t>
      </w:r>
      <w:r>
        <w:rPr>
          <w:spacing w:val="3"/>
        </w:rPr>
        <w:t>。如果是選用含有 </w:t>
      </w:r>
      <w:r>
        <w:rPr/>
        <w:t>rifabutin</w:t>
      </w:r>
      <w:r>
        <w:rPr>
          <w:spacing w:val="2"/>
        </w:rPr>
        <w:t> 的抗結核藥物組合時，在併用含有 </w:t>
      </w:r>
      <w:r>
        <w:rPr/>
        <w:t>EFV</w:t>
      </w:r>
      <w:r>
        <w:rPr>
          <w:spacing w:val="2"/>
        </w:rPr>
        <w:t> 的抗愛滋病毒藥物</w:t>
      </w:r>
      <w:r>
        <w:rPr>
          <w:spacing w:val="-14"/>
        </w:rPr>
        <w:t>下，</w:t>
      </w:r>
      <w:r>
        <w:rPr/>
        <w:t>rifabutin</w:t>
      </w:r>
      <w:r>
        <w:rPr>
          <w:spacing w:val="2"/>
        </w:rPr>
        <w:t> 的每日劑量必須提升到 </w:t>
      </w:r>
      <w:r>
        <w:rPr/>
        <w:t>450</w:t>
      </w:r>
      <w:r>
        <w:rPr>
          <w:spacing w:val="-12"/>
        </w:rPr>
        <w:t> </w:t>
      </w:r>
      <w:r>
        <w:rPr>
          <w:spacing w:val="-14"/>
        </w:rPr>
        <w:t>mg</w:t>
      </w:r>
      <w:r>
        <w:rPr>
          <w:spacing w:val="-26"/>
        </w:rPr>
        <w:t>。</w:t>
      </w:r>
      <w:r>
        <w:rPr/>
        <w:t>Rifabutin</w:t>
      </w:r>
      <w:r>
        <w:rPr>
          <w:spacing w:val="3"/>
        </w:rPr>
        <w:t> 併用 </w:t>
      </w:r>
      <w:r>
        <w:rPr/>
        <w:t>RAL</w:t>
      </w:r>
      <w:r>
        <w:rPr>
          <w:spacing w:val="2"/>
        </w:rPr>
        <w:t> 或者 </w:t>
      </w:r>
      <w:r>
        <w:rPr/>
        <w:t>DTG</w:t>
      </w:r>
      <w:r>
        <w:rPr>
          <w:spacing w:val="-17"/>
        </w:rPr>
        <w:t> 時， </w:t>
      </w:r>
      <w:r>
        <w:rPr/>
        <w:t>rifabutin</w:t>
      </w:r>
      <w:r>
        <w:rPr>
          <w:spacing w:val="-16"/>
        </w:rPr>
        <w:t>、</w:t>
      </w:r>
      <w:r>
        <w:rPr>
          <w:spacing w:val="-6"/>
        </w:rPr>
        <w:t>RAL</w:t>
      </w:r>
      <w:r>
        <w:rPr>
          <w:spacing w:val="-15"/>
        </w:rPr>
        <w:t>、</w:t>
      </w:r>
      <w:r>
        <w:rPr/>
        <w:t>DTG</w:t>
      </w:r>
      <w:r>
        <w:rPr>
          <w:spacing w:val="-4"/>
        </w:rPr>
        <w:t> 都不需要調整劑量。如果因為愛滋病毒抗藥，必須使用以蛋</w:t>
      </w:r>
      <w:r>
        <w:rPr>
          <w:spacing w:val="5"/>
        </w:rPr>
        <w:t>白酶抑制劑為主的藥物組合時，此時 </w:t>
      </w:r>
      <w:r>
        <w:rPr/>
        <w:t>rifampin</w:t>
      </w:r>
      <w:r>
        <w:rPr>
          <w:spacing w:val="6"/>
        </w:rPr>
        <w:t> 必須隨同更換為 </w:t>
      </w:r>
      <w:r>
        <w:rPr/>
        <w:t>rifabutin</w:t>
      </w:r>
      <w:r>
        <w:rPr>
          <w:spacing w:val="2"/>
        </w:rPr>
        <w:t>，因為rifampin</w:t>
      </w:r>
      <w:r>
        <w:rPr>
          <w:spacing w:val="-3"/>
        </w:rPr>
        <w:t> 會大幅度降低蛋白酶抑制劑的藥物濃度，影響愛滋病毒治療效果。如果選</w:t>
      </w:r>
    </w:p>
    <w:p>
      <w:pPr>
        <w:spacing w:after="0" w:line="223" w:lineRule="auto"/>
        <w:jc w:val="both"/>
        <w:sectPr>
          <w:pgSz w:w="12250" w:h="17190"/>
          <w:pgMar w:header="0" w:footer="748" w:top="1460" w:bottom="1020" w:left="840" w:right="0"/>
        </w:sectPr>
      </w:pPr>
    </w:p>
    <w:p>
      <w:pPr>
        <w:pStyle w:val="BodyText"/>
        <w:spacing w:line="223" w:lineRule="auto" w:before="46"/>
        <w:ind w:left="1323" w:right="1292"/>
        <w:jc w:val="both"/>
      </w:pPr>
      <w:r>
        <w:rPr/>
        <w:pict>
          <v:group style="position:absolute;margin-left:571.5pt;margin-top:.463599pt;width:40.9pt;height:219pt;mso-position-horizontal-relative:page;mso-position-vertical-relative:paragraph;z-index:251833344" coordorigin="11430,9" coordsize="818,4380">
            <v:shape style="position:absolute;left:11430;top:9;width:818;height:4380" coordorigin="11430,9" coordsize="818,4380" path="m12247,9l11595,9,11531,22,11478,58,11443,110,11430,175,11430,4224,11443,4288,11478,4341,11531,4376,11595,4389,12247,4389,12247,9xe" filled="true" fillcolor="#a6a6a6" stroked="false">
              <v:path arrowok="t"/>
              <v:fill type="solid"/>
            </v:shape>
            <v:shape style="position:absolute;left:11430;top:9;width:818;height:4380" type="#_x0000_t202" filled="false" stroked="false">
              <v:textbox inset="0,0,0,0">
                <w:txbxContent>
                  <w:p>
                    <w:pPr>
                      <w:spacing w:line="146" w:lineRule="auto" w:before="126"/>
                      <w:ind w:left="136" w:right="458" w:firstLine="0"/>
                      <w:jc w:val="both"/>
                      <w:rPr>
                        <w:sz w:val="22"/>
                      </w:rPr>
                    </w:pPr>
                    <w:r>
                      <w:rPr>
                        <w:sz w:val="22"/>
                      </w:rPr>
                      <w:t>第九章</w:t>
                    </w:r>
                  </w:p>
                  <w:p>
                    <w:pPr>
                      <w:spacing w:line="141" w:lineRule="auto" w:before="175"/>
                      <w:ind w:left="136" w:right="458" w:firstLine="0"/>
                      <w:jc w:val="both"/>
                      <w:rPr>
                        <w:sz w:val="22"/>
                      </w:rPr>
                    </w:pPr>
                    <w:r>
                      <w:rPr>
                        <w:sz w:val="22"/>
                      </w:rPr>
                      <w:t>愛滋病毒感染者結核病之診療</w:t>
                    </w:r>
                  </w:p>
                </w:txbxContent>
              </v:textbox>
              <w10:wrap type="none"/>
            </v:shape>
            <w10:wrap type="none"/>
          </v:group>
        </w:pict>
      </w:r>
      <w:r>
        <w:rPr>
          <w:spacing w:val="21"/>
        </w:rPr>
        <w:t>擇併用</w:t>
      </w:r>
      <w:r>
        <w:rPr>
          <w:spacing w:val="1"/>
        </w:rPr>
        <w:t>ri</w:t>
      </w:r>
      <w:r>
        <w:rPr>
          <w:spacing w:val="2"/>
        </w:rPr>
        <w:t>f</w:t>
      </w:r>
      <w:r>
        <w:rPr/>
        <w:t>a</w:t>
      </w:r>
      <w:r>
        <w:rPr>
          <w:spacing w:val="1"/>
        </w:rPr>
        <w:t>b</w:t>
      </w:r>
      <w:r>
        <w:rPr>
          <w:spacing w:val="2"/>
        </w:rPr>
        <w:t>u</w:t>
      </w:r>
      <w:r>
        <w:rPr>
          <w:spacing w:val="1"/>
        </w:rPr>
        <w:t>t</w:t>
      </w:r>
      <w:r>
        <w:rPr>
          <w:spacing w:val="2"/>
        </w:rPr>
        <w:t>i</w:t>
      </w:r>
      <w:r>
        <w:rPr>
          <w:spacing w:val="-60"/>
        </w:rPr>
        <w:t>n</w:t>
      </w:r>
      <w:r>
        <w:rPr>
          <w:spacing w:val="-57"/>
        </w:rPr>
        <w:t>，</w:t>
      </w:r>
      <w:r>
        <w:rPr>
          <w:spacing w:val="1"/>
        </w:rPr>
        <w:t>ri</w:t>
      </w:r>
      <w:r>
        <w:rPr>
          <w:spacing w:val="2"/>
        </w:rPr>
        <w:t>f</w:t>
      </w:r>
      <w:r>
        <w:rPr/>
        <w:t>a</w:t>
      </w:r>
      <w:r>
        <w:rPr>
          <w:spacing w:val="1"/>
        </w:rPr>
        <w:t>b</w:t>
      </w:r>
      <w:r>
        <w:rPr>
          <w:spacing w:val="2"/>
        </w:rPr>
        <w:t>u</w:t>
      </w:r>
      <w:r>
        <w:rPr>
          <w:spacing w:val="1"/>
        </w:rPr>
        <w:t>t</w:t>
      </w:r>
      <w:r>
        <w:rPr>
          <w:spacing w:val="2"/>
        </w:rPr>
        <w:t>i</w:t>
      </w:r>
      <w:r>
        <w:rPr/>
        <w:t>n</w:t>
      </w:r>
      <w:r>
        <w:rPr>
          <w:spacing w:val="-1"/>
        </w:rPr>
        <w:t> 的單日劑量必須減半(表 </w:t>
      </w:r>
      <w:r>
        <w:rPr>
          <w:spacing w:val="2"/>
        </w:rPr>
        <w:t>9</w:t>
      </w:r>
      <w:r>
        <w:rPr/>
        <w:t>-</w:t>
      </w:r>
      <w:r>
        <w:rPr>
          <w:spacing w:val="2"/>
        </w:rPr>
        <w:t>2</w:t>
      </w:r>
      <w:r>
        <w:rPr>
          <w:spacing w:val="-179"/>
        </w:rPr>
        <w:t>）</w:t>
      </w:r>
      <w:r>
        <w:rPr>
          <w:spacing w:val="15"/>
        </w:rPr>
        <w:t>。</w:t>
      </w:r>
      <w:r>
        <w:rPr>
          <w:color w:val="FF0000"/>
          <w:spacing w:val="1"/>
        </w:rPr>
        <w:t>國際原廠 </w:t>
      </w:r>
      <w:r>
        <w:rPr>
          <w:color w:val="FF0000"/>
          <w:spacing w:val="2"/>
        </w:rPr>
        <w:t>TDF</w:t>
      </w:r>
      <w:r>
        <w:rPr>
          <w:color w:val="FF0000"/>
          <w:spacing w:val="1"/>
        </w:rPr>
        <w:t>/</w:t>
      </w:r>
      <w:r>
        <w:rPr>
          <w:color w:val="FF0000"/>
          <w:spacing w:val="2"/>
        </w:rPr>
        <w:t>F</w:t>
      </w:r>
      <w:r>
        <w:rPr>
          <w:color w:val="FF0000"/>
        </w:rPr>
        <w:t>T</w:t>
      </w:r>
      <w:r>
        <w:rPr>
          <w:color w:val="FF0000"/>
          <w:spacing w:val="2"/>
        </w:rPr>
        <w:t>C</w:t>
      </w:r>
      <w:r>
        <w:rPr>
          <w:color w:val="FF0000"/>
          <w:spacing w:val="1"/>
        </w:rPr>
        <w:t>/</w:t>
      </w:r>
      <w:r>
        <w:rPr>
          <w:color w:val="FF0000"/>
          <w:spacing w:val="2"/>
        </w:rPr>
        <w:t>EFV </w:t>
      </w:r>
      <w:r>
        <w:rPr>
          <w:color w:val="FF0000"/>
        </w:rPr>
        <w:t>(600 mg</w:t>
      </w:r>
      <w:r>
        <w:rPr>
          <w:color w:val="FF0000"/>
          <w:spacing w:val="7"/>
        </w:rPr>
        <w:t>) (商品名 </w:t>
      </w:r>
      <w:r>
        <w:rPr>
          <w:color w:val="FF0000"/>
        </w:rPr>
        <w:t>Atripla</w:t>
      </w:r>
      <w:r>
        <w:rPr>
          <w:color w:val="FF0000"/>
          <w:spacing w:val="2"/>
        </w:rPr>
        <w:t>)的單顆藥物，不再生產，未來愛滋病毒感染病患發生結核病，必須同時使用抗愛滋病毒藥物時，將無法取得 </w:t>
      </w:r>
      <w:r>
        <w:rPr>
          <w:color w:val="FF0000"/>
        </w:rPr>
        <w:t>TDF/FTC/EFV</w:t>
      </w:r>
      <w:r>
        <w:rPr>
          <w:color w:val="FF0000"/>
          <w:spacing w:val="-3"/>
        </w:rPr>
        <w:t> (</w:t>
      </w:r>
      <w:r>
        <w:rPr>
          <w:color w:val="FF0000"/>
        </w:rPr>
        <w:t>600 mg</w:t>
      </w:r>
      <w:r>
        <w:rPr>
          <w:color w:val="FF0000"/>
          <w:spacing w:val="2"/>
        </w:rPr>
        <w:t>)合併</w:t>
      </w:r>
      <w:r>
        <w:rPr>
          <w:color w:val="FF0000"/>
          <w:spacing w:val="-1"/>
        </w:rPr>
        <w:t>使用。在一個隨機分組的臨床試驗</w:t>
      </w:r>
      <w:r>
        <w:rPr>
          <w:color w:val="FF0000"/>
        </w:rPr>
        <w:t>(ENCORE)中，愛滋病患隨機分組接受 EFV</w:t>
      </w:r>
      <w:r>
        <w:rPr>
          <w:color w:val="FF0000"/>
          <w:spacing w:val="-4"/>
        </w:rPr>
        <w:t> (</w:t>
      </w:r>
      <w:r>
        <w:rPr>
          <w:color w:val="FF0000"/>
        </w:rPr>
        <w:t>600 mg</w:t>
      </w:r>
      <w:r>
        <w:rPr>
          <w:color w:val="FF0000"/>
          <w:spacing w:val="2"/>
        </w:rPr>
        <w:t>)相較於 </w:t>
      </w:r>
      <w:r>
        <w:rPr>
          <w:color w:val="FF0000"/>
        </w:rPr>
        <w:t>EFV</w:t>
      </w:r>
      <w:r>
        <w:rPr>
          <w:color w:val="FF0000"/>
          <w:spacing w:val="10"/>
        </w:rPr>
        <w:t> (</w:t>
      </w:r>
      <w:r>
        <w:rPr>
          <w:color w:val="FF0000"/>
        </w:rPr>
        <w:t>400 mg</w:t>
      </w:r>
      <w:r>
        <w:rPr>
          <w:color w:val="FF0000"/>
          <w:spacing w:val="1"/>
        </w:rPr>
        <w:t>)，合併 </w:t>
      </w:r>
      <w:r>
        <w:rPr>
          <w:color w:val="FF0000"/>
        </w:rPr>
        <w:t>TDF</w:t>
      </w:r>
      <w:r>
        <w:rPr>
          <w:color w:val="FF0000"/>
          <w:spacing w:val="10"/>
        </w:rPr>
        <w:t>, </w:t>
      </w:r>
      <w:r>
        <w:rPr>
          <w:color w:val="FF0000"/>
        </w:rPr>
        <w:t>3TC</w:t>
      </w:r>
      <w:r>
        <w:rPr>
          <w:color w:val="FF0000"/>
          <w:spacing w:val="2"/>
        </w:rPr>
        <w:t> 治療，兩組病患在試驗進行 </w:t>
      </w:r>
      <w:r>
        <w:rPr>
          <w:color w:val="FF0000"/>
        </w:rPr>
        <w:t>96</w:t>
      </w:r>
      <w:r>
        <w:rPr>
          <w:color w:val="FF0000"/>
          <w:spacing w:val="3"/>
        </w:rPr>
        <w:t> 週後達</w:t>
      </w:r>
      <w:r>
        <w:rPr>
          <w:color w:val="FF0000"/>
          <w:spacing w:val="16"/>
        </w:rPr>
        <w:t>成病毒抑制的比例相似 [</w:t>
      </w:r>
      <w:r>
        <w:rPr>
          <w:color w:val="FF0000"/>
          <w:spacing w:val="9"/>
        </w:rPr>
        <w:t>4</w:t>
      </w:r>
      <w:r>
        <w:rPr>
          <w:color w:val="FF0000"/>
          <w:spacing w:val="13"/>
        </w:rPr>
        <w:t>]，同時副作用較低。台大醫院針對 </w:t>
      </w:r>
      <w:r>
        <w:rPr>
          <w:color w:val="FF0000"/>
        </w:rPr>
        <w:t>50</w:t>
      </w:r>
      <w:r>
        <w:rPr>
          <w:color w:val="FF0000"/>
          <w:spacing w:val="16"/>
        </w:rPr>
        <w:t> 位原先接受</w:t>
      </w:r>
      <w:r>
        <w:rPr>
          <w:color w:val="FF0000"/>
        </w:rPr>
        <w:t>TDF/FTC/EFV (600 mg)</w:t>
      </w:r>
      <w:r>
        <w:rPr>
          <w:color w:val="FF0000"/>
          <w:spacing w:val="1"/>
        </w:rPr>
        <w:t>，而且達成病毒抑制和服藥第十二小時血漿 </w:t>
      </w:r>
      <w:r>
        <w:rPr>
          <w:color w:val="FF0000"/>
        </w:rPr>
        <w:t>EFV</w:t>
      </w:r>
      <w:r>
        <w:rPr>
          <w:color w:val="FF0000"/>
          <w:spacing w:val="3"/>
        </w:rPr>
        <w:t> 濃度高於</w:t>
      </w:r>
      <w:r>
        <w:rPr>
          <w:color w:val="FF0000"/>
        </w:rPr>
        <w:t>1</w:t>
      </w:r>
      <w:r>
        <w:rPr>
          <w:color w:val="FF0000"/>
          <w:spacing w:val="-9"/>
        </w:rPr>
        <w:t> </w:t>
      </w:r>
      <w:r>
        <w:rPr>
          <w:color w:val="FF0000"/>
        </w:rPr>
        <w:t>mg/L</w:t>
      </w:r>
      <w:r>
        <w:rPr>
          <w:color w:val="FF0000"/>
          <w:spacing w:val="1"/>
        </w:rPr>
        <w:t> 的病患，轉換到 </w:t>
      </w:r>
      <w:r>
        <w:rPr>
          <w:color w:val="FF0000"/>
        </w:rPr>
        <w:t>TDF/3TC/EFV</w:t>
      </w:r>
      <w:r>
        <w:rPr>
          <w:color w:val="FF0000"/>
          <w:spacing w:val="-6"/>
        </w:rPr>
        <w:t> (</w:t>
      </w:r>
      <w:r>
        <w:rPr>
          <w:color w:val="FF0000"/>
        </w:rPr>
        <w:t>400 mg</w:t>
      </w:r>
      <w:r>
        <w:rPr>
          <w:color w:val="FF0000"/>
          <w:spacing w:val="1"/>
        </w:rPr>
        <w:t>)。在追蹤 </w:t>
      </w:r>
      <w:r>
        <w:rPr>
          <w:color w:val="FF0000"/>
        </w:rPr>
        <w:t>24</w:t>
      </w:r>
      <w:r>
        <w:rPr>
          <w:color w:val="FF0000"/>
          <w:spacing w:val="-1"/>
        </w:rPr>
        <w:t> 週時，除了一位受試</w:t>
      </w:r>
      <w:r>
        <w:rPr>
          <w:color w:val="FF0000"/>
          <w:spacing w:val="-7"/>
        </w:rPr>
        <w:t>者自行停藥外，都能持續達成病毒抑制的效果。</w:t>
      </w:r>
      <w:r>
        <w:rPr>
          <w:color w:val="FF0000"/>
        </w:rPr>
        <w:t>EFV</w:t>
      </w:r>
      <w:r>
        <w:rPr>
          <w:color w:val="FF0000"/>
          <w:spacing w:val="1"/>
        </w:rPr>
        <w:t> 的平均濃度在轉換 </w:t>
      </w:r>
      <w:r>
        <w:rPr>
          <w:color w:val="FF0000"/>
        </w:rPr>
        <w:t>EFV</w:t>
      </w:r>
      <w:r>
        <w:rPr>
          <w:color w:val="FF0000"/>
          <w:spacing w:val="2"/>
        </w:rPr>
        <w:t> 劑量後</w:t>
      </w:r>
      <w:r>
        <w:rPr>
          <w:color w:val="FF0000"/>
          <w:spacing w:val="13"/>
        </w:rPr>
        <w:t>第四週從 </w:t>
      </w:r>
      <w:r>
        <w:rPr/>
        <w:t>2.31 mg/L</w:t>
      </w:r>
      <w:r>
        <w:rPr>
          <w:spacing w:val="12"/>
        </w:rPr>
        <w:t> 降到 </w:t>
      </w:r>
      <w:r>
        <w:rPr/>
        <w:t>1.41 mg/L</w:t>
      </w:r>
      <w:r>
        <w:rPr>
          <w:spacing w:val="15"/>
        </w:rPr>
        <w:t> (下降 </w:t>
      </w:r>
      <w:r>
        <w:rPr/>
        <w:t>38.9%, IQR 29.0%-44.4%)，96% (n=48</w:t>
      </w:r>
      <w:r>
        <w:rPr>
          <w:spacing w:val="6"/>
        </w:rPr>
        <w:t>)的受試者都能維持</w:t>
      </w:r>
      <w:r>
        <w:rPr/>
        <w:t>EFV</w:t>
      </w:r>
      <w:r>
        <w:rPr>
          <w:spacing w:val="-3"/>
        </w:rPr>
        <w:t> 濃度高於 </w:t>
      </w:r>
      <w:r>
        <w:rPr>
          <w:color w:val="FF0000"/>
        </w:rPr>
        <w:t>1 </w:t>
      </w:r>
      <w:r>
        <w:rPr>
          <w:color w:val="FF0000"/>
          <w:spacing w:val="-23"/>
        </w:rPr>
        <w:t>mg/L</w:t>
      </w:r>
      <w:r>
        <w:rPr>
          <w:color w:val="FF0000"/>
          <w:spacing w:val="-2"/>
        </w:rPr>
        <w:t>，剩餘兩位的濃度分別是 </w:t>
      </w:r>
      <w:r>
        <w:rPr/>
        <w:t>0.862 and 0.768 mg/L [5] 。 在 一 個 小 型 的 臨 床 試 驗 中 ， 26 位 受 試 者 合 併 接 受rifampin/isoniazid</w:t>
      </w:r>
      <w:r>
        <w:rPr>
          <w:spacing w:val="16"/>
        </w:rPr>
        <w:t> 和 </w:t>
      </w:r>
      <w:r>
        <w:rPr/>
        <w:t>TDF/FT</w:t>
      </w:r>
      <w:r>
        <w:rPr>
          <w:color w:val="FF0000"/>
        </w:rPr>
        <w:t>C/</w:t>
      </w:r>
      <w:r>
        <w:rPr/>
        <w:t>EFV</w:t>
      </w:r>
      <w:r>
        <w:rPr>
          <w:spacing w:val="-9"/>
        </w:rPr>
        <w:t> (</w:t>
      </w:r>
      <w:r>
        <w:rPr/>
        <w:t>400 mg</w:t>
      </w:r>
      <w:r>
        <w:rPr>
          <w:spacing w:val="-6"/>
        </w:rPr>
        <w:t>)後，相較於併用 </w:t>
      </w:r>
      <w:r>
        <w:rPr/>
        <w:t>rifampin/isoniazid </w:t>
      </w:r>
      <w:r>
        <w:rPr>
          <w:spacing w:val="-10"/>
        </w:rPr>
        <w:t>前，</w:t>
      </w:r>
      <w:r>
        <w:rPr>
          <w:spacing w:val="-4"/>
        </w:rPr>
        <w:t>EFV</w:t>
      </w:r>
      <w:r>
        <w:rPr>
          <w:spacing w:val="-1"/>
        </w:rPr>
        <w:t> 的 </w:t>
      </w:r>
      <w:r>
        <w:rPr/>
        <w:t>area-under-the-curve</w:t>
      </w:r>
      <w:r>
        <w:rPr>
          <w:spacing w:val="-1"/>
        </w:rPr>
        <w:t> 濃度和服藥 </w:t>
      </w:r>
      <w:r>
        <w:rPr/>
        <w:t>24</w:t>
      </w:r>
      <w:r>
        <w:rPr>
          <w:spacing w:val="-1"/>
        </w:rPr>
        <w:t> 小時後的最低 </w:t>
      </w:r>
      <w:r>
        <w:rPr/>
        <w:t>EFV</w:t>
      </w:r>
      <w:r>
        <w:rPr>
          <w:spacing w:val="-6"/>
        </w:rPr>
        <w:t> 濃度，分別降</w:t>
      </w:r>
      <w:r>
        <w:rPr>
          <w:spacing w:val="-5"/>
        </w:rPr>
        <w:t>低大約 </w:t>
      </w:r>
      <w:r>
        <w:rPr/>
        <w:t>8%</w:t>
      </w:r>
      <w:r>
        <w:rPr>
          <w:spacing w:val="-1"/>
        </w:rPr>
        <w:t>和 </w:t>
      </w:r>
      <w:r>
        <w:rPr/>
        <w:t>12%</w:t>
      </w:r>
      <w:r>
        <w:rPr>
          <w:spacing w:val="-8"/>
        </w:rPr>
        <w:t> [</w:t>
      </w:r>
      <w:r>
        <w:rPr/>
        <w:t>6</w:t>
      </w:r>
      <w:r>
        <w:rPr>
          <w:spacing w:val="-3"/>
        </w:rPr>
        <w:t>]。不過，這些個案數都不多，也缺乏正式的臨床試驗評估，因</w:t>
      </w:r>
      <w:r>
        <w:rPr>
          <w:spacing w:val="-8"/>
        </w:rPr>
        <w:t>此，合併使用 </w:t>
      </w:r>
      <w:r>
        <w:rPr/>
        <w:t>EFV</w:t>
      </w:r>
      <w:r>
        <w:rPr>
          <w:spacing w:val="-8"/>
        </w:rPr>
        <w:t> (</w:t>
      </w:r>
      <w:r>
        <w:rPr/>
        <w:t>400 mg</w:t>
      </w:r>
      <w:r>
        <w:rPr>
          <w:spacing w:val="-1"/>
        </w:rPr>
        <w:t>)和 </w:t>
      </w:r>
      <w:r>
        <w:rPr/>
        <w:t>rifampin</w:t>
      </w:r>
      <w:r>
        <w:rPr>
          <w:spacing w:val="-5"/>
        </w:rPr>
        <w:t> 是否能持續控制愛滋病毒複製，仍須要留心觀察。</w:t>
      </w:r>
    </w:p>
    <w:p>
      <w:pPr>
        <w:pStyle w:val="BodyText"/>
        <w:spacing w:line="223" w:lineRule="auto" w:before="27"/>
        <w:ind w:left="1323" w:right="1357" w:firstLine="488"/>
        <w:jc w:val="both"/>
      </w:pPr>
      <w:r>
        <w:rPr/>
        <w:t>對於已經接受抗愛滋病毒藥物的感染者，如果病毒量已經偵測不到，抗結核藥物的選擇，主要依據病人目前服用的抗愛滋病毒藥物而決定。如果是服用含 </w:t>
      </w:r>
      <w:r>
        <w:rPr>
          <w:color w:val="FF0000"/>
        </w:rPr>
        <w:t>EFV (400 mg)</w:t>
      </w:r>
      <w:r>
        <w:rPr/>
        <w:t>的抗愛滋病毒藥物組合，抗結核藥物仍以含 rifampin 的組合為主，但是須要留心觀察愛滋病毒控制。如果是服用含蛋白酶抑制劑的抗愛滋病毒藥物組合時，抗結核藥物則以含 rifabutin 的組合為主(表 9-2)。另一種選擇是將現有含蛋白酶抑制劑的抗愛滋病毒藥物組合轉換成以含 </w:t>
      </w:r>
      <w:r>
        <w:rPr>
          <w:color w:val="FF0000"/>
        </w:rPr>
        <w:t>EFV (400 mg)</w:t>
      </w:r>
      <w:r>
        <w:rPr/>
        <w:t>或者嵌合酶抑制劑的抗愛滋病毒藥物組合；不過，轉換之前，必須先確認病人是否曾經接受含非核苷酸反轉錄酶抑制劑或者第一代嵌合酶抑制劑(例如，RAL 和 EVG/c)而且發生治療失敗或血漿中愛滋病毒反彈(viral rebound)，因為如果曾經發生使用含非核苷酸反轉錄酶抑制劑或者嵌合酶抑制劑的抗愛滋病毒治療失敗和血漿中愛滋病毒反彈，愛滋病毒可能對於 FTC、3TC、EFV、RAL、EVG 產生抗藥性，必須要進一步檢測病毒抗藥，再選擇適合轉換的抗病毒藥物組合。</w:t>
      </w:r>
    </w:p>
    <w:p>
      <w:pPr>
        <w:pStyle w:val="BodyText"/>
        <w:spacing w:line="223" w:lineRule="auto" w:before="19"/>
        <w:ind w:left="1323" w:right="1301" w:firstLine="488"/>
        <w:jc w:val="both"/>
      </w:pPr>
      <w:r>
        <w:rPr>
          <w:spacing w:val="8"/>
        </w:rPr>
        <w:t>對於已經接受抗愛滋病毒藥物六個月以上的感染者，如果病毒量仍然偵測得</w:t>
      </w:r>
      <w:r>
        <w:rPr>
          <w:spacing w:val="-5"/>
        </w:rPr>
        <w:t>到，必須儘快確認是否愛滋病毒發生抗藥基因突變。除了透過個管師協助加強藥物遵囑性，要考慮進行愛滋病毒抗藥檢測，以便選擇適當有效的抗愛滋病毒藥物和適</w:t>
      </w:r>
      <w:r>
        <w:rPr>
          <w:spacing w:val="-4"/>
        </w:rPr>
        <w:t>當的抗結核藥物。對於已經產生愛滋病毒抗藥性的感染者，如果當初開始使用抗病</w:t>
      </w:r>
      <w:r>
        <w:rPr>
          <w:spacing w:val="-5"/>
        </w:rPr>
        <w:t>毒藥物時，並沒有愛滋病相關伺機性感染和 </w:t>
      </w:r>
      <w:r>
        <w:rPr/>
        <w:t>CD4</w:t>
      </w:r>
      <w:r>
        <w:rPr>
          <w:spacing w:val="4"/>
        </w:rPr>
        <w:t> 高於  </w:t>
      </w:r>
      <w:r>
        <w:rPr/>
        <w:t>350 cells/μl</w:t>
      </w:r>
      <w:r>
        <w:rPr>
          <w:spacing w:val="-7"/>
        </w:rPr>
        <w:t>  時，可以考慮</w:t>
      </w:r>
      <w:r>
        <w:rPr>
          <w:spacing w:val="-12"/>
        </w:rPr>
        <w:t>暫停抗愛滋病毒藥物，透過都治關懷員與愛滋個管師的協助，先確認結核病完治後，</w:t>
      </w:r>
    </w:p>
    <w:p>
      <w:pPr>
        <w:spacing w:after="0" w:line="223" w:lineRule="auto"/>
        <w:jc w:val="both"/>
        <w:sectPr>
          <w:pgSz w:w="12250" w:h="17190"/>
          <w:pgMar w:header="0" w:footer="748" w:top="1460" w:bottom="1020" w:left="840" w:right="0"/>
        </w:sectPr>
      </w:pPr>
    </w:p>
    <w:p>
      <w:pPr>
        <w:pStyle w:val="BodyText"/>
        <w:spacing w:line="223" w:lineRule="auto" w:before="46"/>
        <w:ind w:left="1323" w:right="1358"/>
        <w:jc w:val="both"/>
      </w:pPr>
      <w:r>
        <w:rPr>
          <w:spacing w:val="-5"/>
        </w:rPr>
        <w:t>才重新開始抗愛滋病毒藥物 (抗愛滋病毒藥物的開始時機，後敘)。但是，如果病人</w:t>
      </w:r>
      <w:r>
        <w:rPr>
          <w:spacing w:val="1"/>
        </w:rPr>
        <w:t>開始接受抗愛滋病毒藥物時，</w:t>
      </w:r>
      <w:r>
        <w:rPr/>
        <w:t>CD4</w:t>
      </w:r>
      <w:r>
        <w:rPr>
          <w:spacing w:val="4"/>
        </w:rPr>
        <w:t> 已經低於 </w:t>
      </w:r>
      <w:r>
        <w:rPr/>
        <w:t>200 cells/μl</w:t>
      </w:r>
      <w:r>
        <w:rPr>
          <w:spacing w:val="3"/>
        </w:rPr>
        <w:t> 或更低，或者已經發生</w:t>
      </w:r>
      <w:r>
        <w:rPr>
          <w:spacing w:val="-4"/>
        </w:rPr>
        <w:t>愛滋病相關伺機性感染，此時，病人必須同時併用兩類藥物，以便在兼顧結核病的</w:t>
      </w:r>
      <w:r>
        <w:rPr>
          <w:spacing w:val="2"/>
        </w:rPr>
        <w:t>完治下，同時降低愛滋病毒感染相關的伺機性感染發生率和死亡率。</w:t>
      </w:r>
    </w:p>
    <w:p>
      <w:pPr>
        <w:pStyle w:val="Heading7"/>
        <w:numPr>
          <w:ilvl w:val="2"/>
          <w:numId w:val="119"/>
        </w:numPr>
        <w:tabs>
          <w:tab w:pos="1326" w:val="left" w:leader="none"/>
        </w:tabs>
        <w:spacing w:line="427" w:lineRule="exact" w:before="190" w:after="0"/>
        <w:ind w:left="1326" w:right="0" w:hanging="695"/>
        <w:jc w:val="both"/>
      </w:pPr>
      <w:bookmarkStart w:name="9.3.2 抗結核藥物治療的期程" w:id="101"/>
      <w:bookmarkEnd w:id="101"/>
      <w:r>
        <w:rPr>
          <w:b w:val="0"/>
        </w:rPr>
      </w:r>
      <w:bookmarkStart w:name="9.3.2 抗結核藥物治療的期程" w:id="102"/>
      <w:bookmarkEnd w:id="102"/>
      <w:r>
        <w:rPr>
          <w:spacing w:val="2"/>
        </w:rPr>
        <w:t>抗結核藥物治療的期程</w:t>
      </w:r>
    </w:p>
    <w:p>
      <w:pPr>
        <w:pStyle w:val="BodyText"/>
        <w:spacing w:line="223" w:lineRule="auto" w:before="8"/>
        <w:ind w:left="1323" w:right="1357" w:firstLine="488"/>
        <w:jc w:val="both"/>
      </w:pPr>
      <w:r>
        <w:rPr>
          <w:spacing w:val="-4"/>
        </w:rPr>
        <w:t>對於結核病治療的時間，目前尚未有定論。最近在美國的觀察研究顯示，接受</w:t>
      </w:r>
      <w:r>
        <w:rPr>
          <w:spacing w:val="-1"/>
        </w:rPr>
        <w:t>傳統建議的六個月抗結核藥物服藥療程的愛滋病毒感染者，結核病復發的機會高於</w:t>
      </w:r>
      <w:r>
        <w:rPr>
          <w:spacing w:val="1"/>
        </w:rPr>
        <w:t>服用抗結核藥物較長時間</w:t>
      </w:r>
      <w:r>
        <w:rPr>
          <w:spacing w:val="4"/>
        </w:rPr>
        <w:t>（</w:t>
      </w:r>
      <w:r>
        <w:rPr>
          <w:spacing w:val="3"/>
        </w:rPr>
        <w:t>九個月</w:t>
      </w:r>
      <w:r>
        <w:rPr>
          <w:spacing w:val="-17"/>
        </w:rPr>
        <w:t>）</w:t>
      </w:r>
      <w:r>
        <w:rPr/>
        <w:t>的愛滋病毒感染者。根據新近發表的綜合分析</w:t>
      </w:r>
      <w:r>
        <w:rPr>
          <w:spacing w:val="-5"/>
        </w:rPr>
        <w:t>的結果，也是建議愛滋病毒感染者發生結核病時，服用抗結核藥物的療程應延長成為九個月。雖然，目前缺乏隨機分組的臨床試驗比較服藥時間長短和治療成功率的關係，我們建議愛滋病毒感染者發生結核病時，如果結核菌並非多重抗藥，依據國</w:t>
      </w:r>
      <w:r>
        <w:rPr>
          <w:spacing w:val="-3"/>
        </w:rPr>
        <w:t>內現有抗結核藥物的使用建議，治療期程為九個月。如果是神經系統的結核病，服</w:t>
      </w:r>
      <w:r>
        <w:rPr>
          <w:spacing w:val="3"/>
        </w:rPr>
        <w:t>用抗結核藥物的療程則是十二個月。</w:t>
      </w:r>
    </w:p>
    <w:p>
      <w:pPr>
        <w:pStyle w:val="BodyText"/>
        <w:spacing w:before="9"/>
        <w:rPr>
          <w:sz w:val="23"/>
        </w:rPr>
      </w:pPr>
    </w:p>
    <w:p>
      <w:pPr>
        <w:pStyle w:val="Heading6"/>
        <w:numPr>
          <w:ilvl w:val="1"/>
          <w:numId w:val="119"/>
        </w:numPr>
        <w:tabs>
          <w:tab w:pos="1029" w:val="left" w:leader="none"/>
        </w:tabs>
        <w:spacing w:line="240" w:lineRule="auto" w:before="0" w:after="0"/>
        <w:ind w:left="1028" w:right="0" w:hanging="509"/>
        <w:jc w:val="both"/>
      </w:pPr>
      <w:r>
        <w:rPr>
          <w:spacing w:val="2"/>
        </w:rPr>
        <w:t>抗結核病與抗愛滋病毒藥物併用的時機</w:t>
      </w:r>
    </w:p>
    <w:p>
      <w:pPr>
        <w:pStyle w:val="BodyText"/>
        <w:spacing w:line="223" w:lineRule="auto" w:before="26"/>
        <w:ind w:left="1016" w:right="1357" w:firstLine="487"/>
        <w:jc w:val="both"/>
      </w:pPr>
      <w:r>
        <w:rPr/>
        <w:t>對於未曾服用抗愛滋病毒藥物的感染者，目前適合開始使用抗愛滋病毒藥物的時機必須考慮合併抗結核病與抗愛滋病毒藥物治療時，藥物種類增加和發生副作用的機會增加，容易降低病人用藥遵囑性，可能同時造成結核病和愛滋病毒感染治療失敗。但是，如果結核病與愛滋病毒感染者的免疫功能已經很差，例如：CD4 淋巴球數低於100 cells/μl，感染者再發生其他伺機性感染與死亡的機會大為增加，應該儘早使用抗愛滋病毒藥物治療。近期有三個針對併有結核病與愛滋病毒感染的病人中進行的大規模臨床試驗，評估開始使用抗愛滋病毒藥物的時機 </w:t>
      </w:r>
      <w:r>
        <w:rPr>
          <w:color w:val="FF0000"/>
        </w:rPr>
        <w:t>[7-10]</w:t>
      </w:r>
      <w:r>
        <w:rPr/>
        <w:t>。配合這些研究結果加上專家意見，抗愛滋病毒藥物開始使用的時機，依據結核病診斷時病人的身體營養狀況和CD4 淋巴球數值，可以粗分為三個時機：(一)、CD4 低於 50 cells/μl 的病人，如果沒有結核性腦膜炎，建議在抗結核藥物開始的二星期內即開始使用抗愛滋病毒藥物。研究顯示抗結核藥物開始的二星期內開始使用抗愛滋病毒藥物可以降低死亡率。(二)、如果病人的 CD4 數值高於 50 cells/μl，但是病人併有的體質耗弱、貧血、營養狀況不佳或患有全身性結核(disseminated tuberculosis)時，專家建議抗愛滋病毒藥物在抗結核藥物使用後的二到四星期時開始使用。(三)、如果病人 CD4 數值≧50 cells/μl，但身體營養等狀況不差，專家建議抗愛滋病毒藥物也可以考慮在抗結核藥物使用的二到四星期時開始使用；但是，如果評估後決定晚一些開始使用抗愛滋病毒藥物組合，兩類藥物治療開始間隔時間最好不要超過八到十二星期。兩類藥物治療開始間隔二到四星期的好處在於，初期二到四星期中，病人只有使用抗結核藥物時，我們只要留意抗結核藥物的副作用。不過，在抗結核藥物開始的二星期左右開始使用抗愛滋病毒藥物</w:t>
      </w:r>
    </w:p>
    <w:p>
      <w:pPr>
        <w:spacing w:after="0" w:line="223" w:lineRule="auto"/>
        <w:jc w:val="both"/>
        <w:sectPr>
          <w:pgSz w:w="12250" w:h="17190"/>
          <w:pgMar w:header="0" w:footer="748" w:top="1460" w:bottom="1020" w:left="840" w:right="0"/>
        </w:sectPr>
      </w:pPr>
    </w:p>
    <w:p>
      <w:pPr>
        <w:pStyle w:val="BodyText"/>
        <w:spacing w:line="223" w:lineRule="auto" w:before="46"/>
        <w:ind w:left="1016" w:right="1357"/>
        <w:jc w:val="both"/>
      </w:pPr>
      <w:r>
        <w:rPr/>
        <w:pict>
          <v:group style="position:absolute;margin-left:571.5pt;margin-top:.463599pt;width:40.9pt;height:219pt;mso-position-horizontal-relative:page;mso-position-vertical-relative:paragraph;z-index:251835392" coordorigin="11430,9" coordsize="818,4380">
            <v:shape style="position:absolute;left:11430;top:9;width:818;height:4380" coordorigin="11430,9" coordsize="818,4380" path="m12247,9l11595,9,11531,22,11478,58,11443,110,11430,175,11430,4224,11443,4288,11478,4341,11531,4376,11595,4389,12247,4389,12247,9xe" filled="true" fillcolor="#a6a6a6" stroked="false">
              <v:path arrowok="t"/>
              <v:fill type="solid"/>
            </v:shape>
            <v:shape style="position:absolute;left:11430;top:9;width:818;height:4380" type="#_x0000_t202" filled="false" stroked="false">
              <v:textbox inset="0,0,0,0">
                <w:txbxContent>
                  <w:p>
                    <w:pPr>
                      <w:spacing w:line="146" w:lineRule="auto" w:before="126"/>
                      <w:ind w:left="136" w:right="458" w:firstLine="0"/>
                      <w:jc w:val="both"/>
                      <w:rPr>
                        <w:sz w:val="22"/>
                      </w:rPr>
                    </w:pPr>
                    <w:r>
                      <w:rPr>
                        <w:sz w:val="22"/>
                      </w:rPr>
                      <w:t>第九章</w:t>
                    </w:r>
                  </w:p>
                  <w:p>
                    <w:pPr>
                      <w:spacing w:line="141" w:lineRule="auto" w:before="175"/>
                      <w:ind w:left="136" w:right="458" w:firstLine="0"/>
                      <w:jc w:val="both"/>
                      <w:rPr>
                        <w:sz w:val="22"/>
                      </w:rPr>
                    </w:pPr>
                    <w:r>
                      <w:rPr>
                        <w:sz w:val="22"/>
                      </w:rPr>
                      <w:t>愛滋病毒感染者結核病之診療</w:t>
                    </w:r>
                  </w:p>
                </w:txbxContent>
              </v:textbox>
              <w10:wrap type="none"/>
            </v:shape>
            <w10:wrap type="none"/>
          </v:group>
        </w:pict>
      </w:r>
      <w:r>
        <w:rPr/>
        <w:t>的方式，免疫重建症候群發生的機會相較於在八週左右開始使用抗愛滋病毒藥物的病人來得高很多。意即，間隔較長的時間才開始抗愛滋病毒藥物，可以降低因為併用抗愛滋病毒藥物與抗結核藥物的初期引起的免疫重建症候群的風險。至於，如果已經在服用抗愛滋病毒藥物的愛滋病毒感染者發生了結核病時，專家們建議應同時投予抗結核病藥物和抗愛滋病毒藥物。針對愛滋病毒感染者合併結核性腦膜炎的狀況下，為了減少發生嚴重副作用的機會，開始抗結核藥物治療後的二到八週，再加上抗愛滋病毒藥物。然而針對 CD4 淋巴球數小於 50 cells/μL 的病人，在嚴密監控藥物副作用以及中樞神經系統的不良反應下，還是可以考慮於抗結核藥物治療後的第二週加上抗愛滋病毒藥物。</w:t>
      </w:r>
    </w:p>
    <w:p>
      <w:pPr>
        <w:pStyle w:val="BodyText"/>
        <w:spacing w:before="15"/>
        <w:rPr>
          <w:sz w:val="19"/>
        </w:rPr>
      </w:pPr>
    </w:p>
    <w:p>
      <w:pPr>
        <w:pStyle w:val="Heading6"/>
        <w:numPr>
          <w:ilvl w:val="1"/>
          <w:numId w:val="119"/>
        </w:numPr>
        <w:tabs>
          <w:tab w:pos="1029" w:val="left" w:leader="none"/>
        </w:tabs>
        <w:spacing w:line="240" w:lineRule="auto" w:before="0" w:after="0"/>
        <w:ind w:left="1028" w:right="0" w:hanging="509"/>
        <w:jc w:val="both"/>
      </w:pPr>
      <w:r>
        <w:rPr>
          <w:spacing w:val="3"/>
        </w:rPr>
        <w:t>愛滋病毒感染者結核病治療的免疫重建症候群</w:t>
      </w:r>
    </w:p>
    <w:p>
      <w:pPr>
        <w:pStyle w:val="BodyText"/>
        <w:spacing w:line="225" w:lineRule="auto" w:before="22"/>
        <w:ind w:left="1016" w:right="1301" w:firstLine="487"/>
        <w:jc w:val="both"/>
      </w:pPr>
      <w:r>
        <w:rPr>
          <w:spacing w:val="2"/>
        </w:rPr>
        <w:t>結核病相關的免疫重建症候群，指的是加入抗愛滋病毒用藥時，常見的早期併發</w:t>
      </w:r>
      <w:r>
        <w:rPr>
          <w:spacing w:val="-1"/>
        </w:rPr>
        <w:t>症。可分為 </w:t>
      </w:r>
      <w:r>
        <w:rPr/>
        <w:t>paradoxical TB-IRIS</w:t>
      </w:r>
      <w:r>
        <w:rPr>
          <w:spacing w:val="5"/>
        </w:rPr>
        <w:t> 以及 </w:t>
      </w:r>
      <w:r>
        <w:rPr/>
        <w:t>unmasking TB-IRIS</w:t>
      </w:r>
      <w:r>
        <w:rPr>
          <w:spacing w:val="-1"/>
        </w:rPr>
        <w:t>。要診斷免疫重建症候群， </w:t>
      </w:r>
      <w:r>
        <w:rPr>
          <w:spacing w:val="2"/>
        </w:rPr>
        <w:t>除了參考發生時序以外，必須要留意排除病人沒有規則服藥，或者出現其他感染、腫</w:t>
      </w:r>
      <w:r>
        <w:rPr>
          <w:spacing w:val="-4"/>
        </w:rPr>
        <w:t>瘤、藥物過敏反應，和抗藥結核菌的機會。</w:t>
      </w:r>
      <w:r>
        <w:rPr/>
        <w:t>Paradoxical TB-IRIS</w:t>
      </w:r>
      <w:r>
        <w:rPr>
          <w:spacing w:val="3"/>
        </w:rPr>
        <w:t> 是指在給予抗愛滋病</w:t>
      </w:r>
      <w:r>
        <w:rPr>
          <w:spacing w:val="2"/>
        </w:rPr>
        <w:t>毒藥物前，就已經診斷活動性結核。接受抗結核用藥之後，病人結核病的臨床症狀已經改善。但加入抗愛滋病毒藥物一星期甚至更久之後，病人出現結核病相關病症加劇的現象。常見的臨床症狀包括發燒、淋巴結腫大、或產生新的或惡化的影像學變化。可能還可以從臨床檢體中發現結核分枝桿菌，但是這些結核分枝桿菌對於使用中的抗</w:t>
      </w:r>
      <w:r>
        <w:rPr>
          <w:spacing w:val="3"/>
        </w:rPr>
        <w:t>結核藥物仍然具有敏感性。愛滋病毒感染的病人發生 </w:t>
      </w:r>
      <w:r>
        <w:rPr/>
        <w:t>paradoxical TB-IRIS</w:t>
      </w:r>
      <w:r>
        <w:rPr>
          <w:spacing w:val="11"/>
        </w:rPr>
        <w:t> 的機率為</w:t>
      </w:r>
      <w:r>
        <w:rPr>
          <w:spacing w:val="-5"/>
        </w:rPr>
        <w:t>18</w:t>
      </w:r>
      <w:r>
        <w:rPr/>
        <w:t>%，死亡率為 </w:t>
      </w:r>
      <w:r>
        <w:rPr>
          <w:spacing w:val="-6"/>
        </w:rPr>
        <w:t>2</w:t>
      </w:r>
      <w:r>
        <w:rPr>
          <w:spacing w:val="-1"/>
        </w:rPr>
        <w:t>%。典型的 </w:t>
      </w:r>
      <w:r>
        <w:rPr/>
        <w:t>paradoxical TB-IRIS</w:t>
      </w:r>
      <w:r>
        <w:rPr>
          <w:spacing w:val="3"/>
        </w:rPr>
        <w:t> 大約發生在給抗愛滋病毒藥物後一</w:t>
      </w:r>
      <w:r>
        <w:rPr>
          <w:spacing w:val="-7"/>
        </w:rPr>
        <w:t>到四週發生，症狀可長達二到三個月，甚至更久。容易發生 </w:t>
      </w:r>
      <w:r>
        <w:rPr/>
        <w:t>paradoxical TB-IRIS</w:t>
      </w:r>
      <w:r>
        <w:rPr>
          <w:spacing w:val="4"/>
        </w:rPr>
        <w:t> 的危險因子，包含 </w:t>
      </w:r>
      <w:r>
        <w:rPr/>
        <w:t>CD4</w:t>
      </w:r>
      <w:r>
        <w:rPr>
          <w:spacing w:val="5"/>
        </w:rPr>
        <w:t> 淋巴球數</w:t>
      </w:r>
      <w:r>
        <w:rPr/>
        <w:t>&lt;100 cells/μL</w:t>
      </w:r>
      <w:r>
        <w:rPr>
          <w:spacing w:val="3"/>
        </w:rPr>
        <w:t>、給藥前有較高的血漿愛滋病毒量、瀰漫性結核或肺外結核、開始抗結核藥和抗愛滋病毒藥物治療的間距較短</w:t>
      </w:r>
      <w:r>
        <w:rPr>
          <w:spacing w:val="4"/>
        </w:rPr>
        <w:t>（</w:t>
      </w:r>
      <w:r>
        <w:rPr>
          <w:spacing w:val="2"/>
        </w:rPr>
        <w:t>特別是一到二</w:t>
      </w:r>
      <w:r>
        <w:rPr>
          <w:spacing w:val="3"/>
        </w:rPr>
        <w:t>個月內</w:t>
      </w:r>
      <w:r>
        <w:rPr>
          <w:spacing w:val="-56"/>
        </w:rPr>
        <w:t>）</w:t>
      </w:r>
      <w:r>
        <w:rPr>
          <w:spacing w:val="-1"/>
        </w:rPr>
        <w:t>。大部分的 </w:t>
      </w:r>
      <w:r>
        <w:rPr/>
        <w:t>paradoxical TB-IRIS</w:t>
      </w:r>
      <w:r>
        <w:rPr>
          <w:spacing w:val="-2"/>
        </w:rPr>
        <w:t> 病人會自行緩解。許多病人可能會需要給予</w:t>
      </w:r>
      <w:r>
        <w:rPr>
          <w:spacing w:val="3"/>
        </w:rPr>
        <w:t>症狀治療（例如退燒）</w:t>
      </w:r>
      <w:r>
        <w:rPr>
          <w:spacing w:val="2"/>
        </w:rPr>
        <w:t>。過去的觀察研究發現，這些現象並不僅限於愛滋病毒感染者才會發生，不過其發生率確實遠遠高於非愛滋病毒感染者，特別當他們同時接受抗愛</w:t>
      </w:r>
      <w:r>
        <w:rPr>
          <w:spacing w:val="-13"/>
        </w:rPr>
        <w:t>滋病毒藥物時，發生機會尤其更高。因此，如前所討論，如非急迫的需要，例如，</w:t>
      </w:r>
      <w:r>
        <w:rPr>
          <w:spacing w:val="-3"/>
        </w:rPr>
        <w:t>CD4 </w:t>
      </w:r>
      <w:r>
        <w:rPr>
          <w:spacing w:val="5"/>
        </w:rPr>
        <w:t>高於 </w:t>
      </w:r>
      <w:r>
        <w:rPr/>
        <w:t>350 cells/μl</w:t>
      </w:r>
      <w:r>
        <w:rPr>
          <w:spacing w:val="1"/>
        </w:rPr>
        <w:t> 時，專家建議應先治療結核病，因為結核分枝桿菌可藉飛沫傳染， </w:t>
      </w:r>
      <w:r>
        <w:rPr>
          <w:spacing w:val="2"/>
        </w:rPr>
        <w:t>而且結核病具有較高的短期內的死亡率。待結核病治療穩定後，才開始抗愛滋病毒藥</w:t>
      </w:r>
      <w:r>
        <w:rPr>
          <w:spacing w:val="3"/>
        </w:rPr>
        <w:t>物治療，如此，可能降低免疫重建症候群的發生機率。</w:t>
      </w:r>
    </w:p>
    <w:p>
      <w:pPr>
        <w:spacing w:line="247" w:lineRule="auto" w:before="31"/>
        <w:ind w:left="1016" w:right="1358" w:firstLine="447"/>
        <w:jc w:val="both"/>
        <w:rPr>
          <w:sz w:val="22"/>
        </w:rPr>
      </w:pPr>
      <w:r>
        <w:rPr>
          <w:spacing w:val="-5"/>
          <w:sz w:val="22"/>
        </w:rPr>
        <w:t>至於發生免疫重建症候群時最適合的處理方式，目前仍然不清楚。有些研究發現，病症很</w:t>
      </w:r>
      <w:r>
        <w:rPr>
          <w:spacing w:val="-10"/>
          <w:sz w:val="22"/>
        </w:rPr>
        <w:t>嚴重時，可以考慮使用類固醇。不過，要使用多大劑量或者使用多久，目前仍然不清楚。愛滋</w:t>
      </w:r>
      <w:r>
        <w:rPr>
          <w:spacing w:val="5"/>
          <w:sz w:val="22"/>
        </w:rPr>
        <w:t>病毒感染者併有結核病且接受抗結核病藥物時，目前已有部分研究支持類固醇的使用，類固</w:t>
      </w:r>
      <w:r>
        <w:rPr>
          <w:spacing w:val="3"/>
          <w:sz w:val="22"/>
        </w:rPr>
        <w:t>醇可以持續使用一至兩週</w:t>
      </w:r>
      <w:r>
        <w:rPr>
          <w:sz w:val="22"/>
        </w:rPr>
        <w:t>(prednisolone，1 mg/kg</w:t>
      </w:r>
      <w:r>
        <w:rPr>
          <w:spacing w:val="-3"/>
          <w:sz w:val="22"/>
        </w:rPr>
        <w:t>)。在非洲地區的研究發現，結核病併肋膜</w:t>
      </w:r>
    </w:p>
    <w:p>
      <w:pPr>
        <w:spacing w:after="0" w:line="247" w:lineRule="auto"/>
        <w:jc w:val="both"/>
        <w:rPr>
          <w:sz w:val="22"/>
        </w:rPr>
        <w:sectPr>
          <w:pgSz w:w="12250" w:h="17190"/>
          <w:pgMar w:header="0" w:footer="748" w:top="1460" w:bottom="1020" w:left="840" w:right="0"/>
        </w:sectPr>
      </w:pPr>
    </w:p>
    <w:p>
      <w:pPr>
        <w:spacing w:line="247" w:lineRule="auto" w:before="14"/>
        <w:ind w:left="1016" w:right="1307" w:firstLine="0"/>
        <w:jc w:val="both"/>
        <w:rPr>
          <w:sz w:val="22"/>
        </w:rPr>
      </w:pPr>
      <w:r>
        <w:rPr>
          <w:spacing w:val="-10"/>
          <w:sz w:val="22"/>
        </w:rPr>
        <w:t>積水時，使用類固醇可以加速積水消失、體重增加、咳嗽減輕、食慾改善；但是，使用類固醇</w:t>
      </w:r>
      <w:r>
        <w:rPr>
          <w:spacing w:val="5"/>
          <w:sz w:val="22"/>
        </w:rPr>
        <w:t>並沒有降低死亡率。至於在患有結核性腦膜炎的愛滋病毒或非愛滋病毒感染者中，在越南的</w:t>
      </w:r>
      <w:r>
        <w:rPr>
          <w:spacing w:val="-9"/>
          <w:sz w:val="22"/>
        </w:rPr>
        <w:t>研究發現，使用類固醇降低了死亡率，但是卻沒有明顯降低嚴重神經系統併發症的預後。值得</w:t>
      </w:r>
      <w:r>
        <w:rPr>
          <w:spacing w:val="5"/>
          <w:sz w:val="22"/>
        </w:rPr>
        <w:t>注意的是，在前述非洲地區的研究中，使用類固醇合併抗結核病藥物治療結核病併肋膜積水</w:t>
      </w:r>
      <w:r>
        <w:rPr>
          <w:spacing w:val="3"/>
          <w:w w:val="99"/>
          <w:sz w:val="22"/>
        </w:rPr>
        <w:t>時，造成較多人發生卡波西氏肉瘤</w:t>
      </w:r>
      <w:r>
        <w:rPr>
          <w:spacing w:val="4"/>
          <w:w w:val="99"/>
          <w:sz w:val="22"/>
        </w:rPr>
        <w:t>（</w:t>
      </w:r>
      <w:r>
        <w:rPr>
          <w:spacing w:val="2"/>
          <w:w w:val="99"/>
          <w:sz w:val="22"/>
        </w:rPr>
        <w:t>Kap</w:t>
      </w:r>
      <w:r>
        <w:rPr>
          <w:spacing w:val="1"/>
          <w:w w:val="99"/>
          <w:sz w:val="22"/>
        </w:rPr>
        <w:t>osi</w:t>
      </w:r>
      <w:r>
        <w:rPr>
          <w:spacing w:val="-120"/>
          <w:w w:val="99"/>
          <w:sz w:val="22"/>
        </w:rPr>
        <w:t>’</w:t>
      </w:r>
      <w:r>
        <w:rPr>
          <w:w w:val="99"/>
          <w:sz w:val="22"/>
        </w:rPr>
        <w:t>s</w:t>
      </w:r>
      <w:r>
        <w:rPr>
          <w:spacing w:val="-11"/>
          <w:sz w:val="22"/>
        </w:rPr>
        <w:t>  </w:t>
      </w:r>
      <w:r>
        <w:rPr>
          <w:spacing w:val="1"/>
          <w:w w:val="99"/>
          <w:sz w:val="22"/>
        </w:rPr>
        <w:t>s</w:t>
      </w:r>
      <w:r>
        <w:rPr>
          <w:spacing w:val="2"/>
          <w:w w:val="99"/>
          <w:sz w:val="22"/>
        </w:rPr>
        <w:t>arc</w:t>
      </w:r>
      <w:r>
        <w:rPr>
          <w:spacing w:val="1"/>
          <w:w w:val="99"/>
          <w:sz w:val="22"/>
        </w:rPr>
        <w:t>o</w:t>
      </w:r>
      <w:r>
        <w:rPr>
          <w:spacing w:val="3"/>
          <w:w w:val="99"/>
          <w:sz w:val="22"/>
        </w:rPr>
        <w:t>m</w:t>
      </w:r>
      <w:r>
        <w:rPr>
          <w:spacing w:val="2"/>
          <w:w w:val="99"/>
          <w:sz w:val="22"/>
        </w:rPr>
        <w:t>a</w:t>
      </w:r>
      <w:r>
        <w:rPr>
          <w:spacing w:val="4"/>
          <w:w w:val="99"/>
          <w:sz w:val="22"/>
        </w:rPr>
        <w:t>）</w:t>
      </w:r>
      <w:r>
        <w:rPr>
          <w:spacing w:val="2"/>
          <w:w w:val="99"/>
          <w:sz w:val="22"/>
        </w:rPr>
        <w:t>。近年，在南非針對</w:t>
      </w:r>
      <w:r>
        <w:rPr>
          <w:spacing w:val="8"/>
          <w:sz w:val="22"/>
        </w:rPr>
        <w:t> </w:t>
      </w:r>
      <w:r>
        <w:rPr>
          <w:spacing w:val="2"/>
          <w:w w:val="99"/>
          <w:sz w:val="22"/>
        </w:rPr>
        <w:t>T</w:t>
      </w:r>
      <w:r>
        <w:rPr>
          <w:w w:val="99"/>
          <w:sz w:val="22"/>
        </w:rPr>
        <w:t>B</w:t>
      </w:r>
      <w:r>
        <w:rPr>
          <w:spacing w:val="2"/>
          <w:w w:val="99"/>
          <w:sz w:val="22"/>
        </w:rPr>
        <w:t>-IR</w:t>
      </w:r>
      <w:r>
        <w:rPr>
          <w:spacing w:val="1"/>
          <w:w w:val="99"/>
          <w:sz w:val="22"/>
        </w:rPr>
        <w:t>I</w:t>
      </w:r>
      <w:r>
        <w:rPr>
          <w:w w:val="99"/>
          <w:sz w:val="22"/>
        </w:rPr>
        <w:t>S</w:t>
      </w:r>
      <w:r>
        <w:rPr>
          <w:spacing w:val="6"/>
          <w:sz w:val="22"/>
        </w:rPr>
        <w:t> </w:t>
      </w:r>
      <w:r>
        <w:rPr>
          <w:spacing w:val="3"/>
          <w:w w:val="99"/>
          <w:sz w:val="22"/>
        </w:rPr>
        <w:t>的高</w:t>
      </w:r>
      <w:r>
        <w:rPr>
          <w:spacing w:val="3"/>
          <w:sz w:val="22"/>
        </w:rPr>
        <w:t>風險病人（</w:t>
      </w:r>
      <w:r>
        <w:rPr>
          <w:spacing w:val="2"/>
          <w:sz w:val="22"/>
        </w:rPr>
        <w:t>愛滋病毒感染合併結核，同時 </w:t>
      </w:r>
      <w:r>
        <w:rPr>
          <w:sz w:val="22"/>
        </w:rPr>
        <w:t>CD4</w:t>
      </w:r>
      <w:r>
        <w:rPr>
          <w:spacing w:val="4"/>
          <w:sz w:val="22"/>
        </w:rPr>
        <w:t> 淋巴球數</w:t>
      </w:r>
      <w:r>
        <w:rPr>
          <w:sz w:val="22"/>
        </w:rPr>
        <w:t>&lt;100</w:t>
      </w:r>
      <w:r>
        <w:rPr>
          <w:spacing w:val="33"/>
          <w:sz w:val="22"/>
        </w:rPr>
        <w:t> </w:t>
      </w:r>
      <w:r>
        <w:rPr>
          <w:sz w:val="22"/>
        </w:rPr>
        <w:t>cells/μL</w:t>
      </w:r>
      <w:r>
        <w:rPr>
          <w:spacing w:val="4"/>
          <w:sz w:val="22"/>
        </w:rPr>
        <w:t> 的病人，給予抗結核</w:t>
      </w:r>
      <w:r>
        <w:rPr>
          <w:spacing w:val="12"/>
          <w:sz w:val="22"/>
        </w:rPr>
        <w:t>藥物的 </w:t>
      </w:r>
      <w:r>
        <w:rPr>
          <w:sz w:val="22"/>
        </w:rPr>
        <w:t>30</w:t>
      </w:r>
      <w:r>
        <w:rPr>
          <w:spacing w:val="3"/>
          <w:sz w:val="22"/>
        </w:rPr>
        <w:t> 天內加上抗愛滋病毒藥物</w:t>
      </w:r>
      <w:r>
        <w:rPr>
          <w:spacing w:val="4"/>
          <w:sz w:val="22"/>
        </w:rPr>
        <w:t>）</w:t>
      </w:r>
      <w:r>
        <w:rPr>
          <w:spacing w:val="2"/>
          <w:sz w:val="22"/>
        </w:rPr>
        <w:t>進行隨機臨床試驗 </w:t>
      </w:r>
      <w:r>
        <w:rPr>
          <w:color w:val="FF0000"/>
          <w:sz w:val="22"/>
        </w:rPr>
        <w:t>[11]</w:t>
      </w:r>
      <w:r>
        <w:rPr>
          <w:spacing w:val="3"/>
          <w:sz w:val="22"/>
        </w:rPr>
        <w:t>。一組在開始給予抗愛滋病毒</w:t>
      </w:r>
      <w:r>
        <w:rPr>
          <w:spacing w:val="13"/>
          <w:sz w:val="22"/>
        </w:rPr>
        <w:t>藥物的 </w:t>
      </w:r>
      <w:r>
        <w:rPr>
          <w:sz w:val="22"/>
        </w:rPr>
        <w:t>48</w:t>
      </w:r>
      <w:r>
        <w:rPr>
          <w:spacing w:val="18"/>
          <w:sz w:val="22"/>
        </w:rPr>
        <w:t> 小時內同時加上類固醇</w:t>
      </w:r>
      <w:r>
        <w:rPr>
          <w:sz w:val="22"/>
        </w:rPr>
        <w:t>（</w:t>
      </w:r>
      <w:r>
        <w:rPr>
          <w:spacing w:val="-5"/>
          <w:sz w:val="22"/>
        </w:rPr>
        <w:t> 前 </w:t>
      </w:r>
      <w:r>
        <w:rPr>
          <w:sz w:val="22"/>
        </w:rPr>
        <w:t>14</w:t>
      </w:r>
      <w:r>
        <w:rPr>
          <w:spacing w:val="11"/>
          <w:sz w:val="22"/>
        </w:rPr>
        <w:t> 天 </w:t>
      </w:r>
      <w:r>
        <w:rPr>
          <w:sz w:val="22"/>
        </w:rPr>
        <w:t>prednisolone</w:t>
      </w:r>
      <w:r>
        <w:rPr>
          <w:spacing w:val="45"/>
          <w:sz w:val="22"/>
        </w:rPr>
        <w:t> </w:t>
      </w:r>
      <w:r>
        <w:rPr>
          <w:sz w:val="22"/>
        </w:rPr>
        <w:t>50</w:t>
      </w:r>
      <w:r>
        <w:rPr>
          <w:spacing w:val="46"/>
          <w:sz w:val="22"/>
        </w:rPr>
        <w:t> </w:t>
      </w:r>
      <w:r>
        <w:rPr>
          <w:spacing w:val="6"/>
          <w:sz w:val="22"/>
        </w:rPr>
        <w:t>mg/day</w:t>
      </w:r>
      <w:r>
        <w:rPr>
          <w:spacing w:val="10"/>
          <w:sz w:val="22"/>
        </w:rPr>
        <w:t>，之後 </w:t>
      </w:r>
      <w:r>
        <w:rPr>
          <w:sz w:val="22"/>
        </w:rPr>
        <w:t>14</w:t>
      </w:r>
      <w:r>
        <w:rPr>
          <w:spacing w:val="8"/>
          <w:sz w:val="22"/>
        </w:rPr>
        <w:t> 天</w:t>
      </w:r>
      <w:r>
        <w:rPr>
          <w:spacing w:val="2"/>
          <w:w w:val="99"/>
          <w:sz w:val="22"/>
        </w:rPr>
        <w:t>pred</w:t>
      </w:r>
      <w:r>
        <w:rPr>
          <w:spacing w:val="1"/>
          <w:w w:val="99"/>
          <w:sz w:val="22"/>
        </w:rPr>
        <w:t>nisol</w:t>
      </w:r>
      <w:r>
        <w:rPr>
          <w:spacing w:val="2"/>
          <w:w w:val="99"/>
          <w:sz w:val="22"/>
        </w:rPr>
        <w:t>o</w:t>
      </w:r>
      <w:r>
        <w:rPr>
          <w:spacing w:val="1"/>
          <w:w w:val="99"/>
          <w:sz w:val="22"/>
        </w:rPr>
        <w:t>n</w:t>
      </w:r>
      <w:r>
        <w:rPr>
          <w:w w:val="99"/>
          <w:sz w:val="22"/>
        </w:rPr>
        <w:t>e</w:t>
      </w:r>
      <w:r>
        <w:rPr>
          <w:spacing w:val="-10"/>
          <w:sz w:val="22"/>
        </w:rPr>
        <w:t> </w:t>
      </w:r>
      <w:r>
        <w:rPr>
          <w:spacing w:val="2"/>
          <w:w w:val="99"/>
          <w:sz w:val="22"/>
        </w:rPr>
        <w:t>2</w:t>
      </w:r>
      <w:r>
        <w:rPr>
          <w:w w:val="99"/>
          <w:sz w:val="22"/>
        </w:rPr>
        <w:t>0</w:t>
      </w:r>
      <w:r>
        <w:rPr>
          <w:spacing w:val="-10"/>
          <w:sz w:val="22"/>
        </w:rPr>
        <w:t> </w:t>
      </w:r>
      <w:r>
        <w:rPr>
          <w:spacing w:val="3"/>
          <w:w w:val="99"/>
          <w:sz w:val="22"/>
        </w:rPr>
        <w:t>m</w:t>
      </w:r>
      <w:r>
        <w:rPr>
          <w:spacing w:val="2"/>
          <w:w w:val="99"/>
          <w:sz w:val="22"/>
        </w:rPr>
        <w:t>g</w:t>
      </w:r>
      <w:r>
        <w:rPr>
          <w:spacing w:val="1"/>
          <w:w w:val="99"/>
          <w:sz w:val="22"/>
        </w:rPr>
        <w:t>/d</w:t>
      </w:r>
      <w:r>
        <w:rPr>
          <w:spacing w:val="2"/>
          <w:w w:val="99"/>
          <w:sz w:val="22"/>
        </w:rPr>
        <w:t>ay</w:t>
      </w:r>
      <w:r>
        <w:rPr>
          <w:spacing w:val="-164"/>
          <w:w w:val="99"/>
          <w:sz w:val="22"/>
        </w:rPr>
        <w:t>）</w:t>
      </w:r>
      <w:r>
        <w:rPr>
          <w:spacing w:val="-12"/>
          <w:w w:val="99"/>
          <w:sz w:val="22"/>
        </w:rPr>
        <w:t>，一組給予安慰劑。之後產生</w:t>
      </w:r>
      <w:r>
        <w:rPr>
          <w:spacing w:val="-3"/>
          <w:sz w:val="22"/>
        </w:rPr>
        <w:t> </w:t>
      </w:r>
      <w:r>
        <w:rPr>
          <w:spacing w:val="2"/>
          <w:w w:val="99"/>
          <w:sz w:val="22"/>
        </w:rPr>
        <w:t>T</w:t>
      </w:r>
      <w:r>
        <w:rPr>
          <w:spacing w:val="1"/>
          <w:w w:val="99"/>
          <w:sz w:val="22"/>
        </w:rPr>
        <w:t>B</w:t>
      </w:r>
      <w:r>
        <w:rPr>
          <w:spacing w:val="2"/>
          <w:w w:val="99"/>
          <w:sz w:val="22"/>
        </w:rPr>
        <w:t>-IR</w:t>
      </w:r>
      <w:r>
        <w:rPr>
          <w:spacing w:val="1"/>
          <w:w w:val="99"/>
          <w:sz w:val="22"/>
        </w:rPr>
        <w:t>I</w:t>
      </w:r>
      <w:r>
        <w:rPr>
          <w:w w:val="99"/>
          <w:sz w:val="22"/>
        </w:rPr>
        <w:t>S</w:t>
      </w:r>
      <w:r>
        <w:rPr>
          <w:spacing w:val="-3"/>
          <w:sz w:val="22"/>
        </w:rPr>
        <w:t> </w:t>
      </w:r>
      <w:r>
        <w:rPr>
          <w:spacing w:val="2"/>
          <w:w w:val="99"/>
          <w:sz w:val="22"/>
        </w:rPr>
        <w:t>的機率類固醇治療組</w:t>
      </w:r>
      <w:r>
        <w:rPr>
          <w:spacing w:val="-1"/>
          <w:sz w:val="22"/>
        </w:rPr>
        <w:t> </w:t>
      </w:r>
      <w:r>
        <w:rPr>
          <w:spacing w:val="2"/>
          <w:w w:val="99"/>
          <w:sz w:val="22"/>
        </w:rPr>
        <w:t>32.5</w:t>
      </w:r>
      <w:r>
        <w:rPr>
          <w:spacing w:val="-28"/>
          <w:w w:val="99"/>
          <w:sz w:val="22"/>
        </w:rPr>
        <w:t>%，</w:t>
      </w:r>
      <w:r>
        <w:rPr>
          <w:spacing w:val="12"/>
          <w:sz w:val="22"/>
        </w:rPr>
        <w:t>安慰劑組 </w:t>
      </w:r>
      <w:r>
        <w:rPr>
          <w:sz w:val="22"/>
        </w:rPr>
        <w:t>46.7%</w:t>
      </w:r>
      <w:r>
        <w:rPr>
          <w:spacing w:val="3"/>
          <w:sz w:val="22"/>
        </w:rPr>
        <w:t>。試驗發現在給予抗愛滋病毒藥物的前四週同時加上類固醇治療，可以有效</w:t>
      </w:r>
      <w:r>
        <w:rPr>
          <w:spacing w:val="1"/>
          <w:sz w:val="22"/>
        </w:rPr>
        <w:t>減少 </w:t>
      </w:r>
      <w:r>
        <w:rPr>
          <w:sz w:val="22"/>
        </w:rPr>
        <w:t>TB-IRIS</w:t>
      </w:r>
      <w:r>
        <w:rPr>
          <w:spacing w:val="-7"/>
          <w:sz w:val="22"/>
        </w:rPr>
        <w:t> 發生，且不會因此增加嚴重感染或癌症風險。因此，如果愛滋病毒感染合併結核</w:t>
      </w:r>
      <w:r>
        <w:rPr>
          <w:spacing w:val="3"/>
          <w:w w:val="99"/>
          <w:sz w:val="22"/>
        </w:rPr>
        <w:t>病，同時</w:t>
      </w:r>
      <w:r>
        <w:rPr>
          <w:spacing w:val="9"/>
          <w:sz w:val="22"/>
        </w:rPr>
        <w:t> </w:t>
      </w:r>
      <w:r>
        <w:rPr>
          <w:w w:val="99"/>
          <w:sz w:val="22"/>
        </w:rPr>
        <w:t>C</w:t>
      </w:r>
      <w:r>
        <w:rPr>
          <w:spacing w:val="2"/>
          <w:w w:val="99"/>
          <w:sz w:val="22"/>
        </w:rPr>
        <w:t>D</w:t>
      </w:r>
      <w:r>
        <w:rPr>
          <w:w w:val="99"/>
          <w:sz w:val="22"/>
        </w:rPr>
        <w:t>4</w:t>
      </w:r>
      <w:r>
        <w:rPr>
          <w:spacing w:val="7"/>
          <w:sz w:val="22"/>
        </w:rPr>
        <w:t> </w:t>
      </w:r>
      <w:r>
        <w:rPr>
          <w:spacing w:val="3"/>
          <w:w w:val="99"/>
          <w:sz w:val="22"/>
        </w:rPr>
        <w:t>淋巴球數</w:t>
      </w:r>
      <w:r>
        <w:rPr>
          <w:spacing w:val="2"/>
          <w:w w:val="99"/>
          <w:sz w:val="22"/>
        </w:rPr>
        <w:t>&lt;10</w:t>
      </w:r>
      <w:r>
        <w:rPr>
          <w:w w:val="99"/>
          <w:sz w:val="22"/>
        </w:rPr>
        <w:t>0</w:t>
      </w:r>
      <w:r>
        <w:rPr>
          <w:spacing w:val="-12"/>
          <w:sz w:val="22"/>
        </w:rPr>
        <w:t>  </w:t>
      </w:r>
      <w:r>
        <w:rPr>
          <w:spacing w:val="2"/>
          <w:w w:val="99"/>
          <w:sz w:val="22"/>
        </w:rPr>
        <w:t>ce</w:t>
      </w:r>
      <w:r>
        <w:rPr>
          <w:spacing w:val="1"/>
          <w:w w:val="99"/>
          <w:sz w:val="22"/>
        </w:rPr>
        <w:t>lls/μ</w:t>
      </w:r>
      <w:r>
        <w:rPr>
          <w:w w:val="99"/>
          <w:sz w:val="22"/>
        </w:rPr>
        <w:t>L</w:t>
      </w:r>
      <w:r>
        <w:rPr>
          <w:spacing w:val="6"/>
          <w:sz w:val="22"/>
        </w:rPr>
        <w:t> </w:t>
      </w:r>
      <w:r>
        <w:rPr>
          <w:spacing w:val="3"/>
          <w:w w:val="99"/>
          <w:sz w:val="22"/>
        </w:rPr>
        <w:t>的病人，排除</w:t>
      </w:r>
      <w:r>
        <w:rPr>
          <w:spacing w:val="9"/>
          <w:sz w:val="22"/>
        </w:rPr>
        <w:t> </w:t>
      </w:r>
      <w:r>
        <w:rPr>
          <w:spacing w:val="2"/>
          <w:w w:val="99"/>
          <w:sz w:val="22"/>
        </w:rPr>
        <w:t>K</w:t>
      </w:r>
      <w:r>
        <w:rPr>
          <w:spacing w:val="1"/>
          <w:w w:val="99"/>
          <w:sz w:val="22"/>
        </w:rPr>
        <w:t>aposi</w:t>
      </w:r>
      <w:r>
        <w:rPr>
          <w:spacing w:val="-120"/>
          <w:w w:val="99"/>
          <w:sz w:val="22"/>
        </w:rPr>
        <w:t>’</w:t>
      </w:r>
      <w:r>
        <w:rPr>
          <w:w w:val="99"/>
          <w:sz w:val="22"/>
        </w:rPr>
        <w:t>s</w:t>
      </w:r>
      <w:r>
        <w:rPr>
          <w:spacing w:val="-11"/>
          <w:sz w:val="22"/>
        </w:rPr>
        <w:t>  </w:t>
      </w:r>
      <w:r>
        <w:rPr>
          <w:spacing w:val="1"/>
          <w:w w:val="99"/>
          <w:sz w:val="22"/>
        </w:rPr>
        <w:t>s</w:t>
      </w:r>
      <w:r>
        <w:rPr>
          <w:spacing w:val="2"/>
          <w:w w:val="99"/>
          <w:sz w:val="22"/>
        </w:rPr>
        <w:t>arc</w:t>
      </w:r>
      <w:r>
        <w:rPr>
          <w:spacing w:val="3"/>
          <w:w w:val="99"/>
          <w:sz w:val="22"/>
        </w:rPr>
        <w:t>om</w:t>
      </w:r>
      <w:r>
        <w:rPr>
          <w:w w:val="99"/>
          <w:sz w:val="22"/>
        </w:rPr>
        <w:t>a</w:t>
      </w:r>
      <w:r>
        <w:rPr>
          <w:spacing w:val="7"/>
          <w:sz w:val="22"/>
        </w:rPr>
        <w:t> </w:t>
      </w:r>
      <w:r>
        <w:rPr>
          <w:spacing w:val="2"/>
          <w:w w:val="99"/>
          <w:sz w:val="22"/>
        </w:rPr>
        <w:t>與活動性</w:t>
      </w:r>
      <w:r>
        <w:rPr>
          <w:spacing w:val="10"/>
          <w:sz w:val="22"/>
        </w:rPr>
        <w:t> </w:t>
      </w:r>
      <w:r>
        <w:rPr>
          <w:w w:val="99"/>
          <w:sz w:val="22"/>
        </w:rPr>
        <w:t>B</w:t>
      </w:r>
      <w:r>
        <w:rPr>
          <w:spacing w:val="6"/>
          <w:sz w:val="22"/>
        </w:rPr>
        <w:t> </w:t>
      </w:r>
      <w:r>
        <w:rPr>
          <w:spacing w:val="4"/>
          <w:w w:val="99"/>
          <w:sz w:val="22"/>
        </w:rPr>
        <w:t>型肝炎</w:t>
      </w:r>
      <w:r>
        <w:rPr>
          <w:spacing w:val="-9"/>
          <w:sz w:val="22"/>
        </w:rPr>
        <w:t>的狀況，在近期使用抗結核藥物下，開始接受抗愛滋病毒藥物的病人，可考慮預防性類固醇使</w:t>
      </w:r>
      <w:r>
        <w:rPr>
          <w:spacing w:val="-6"/>
          <w:sz w:val="22"/>
        </w:rPr>
        <w:t>用。不過，這個南非的研究顯示，儘管使用類固醇，發生 </w:t>
      </w:r>
      <w:r>
        <w:rPr>
          <w:sz w:val="22"/>
        </w:rPr>
        <w:t>TB-IRIS</w:t>
      </w:r>
      <w:r>
        <w:rPr>
          <w:spacing w:val="-2"/>
          <w:sz w:val="22"/>
        </w:rPr>
        <w:t> 的風險仍然不低。因此，如</w:t>
      </w:r>
      <w:r>
        <w:rPr>
          <w:spacing w:val="5"/>
          <w:sz w:val="22"/>
        </w:rPr>
        <w:t>果考慮使用類固醇預防或者處理免疫重建症候群，我們必須謹慎評估類固醇可能帶來的副作</w:t>
      </w:r>
      <w:r>
        <w:rPr>
          <w:spacing w:val="4"/>
          <w:sz w:val="22"/>
        </w:rPr>
        <w:t>用。</w:t>
      </w:r>
    </w:p>
    <w:p>
      <w:pPr>
        <w:pStyle w:val="BodyText"/>
        <w:spacing w:before="11"/>
        <w:rPr>
          <w:sz w:val="23"/>
        </w:rPr>
      </w:pPr>
    </w:p>
    <w:p>
      <w:pPr>
        <w:pStyle w:val="Heading6"/>
        <w:numPr>
          <w:ilvl w:val="1"/>
          <w:numId w:val="119"/>
        </w:numPr>
        <w:tabs>
          <w:tab w:pos="1029" w:val="left" w:leader="none"/>
        </w:tabs>
        <w:spacing w:line="240" w:lineRule="auto" w:before="0" w:after="0"/>
        <w:ind w:left="1028" w:right="0" w:hanging="509"/>
        <w:jc w:val="both"/>
      </w:pPr>
      <w:r>
        <w:rPr>
          <w:spacing w:val="2"/>
        </w:rPr>
        <w:t>潛伏結核感染的治療</w:t>
      </w:r>
    </w:p>
    <w:p>
      <w:pPr>
        <w:pStyle w:val="BodyText"/>
        <w:spacing w:line="220" w:lineRule="auto" w:before="43"/>
        <w:ind w:left="1016" w:right="1357" w:firstLine="487"/>
        <w:jc w:val="both"/>
      </w:pPr>
      <w:r>
        <w:rPr/>
        <w:t>依世界衛生組織建議，愛滋病毒感染者不論 CD4 高低，有無使用抗愛滋病毒藥物治療，都應接受</w:t>
      </w:r>
      <w:r>
        <w:rPr>
          <w:sz w:val="25"/>
        </w:rPr>
        <w:t>潛伏結核感染</w:t>
      </w:r>
      <w:r>
        <w:rPr>
          <w:color w:val="FF0000"/>
        </w:rPr>
        <w:t>的</w:t>
      </w:r>
      <w:r>
        <w:rPr/>
        <w:t>治療，且感染者不應因懷孕而被排除</w:t>
      </w:r>
      <w:r>
        <w:rPr>
          <w:sz w:val="25"/>
        </w:rPr>
        <w:t>潛伏結核感染</w:t>
      </w:r>
      <w:r>
        <w:rPr/>
        <w:t>治療。另研究顯示</w:t>
      </w:r>
      <w:r>
        <w:rPr>
          <w:sz w:val="25"/>
        </w:rPr>
        <w:t>潛伏結核感染</w:t>
      </w:r>
      <w:r>
        <w:rPr>
          <w:color w:val="FF0000"/>
        </w:rPr>
        <w:t>的治療</w:t>
      </w:r>
      <w:r>
        <w:rPr/>
        <w:t>可提供感染者 7-15 年保護力，有效避免結核病發病及傳染給別人，所以愛滋感染者應接受</w:t>
      </w:r>
      <w:r>
        <w:rPr>
          <w:sz w:val="25"/>
        </w:rPr>
        <w:t>潛伏結核感染</w:t>
      </w:r>
      <w:r>
        <w:rPr>
          <w:color w:val="FF0000"/>
        </w:rPr>
        <w:t>的</w:t>
      </w:r>
      <w:r>
        <w:rPr/>
        <w:t>檢驗，知道自己潛伏結核感染的狀態。檢驗陽性者建議加入</w:t>
      </w:r>
      <w:r>
        <w:rPr>
          <w:sz w:val="25"/>
        </w:rPr>
        <w:t>潛伏結核感染</w:t>
      </w:r>
      <w:r>
        <w:rPr>
          <w:color w:val="FF0000"/>
        </w:rPr>
        <w:t>的</w:t>
      </w:r>
      <w:r>
        <w:rPr/>
        <w:t>治療，搭配直接觀察預防治療(DOPT)，以提升</w:t>
      </w:r>
      <w:r>
        <w:rPr>
          <w:sz w:val="25"/>
        </w:rPr>
        <w:t>潛伏結核感染</w:t>
      </w:r>
      <w:r>
        <w:rPr>
          <w:color w:val="FF0000"/>
        </w:rPr>
        <w:t>的治療</w:t>
      </w:r>
      <w:r>
        <w:rPr/>
        <w:t>成功率，和避免因結核發病造成愛滋感染者的健康威脅。</w:t>
      </w:r>
    </w:p>
    <w:p>
      <w:pPr>
        <w:pStyle w:val="BodyText"/>
        <w:spacing w:line="223" w:lineRule="auto"/>
        <w:ind w:left="1016" w:right="1357" w:firstLine="487"/>
        <w:jc w:val="right"/>
      </w:pPr>
      <w:r>
        <w:rPr>
          <w:spacing w:val="3"/>
        </w:rPr>
        <w:t>愛滋感染者</w:t>
      </w:r>
      <w:r>
        <w:rPr>
          <w:spacing w:val="3"/>
          <w:sz w:val="25"/>
        </w:rPr>
        <w:t>潛伏結核感染</w:t>
      </w:r>
      <w:r>
        <w:rPr>
          <w:color w:val="FF0000"/>
          <w:spacing w:val="3"/>
        </w:rPr>
        <w:t>的</w:t>
      </w:r>
      <w:r>
        <w:rPr>
          <w:spacing w:val="-5"/>
        </w:rPr>
        <w:t>檢驗方式，如以結核菌素皮膚測驗(</w:t>
      </w:r>
      <w:r>
        <w:rPr/>
        <w:t>TST)硬結大(等)於5</w:t>
      </w:r>
      <w:r>
        <w:rPr>
          <w:spacing w:val="38"/>
        </w:rPr>
        <w:t> </w:t>
      </w:r>
      <w:r>
        <w:rPr/>
        <w:t>mm</w:t>
      </w:r>
      <w:r>
        <w:rPr>
          <w:spacing w:val="6"/>
        </w:rPr>
        <w:t> 者判定為陽性反應，丙型干擾素釋放試驗</w:t>
      </w:r>
      <w:r>
        <w:rPr>
          <w:spacing w:val="3"/>
        </w:rPr>
        <w:t>（IGRA）</w:t>
      </w:r>
      <w:r>
        <w:rPr>
          <w:spacing w:val="5"/>
        </w:rPr>
        <w:t>檢驗結果為陽性或不確定 </w:t>
      </w:r>
      <w:r>
        <w:rPr>
          <w:spacing w:val="3"/>
        </w:rPr>
        <w:t>(indeterminate</w:t>
      </w:r>
      <w:r>
        <w:rPr>
          <w:spacing w:val="-3"/>
        </w:rPr>
        <w:t>, </w:t>
      </w:r>
      <w:r>
        <w:rPr>
          <w:spacing w:val="3"/>
        </w:rPr>
        <w:t>mitogen-nil</w:t>
      </w:r>
      <w:r>
        <w:rPr>
          <w:spacing w:val="-3"/>
        </w:rPr>
        <w:t> &lt;</w:t>
      </w:r>
      <w:r>
        <w:rPr>
          <w:spacing w:val="3"/>
        </w:rPr>
        <w:t>0.5</w:t>
      </w:r>
      <w:r>
        <w:rPr>
          <w:spacing w:val="1"/>
        </w:rPr>
        <w:t>)者，建議加入</w:t>
      </w:r>
      <w:r>
        <w:rPr>
          <w:spacing w:val="3"/>
          <w:sz w:val="25"/>
        </w:rPr>
        <w:t>潛伏結核感染</w:t>
      </w:r>
      <w:r>
        <w:rPr>
          <w:color w:val="FF0000"/>
          <w:spacing w:val="-2"/>
        </w:rPr>
        <w:t>的治療</w:t>
      </w:r>
      <w:r>
        <w:rPr>
          <w:spacing w:val="3"/>
        </w:rPr>
        <w:t>。愛滋病毒感</w:t>
      </w:r>
      <w:r>
        <w:rPr>
          <w:spacing w:val="7"/>
          <w:w w:val="95"/>
        </w:rPr>
        <w:t>染者不論</w:t>
      </w:r>
      <w:r>
        <w:rPr>
          <w:spacing w:val="3"/>
          <w:w w:val="95"/>
          <w:sz w:val="25"/>
        </w:rPr>
        <w:t>潛伏結核感染</w:t>
      </w:r>
      <w:r>
        <w:rPr>
          <w:color w:val="FF0000"/>
          <w:spacing w:val="3"/>
          <w:w w:val="95"/>
        </w:rPr>
        <w:t>的</w:t>
      </w:r>
      <w:r>
        <w:rPr>
          <w:spacing w:val="-5"/>
          <w:w w:val="95"/>
        </w:rPr>
        <w:t>檢驗結果如何，因免疫狀態較一般人低下，需加強衛教注意    </w:t>
      </w:r>
      <w:r>
        <w:rPr>
          <w:spacing w:val="-9"/>
        </w:rPr>
        <w:t>自身健康狀況，如出現疑似結核病症狀(如咳嗽超過二週、體重下降等)應儘快就醫，並</w:t>
      </w:r>
      <w:r>
        <w:rPr>
          <w:spacing w:val="2"/>
        </w:rPr>
        <w:t>每年進行胸部 </w:t>
      </w:r>
      <w:r>
        <w:rPr/>
        <w:t>X</w:t>
      </w:r>
      <w:r>
        <w:rPr>
          <w:spacing w:val="-2"/>
        </w:rPr>
        <w:t> 光檢查。有關</w:t>
      </w:r>
      <w:r>
        <w:rPr>
          <w:spacing w:val="3"/>
          <w:sz w:val="25"/>
        </w:rPr>
        <w:t>潛伏結核感染</w:t>
      </w:r>
      <w:r>
        <w:rPr>
          <w:color w:val="FF0000"/>
          <w:spacing w:val="3"/>
        </w:rPr>
        <w:t>的治療</w:t>
      </w:r>
      <w:r>
        <w:rPr>
          <w:spacing w:val="-5"/>
        </w:rPr>
        <w:t>處方、副作用處理、治療前及治療</w:t>
      </w:r>
      <w:r>
        <w:rPr>
          <w:spacing w:val="2"/>
        </w:rPr>
        <w:t>過程肝功能監測，請參考第十章，但需特別注意的是與愛滋抗病毒藥物間交互作用。</w:t>
      </w:r>
      <w:r>
        <w:rPr>
          <w:spacing w:val="3"/>
        </w:rPr>
        <w:t>如果確認是</w:t>
      </w:r>
      <w:r>
        <w:rPr>
          <w:spacing w:val="-3"/>
          <w:sz w:val="25"/>
        </w:rPr>
        <w:t>潛伏結核感染</w:t>
      </w:r>
      <w:r>
        <w:rPr>
          <w:color w:val="FF0000"/>
          <w:spacing w:val="-33"/>
        </w:rPr>
        <w:t>，</w:t>
      </w:r>
      <w:r>
        <w:rPr>
          <w:spacing w:val="4"/>
        </w:rPr>
        <w:t>考量到 </w:t>
      </w:r>
      <w:r>
        <w:rPr/>
        <w:t>rifampin</w:t>
      </w:r>
      <w:r>
        <w:rPr>
          <w:spacing w:val="5"/>
        </w:rPr>
        <w:t> 和 </w:t>
      </w:r>
      <w:r>
        <w:rPr/>
        <w:t>rifapentine</w:t>
      </w:r>
      <w:r>
        <w:rPr>
          <w:spacing w:val="2"/>
        </w:rPr>
        <w:t> 和抗愛滋病毒藥物間</w:t>
      </w:r>
    </w:p>
    <w:p>
      <w:pPr>
        <w:pStyle w:val="BodyText"/>
        <w:spacing w:line="427" w:lineRule="exact"/>
        <w:ind w:right="1361"/>
        <w:jc w:val="right"/>
      </w:pPr>
      <w:r>
        <w:rPr>
          <w:spacing w:val="1"/>
        </w:rPr>
        <w:t>交互作用(表  </w:t>
      </w:r>
      <w:r>
        <w:rPr/>
        <w:t>9-1)</w:t>
      </w:r>
      <w:r>
        <w:rPr>
          <w:spacing w:val="2"/>
        </w:rPr>
        <w:t>，過往愛滋病毒感染者可以採用的</w:t>
      </w:r>
      <w:r>
        <w:rPr>
          <w:spacing w:val="3"/>
          <w:sz w:val="25"/>
        </w:rPr>
        <w:t>潛伏結核感染</w:t>
      </w:r>
      <w:r>
        <w:rPr>
          <w:color w:val="FF0000"/>
          <w:spacing w:val="3"/>
        </w:rPr>
        <w:t>的治療</w:t>
      </w:r>
      <w:r>
        <w:rPr>
          <w:spacing w:val="3"/>
        </w:rPr>
        <w:t>選擇主要是</w:t>
      </w:r>
    </w:p>
    <w:p>
      <w:pPr>
        <w:spacing w:after="0" w:line="427" w:lineRule="exact"/>
        <w:jc w:val="right"/>
        <w:sectPr>
          <w:pgSz w:w="12250" w:h="17190"/>
          <w:pgMar w:header="0" w:footer="748" w:top="1500" w:bottom="1020" w:left="840" w:right="0"/>
        </w:sectPr>
      </w:pPr>
    </w:p>
    <w:p>
      <w:pPr>
        <w:pStyle w:val="BodyText"/>
        <w:spacing w:line="228" w:lineRule="auto" w:before="46"/>
        <w:ind w:left="1016" w:right="1296"/>
        <w:jc w:val="both"/>
      </w:pPr>
      <w:r>
        <w:rPr/>
        <w:pict>
          <v:group style="position:absolute;margin-left:571.5pt;margin-top:.482769pt;width:40.9pt;height:219pt;mso-position-horizontal-relative:page;mso-position-vertical-relative:paragraph;z-index:251837440" coordorigin="11430,10" coordsize="818,4380">
            <v:shape style="position:absolute;left:11430;top:9;width:818;height:4380" coordorigin="11430,10" coordsize="818,4380" path="m12247,10l11595,10,11531,23,11478,58,11443,111,11430,175,11430,4224,11443,4289,11478,4341,11531,4377,11595,4390,12247,4390,12247,10xe" filled="true" fillcolor="#a6a6a6" stroked="false">
              <v:path arrowok="t"/>
              <v:fill type="solid"/>
            </v:shape>
            <v:shape style="position:absolute;left:11430;top:9;width:818;height:4380" type="#_x0000_t202" filled="false" stroked="false">
              <v:textbox inset="0,0,0,0">
                <w:txbxContent>
                  <w:p>
                    <w:pPr>
                      <w:spacing w:line="146" w:lineRule="auto" w:before="126"/>
                      <w:ind w:left="136" w:right="458" w:firstLine="0"/>
                      <w:jc w:val="both"/>
                      <w:rPr>
                        <w:sz w:val="22"/>
                      </w:rPr>
                    </w:pPr>
                    <w:r>
                      <w:rPr>
                        <w:sz w:val="22"/>
                      </w:rPr>
                      <w:t>第九章</w:t>
                    </w:r>
                  </w:p>
                  <w:p>
                    <w:pPr>
                      <w:spacing w:line="141" w:lineRule="auto" w:before="175"/>
                      <w:ind w:left="136" w:right="458" w:firstLine="0"/>
                      <w:jc w:val="both"/>
                      <w:rPr>
                        <w:sz w:val="22"/>
                      </w:rPr>
                    </w:pPr>
                    <w:r>
                      <w:rPr>
                        <w:sz w:val="22"/>
                      </w:rPr>
                      <w:t>愛滋病毒感染者結核病之診療</w:t>
                    </w:r>
                  </w:p>
                </w:txbxContent>
              </v:textbox>
              <w10:wrap type="none"/>
            </v:shape>
            <w10:wrap type="none"/>
          </v:group>
        </w:pict>
      </w:r>
      <w:r>
        <w:rPr/>
        <w:t>9H</w:t>
      </w:r>
      <w:r>
        <w:rPr>
          <w:spacing w:val="1"/>
        </w:rPr>
        <w:t>。不過，近期研究發現</w:t>
      </w:r>
      <w:r>
        <w:rPr/>
        <w:t>，3HP</w:t>
      </w:r>
      <w:r>
        <w:rPr>
          <w:spacing w:val="7"/>
        </w:rPr>
        <w:t> 和 </w:t>
      </w:r>
      <w:r>
        <w:rPr/>
        <w:t>1HP</w:t>
      </w:r>
      <w:r>
        <w:rPr>
          <w:spacing w:val="3"/>
        </w:rPr>
        <w:t>，相較於 </w:t>
      </w:r>
      <w:r>
        <w:rPr/>
        <w:t>9H</w:t>
      </w:r>
      <w:r>
        <w:rPr>
          <w:spacing w:val="1"/>
        </w:rPr>
        <w:t>，有更高的治療完成率。同時， </w:t>
      </w:r>
      <w:r>
        <w:rPr>
          <w:spacing w:val="2"/>
        </w:rPr>
        <w:t>臨床試驗中顯示，在愛滋病毒感染者，</w:t>
      </w:r>
      <w:r>
        <w:rPr/>
        <w:t>1HP</w:t>
      </w:r>
      <w:r>
        <w:rPr>
          <w:spacing w:val="3"/>
        </w:rPr>
        <w:t> 預防活動性結核病的成效，並不亞於 </w:t>
      </w:r>
      <w:r>
        <w:rPr/>
        <w:t>9H </w:t>
      </w:r>
      <w:r>
        <w:rPr>
          <w:color w:val="FF0000"/>
        </w:rPr>
        <w:t>[12,13]</w:t>
      </w:r>
      <w:r>
        <w:rPr>
          <w:spacing w:val="5"/>
        </w:rPr>
        <w:t>。因此，短療程的 </w:t>
      </w:r>
      <w:r>
        <w:rPr/>
        <w:t>3HP</w:t>
      </w:r>
      <w:r>
        <w:rPr>
          <w:spacing w:val="9"/>
        </w:rPr>
        <w:t>，或者 </w:t>
      </w:r>
      <w:r>
        <w:rPr/>
        <w:t>1HP</w:t>
      </w:r>
      <w:r>
        <w:rPr>
          <w:spacing w:val="1"/>
        </w:rPr>
        <w:t>，也是愛滋病毒感染者治療</w:t>
      </w:r>
      <w:r>
        <w:rPr>
          <w:spacing w:val="2"/>
          <w:sz w:val="25"/>
        </w:rPr>
        <w:t>潛伏結核感染</w:t>
      </w:r>
      <w:r>
        <w:rPr>
          <w:spacing w:val="-3"/>
        </w:rPr>
        <w:t>的合適選擇。不過，</w:t>
      </w:r>
      <w:r>
        <w:rPr/>
        <w:t>rifapentine</w:t>
      </w:r>
      <w:r>
        <w:rPr>
          <w:spacing w:val="3"/>
        </w:rPr>
        <w:t> 對於 </w:t>
      </w:r>
      <w:r>
        <w:rPr/>
        <w:t>CYP3A4</w:t>
      </w:r>
      <w:r>
        <w:rPr>
          <w:spacing w:val="2"/>
        </w:rPr>
        <w:t> 的誘發效果較 </w:t>
      </w:r>
      <w:r>
        <w:rPr/>
        <w:t>rifabutin</w:t>
      </w:r>
      <w:r>
        <w:rPr>
          <w:spacing w:val="-1"/>
        </w:rPr>
        <w:t> 更強，因此我</w:t>
      </w:r>
      <w:r>
        <w:rPr>
          <w:spacing w:val="3"/>
        </w:rPr>
        <w:t>們必須留意併用 </w:t>
      </w:r>
      <w:r>
        <w:rPr/>
        <w:t>3HP</w:t>
      </w:r>
      <w:r>
        <w:rPr>
          <w:spacing w:val="6"/>
        </w:rPr>
        <w:t> 或者 </w:t>
      </w:r>
      <w:r>
        <w:rPr/>
        <w:t>1HP</w:t>
      </w:r>
      <w:r>
        <w:rPr>
          <w:spacing w:val="1"/>
        </w:rPr>
        <w:t> 與抗愛滋病毒治療藥物間的交互作用。目前，幾個收</w:t>
      </w:r>
      <w:r>
        <w:rPr>
          <w:spacing w:val="-3"/>
        </w:rPr>
        <w:t>納案例數不多的單組臨床試驗，輔以藥物濃度監測，顯示 </w:t>
      </w:r>
      <w:r>
        <w:rPr/>
        <w:t>3HP</w:t>
      </w:r>
      <w:r>
        <w:rPr>
          <w:spacing w:val="3"/>
        </w:rPr>
        <w:t> 可以併用的抗愛滋病毒</w:t>
      </w:r>
      <w:r>
        <w:rPr/>
        <w:t>藥物，包含兩種核苷酸反轉錄酶抑制劑加上 DTG</w:t>
      </w:r>
      <w:r>
        <w:rPr>
          <w:spacing w:val="-5"/>
        </w:rPr>
        <w:t> (</w:t>
      </w:r>
      <w:r>
        <w:rPr/>
        <w:t>50 mg</w:t>
      </w:r>
      <w:r>
        <w:rPr>
          <w:spacing w:val="-2"/>
        </w:rPr>
        <w:t>)、</w:t>
      </w:r>
      <w:r>
        <w:rPr/>
        <w:t>RAL</w:t>
      </w:r>
      <w:r>
        <w:rPr>
          <w:spacing w:val="-6"/>
        </w:rPr>
        <w:t> (</w:t>
      </w:r>
      <w:r>
        <w:rPr/>
        <w:t>400 </w:t>
      </w:r>
      <w:r>
        <w:rPr>
          <w:spacing w:val="-3"/>
        </w:rPr>
        <w:t>mg</w:t>
      </w:r>
      <w:r>
        <w:rPr/>
        <w:t>，每日兩次) </w:t>
      </w:r>
      <w:r>
        <w:rPr>
          <w:spacing w:val="5"/>
        </w:rPr>
        <w:t>和 </w:t>
      </w:r>
      <w:r>
        <w:rPr/>
        <w:t>EFV</w:t>
      </w:r>
      <w:r>
        <w:rPr>
          <w:spacing w:val="4"/>
        </w:rPr>
        <w:t> (</w:t>
      </w:r>
      <w:r>
        <w:rPr/>
        <w:t>600 mg</w:t>
      </w:r>
      <w:r>
        <w:rPr>
          <w:spacing w:val="4"/>
        </w:rPr>
        <w:t>) </w:t>
      </w:r>
      <w:r>
        <w:rPr>
          <w:color w:val="FF0000"/>
        </w:rPr>
        <w:t>[14-16</w:t>
      </w:r>
      <w:r>
        <w:rPr>
          <w:color w:val="FF0000"/>
          <w:spacing w:val="2"/>
        </w:rPr>
        <w:t>]。</w:t>
      </w:r>
      <w:r>
        <w:rPr>
          <w:spacing w:val="3"/>
        </w:rPr>
        <w:t>至於 </w:t>
      </w:r>
      <w:r>
        <w:rPr/>
        <w:t>1HP</w:t>
      </w:r>
      <w:r>
        <w:rPr>
          <w:spacing w:val="2"/>
        </w:rPr>
        <w:t>，目前，根據藥物動力學研究和臨床觀察研究， </w:t>
      </w:r>
      <w:r>
        <w:rPr>
          <w:spacing w:val="-1"/>
        </w:rPr>
        <w:t>可以併用的抗愛滋病毒藥物是，兩種核苷酸反轉錄酶抑制劑加上 </w:t>
      </w:r>
      <w:r>
        <w:rPr/>
        <w:t>EFV (600 </w:t>
      </w:r>
      <w:r>
        <w:rPr>
          <w:spacing w:val="-6"/>
        </w:rPr>
        <w:t>mg</w:t>
      </w:r>
      <w:r>
        <w:rPr>
          <w:spacing w:val="-5"/>
        </w:rPr>
        <w:t>)。根據</w:t>
      </w:r>
      <w:r>
        <w:rPr>
          <w:spacing w:val="3"/>
        </w:rPr>
        <w:t>臺大醫院針對 </w:t>
      </w:r>
      <w:r>
        <w:rPr/>
        <w:t>48</w:t>
      </w:r>
      <w:r>
        <w:rPr>
          <w:spacing w:val="3"/>
        </w:rPr>
        <w:t> 位感染者併用 </w:t>
      </w:r>
      <w:r>
        <w:rPr/>
        <w:t>1HP</w:t>
      </w:r>
      <w:r>
        <w:rPr>
          <w:spacing w:val="5"/>
        </w:rPr>
        <w:t> 與 </w:t>
      </w:r>
      <w:r>
        <w:rPr/>
        <w:t>TAF/FTC/BIC</w:t>
      </w:r>
      <w:r>
        <w:rPr>
          <w:spacing w:val="19"/>
        </w:rPr>
        <w:t> (</w:t>
      </w:r>
      <w:r>
        <w:rPr/>
        <w:t>Biktarvy</w:t>
      </w:r>
      <w:r>
        <w:rPr>
          <w:spacing w:val="2"/>
        </w:rPr>
        <w:t>)的藥物濃度監測的研</w:t>
      </w:r>
      <w:r>
        <w:rPr>
          <w:spacing w:val="5"/>
        </w:rPr>
        <w:t>究，</w:t>
      </w:r>
      <w:r>
        <w:rPr/>
        <w:t>rifapentine</w:t>
      </w:r>
      <w:r>
        <w:rPr>
          <w:spacing w:val="21"/>
        </w:rPr>
        <w:t> (</w:t>
      </w:r>
      <w:r>
        <w:rPr/>
        <w:t>900 </w:t>
      </w:r>
      <w:r>
        <w:rPr>
          <w:spacing w:val="3"/>
        </w:rPr>
        <w:t>mg</w:t>
      </w:r>
      <w:r>
        <w:rPr>
          <w:spacing w:val="6"/>
        </w:rPr>
        <w:t>)會大幅降低第十四天和第二十八天 </w:t>
      </w:r>
      <w:r>
        <w:rPr/>
        <w:t>BIC</w:t>
      </w:r>
      <w:r>
        <w:rPr>
          <w:spacing w:val="7"/>
        </w:rPr>
        <w:t> 的最低藥物濃度(trough </w:t>
      </w:r>
      <w:r>
        <w:rPr/>
        <w:t>concentration</w:t>
      </w:r>
      <w:r>
        <w:rPr>
          <w:spacing w:val="1"/>
        </w:rPr>
        <w:t>)。僅有一位因為發生嚴重過敏反應，無法完成 </w:t>
      </w:r>
      <w:r>
        <w:rPr/>
        <w:t>1HP</w:t>
      </w:r>
      <w:r>
        <w:rPr>
          <w:spacing w:val="3"/>
        </w:rPr>
        <w:t> 的療程。</w:t>
      </w:r>
      <w:r>
        <w:rPr>
          <w:spacing w:val="-4"/>
        </w:rPr>
        <w:t>不過，在完成 </w:t>
      </w:r>
      <w:r>
        <w:rPr/>
        <w:t>1HP</w:t>
      </w:r>
      <w:r>
        <w:rPr>
          <w:spacing w:val="-5"/>
        </w:rPr>
        <w:t> 療程，同時超過六個月以上的追蹤，並沒有任何愛滋病毒感染者發</w:t>
      </w:r>
      <w:r>
        <w:rPr>
          <w:spacing w:val="3"/>
        </w:rPr>
        <w:t>生病毒治療失敗</w:t>
      </w:r>
      <w:r>
        <w:rPr/>
        <w:t>[17</w:t>
      </w:r>
      <w:r>
        <w:rPr>
          <w:spacing w:val="1"/>
        </w:rPr>
        <w:t>]。因此，</w:t>
      </w:r>
      <w:r>
        <w:rPr/>
        <w:t>1HP</w:t>
      </w:r>
      <w:r>
        <w:rPr>
          <w:spacing w:val="15"/>
        </w:rPr>
        <w:t> 與 </w:t>
      </w:r>
      <w:r>
        <w:rPr/>
        <w:t>TAF/FTC/BIC</w:t>
      </w:r>
      <w:r>
        <w:rPr>
          <w:spacing w:val="23"/>
        </w:rPr>
        <w:t> (</w:t>
      </w:r>
      <w:r>
        <w:rPr/>
        <w:t>Biktarvy</w:t>
      </w:r>
      <w:r>
        <w:rPr>
          <w:spacing w:val="2"/>
        </w:rPr>
        <w:t>)的併用，也是可以考慮</w:t>
      </w:r>
      <w:r>
        <w:rPr>
          <w:spacing w:val="-3"/>
        </w:rPr>
        <w:t>選擇的處方組合，不過，建議需要謹慎追蹤病毒量變化。</w:t>
      </w:r>
      <w:r>
        <w:rPr/>
        <w:t>1HP</w:t>
      </w:r>
      <w:r>
        <w:rPr>
          <w:spacing w:val="1"/>
        </w:rPr>
        <w:t> 併用含有兩種核苷酸反</w:t>
      </w:r>
      <w:r>
        <w:rPr>
          <w:spacing w:val="2"/>
        </w:rPr>
        <w:t>轉錄酶抑制劑加上 </w:t>
      </w:r>
      <w:r>
        <w:rPr/>
        <w:t>DTG</w:t>
      </w:r>
      <w:r>
        <w:rPr>
          <w:spacing w:val="3"/>
        </w:rPr>
        <w:t> 的處方，目前臨床或者藥物動力學研究尚在進行中。</w:t>
      </w:r>
    </w:p>
    <w:p>
      <w:pPr>
        <w:pStyle w:val="BodyText"/>
        <w:spacing w:before="9"/>
        <w:rPr>
          <w:sz w:val="42"/>
        </w:rPr>
      </w:pPr>
    </w:p>
    <w:p>
      <w:pPr>
        <w:pStyle w:val="Heading6"/>
        <w:numPr>
          <w:ilvl w:val="1"/>
          <w:numId w:val="119"/>
        </w:numPr>
        <w:tabs>
          <w:tab w:pos="1029" w:val="left" w:leader="none"/>
        </w:tabs>
        <w:spacing w:line="240" w:lineRule="auto" w:before="1" w:after="0"/>
        <w:ind w:left="1028" w:right="0" w:hanging="509"/>
        <w:jc w:val="both"/>
      </w:pPr>
      <w:r>
        <w:rPr>
          <w:spacing w:val="4"/>
        </w:rPr>
        <w:t>結語</w:t>
      </w:r>
    </w:p>
    <w:p>
      <w:pPr>
        <w:pStyle w:val="BodyText"/>
        <w:spacing w:line="228" w:lineRule="auto" w:before="20"/>
        <w:ind w:left="1016" w:right="1357" w:firstLine="487"/>
        <w:jc w:val="both"/>
      </w:pPr>
      <w:r>
        <w:rPr/>
        <w:t>愛滋病感染者的結核病診治對於整個結核病的防治非常重要。對於結核病，我們都應該配合都治計畫積極提供規則有效的抗結核治療。對於同時合併抗愛滋病毒治療的病人，要注意藥物間的交互作用及重疊副作用。對於愛滋病毒感染控制不佳的病人併發結核病時，必須儘速與專家討論，並透過適當的愛滋病毒抗藥基因檢查，選擇適合與抗結核藥物合併使用的抗愛滋病毒藥物組合，除了確保結核病完治以外，也能持續穩定地控制愛滋病毒的複製，提升 CD4 免疫球數，減少伺機性感染與腫瘤發生的機會。</w:t>
      </w:r>
    </w:p>
    <w:p>
      <w:pPr>
        <w:spacing w:after="0" w:line="228" w:lineRule="auto"/>
        <w:jc w:val="both"/>
        <w:sectPr>
          <w:pgSz w:w="12250" w:h="17190"/>
          <w:pgMar w:header="0" w:footer="748" w:top="1460" w:bottom="1020" w:left="840" w:right="0"/>
        </w:sectPr>
      </w:pPr>
    </w:p>
    <w:p>
      <w:pPr>
        <w:pStyle w:val="Heading6"/>
        <w:spacing w:before="13"/>
        <w:ind w:left="520"/>
      </w:pPr>
      <w:bookmarkStart w:name="參考文獻" w:id="103"/>
      <w:bookmarkEnd w:id="103"/>
      <w:r>
        <w:rPr>
          <w:b w:val="0"/>
        </w:rPr>
      </w:r>
      <w:r>
        <w:rPr/>
        <w:t>參考文獻</w:t>
      </w:r>
    </w:p>
    <w:p>
      <w:pPr>
        <w:pStyle w:val="ListParagraph"/>
        <w:numPr>
          <w:ilvl w:val="0"/>
          <w:numId w:val="120"/>
        </w:numPr>
        <w:tabs>
          <w:tab w:pos="1289" w:val="left" w:leader="none"/>
          <w:tab w:pos="1290" w:val="left" w:leader="none"/>
        </w:tabs>
        <w:spacing w:line="336" w:lineRule="auto" w:before="97" w:after="0"/>
        <w:ind w:left="1271" w:right="1359" w:hanging="422"/>
        <w:jc w:val="left"/>
        <w:rPr>
          <w:rFonts w:ascii="Calibri"/>
          <w:sz w:val="24"/>
        </w:rPr>
      </w:pPr>
      <w:r>
        <w:rPr>
          <w:rFonts w:ascii="Calibri"/>
          <w:sz w:val="24"/>
        </w:rPr>
        <w:t>Panel on </w:t>
      </w:r>
      <w:r>
        <w:rPr>
          <w:rFonts w:ascii="Calibri"/>
          <w:spacing w:val="3"/>
          <w:sz w:val="24"/>
        </w:rPr>
        <w:t>Antiretroviral Guidelines </w:t>
      </w:r>
      <w:r>
        <w:rPr>
          <w:rFonts w:ascii="Calibri"/>
          <w:spacing w:val="2"/>
          <w:sz w:val="24"/>
        </w:rPr>
        <w:t>for </w:t>
      </w:r>
      <w:r>
        <w:rPr>
          <w:rFonts w:ascii="Calibri"/>
          <w:spacing w:val="3"/>
          <w:sz w:val="24"/>
        </w:rPr>
        <w:t>Adults and Adolescents. Guidelines </w:t>
      </w:r>
      <w:r>
        <w:rPr>
          <w:rFonts w:ascii="Calibri"/>
          <w:spacing w:val="2"/>
          <w:sz w:val="24"/>
        </w:rPr>
        <w:t>for </w:t>
      </w:r>
      <w:r>
        <w:rPr>
          <w:rFonts w:ascii="Calibri"/>
          <w:sz w:val="24"/>
        </w:rPr>
        <w:t>the use of antiretroviral agents in HIV-1-infected adults and adolescents. Department of Health </w:t>
      </w:r>
      <w:r>
        <w:rPr>
          <w:rFonts w:ascii="Calibri"/>
          <w:spacing w:val="2"/>
          <w:sz w:val="24"/>
        </w:rPr>
        <w:t>and </w:t>
      </w:r>
      <w:r>
        <w:rPr>
          <w:rFonts w:ascii="Calibri"/>
          <w:sz w:val="24"/>
        </w:rPr>
        <w:t>Human Services. Available at </w:t>
      </w:r>
      <w:hyperlink r:id="rId59">
        <w:r>
          <w:rPr>
            <w:rFonts w:ascii="Calibri"/>
            <w:sz w:val="24"/>
          </w:rPr>
          <w:t>http://www.aidsinfo.nih.gov/contentfiles/lvguidelines/adultandadolescentgl. </w:t>
        </w:r>
      </w:hyperlink>
      <w:hyperlink r:id="rId59">
        <w:r>
          <w:rPr>
            <w:rFonts w:ascii="Calibri"/>
            <w:sz w:val="24"/>
          </w:rPr>
          <w:t>pdf.</w:t>
        </w:r>
      </w:hyperlink>
      <w:r>
        <w:rPr>
          <w:rFonts w:ascii="Calibri"/>
          <w:sz w:val="24"/>
        </w:rPr>
        <w:t> (Accessed on 31 July,</w:t>
      </w:r>
      <w:r>
        <w:rPr>
          <w:rFonts w:ascii="Calibri"/>
          <w:spacing w:val="16"/>
          <w:sz w:val="24"/>
        </w:rPr>
        <w:t> </w:t>
      </w:r>
      <w:r>
        <w:rPr>
          <w:rFonts w:ascii="Calibri"/>
          <w:sz w:val="24"/>
        </w:rPr>
        <w:t>2021)</w:t>
      </w:r>
    </w:p>
    <w:p>
      <w:pPr>
        <w:pStyle w:val="ListParagraph"/>
        <w:numPr>
          <w:ilvl w:val="0"/>
          <w:numId w:val="120"/>
        </w:numPr>
        <w:tabs>
          <w:tab w:pos="1290" w:val="left" w:leader="none"/>
        </w:tabs>
        <w:spacing w:line="336" w:lineRule="auto" w:before="0" w:after="0"/>
        <w:ind w:left="1289" w:right="1359" w:hanging="440"/>
        <w:jc w:val="both"/>
        <w:rPr>
          <w:rFonts w:ascii="Calibri" w:hAnsi="Calibri"/>
          <w:sz w:val="24"/>
        </w:rPr>
      </w:pPr>
      <w:r>
        <w:rPr>
          <w:rFonts w:ascii="Calibri" w:hAnsi="Calibri"/>
          <w:sz w:val="24"/>
        </w:rPr>
        <w:t>De Castro N, Marcy O, Chazallon C, et al. Standard dose raltegravir or efavirenz-based antiretroviral treatment for patients co-infected with HIV and tuberculosis (ANRS 12 300 Reflate TB 2): an open-label, non-inferiority, randomised, phase  3 trial. Lancet  Infect  Dis.</w:t>
      </w:r>
      <w:r>
        <w:rPr>
          <w:rFonts w:ascii="Calibri" w:hAnsi="Calibri"/>
          <w:spacing w:val="3"/>
          <w:sz w:val="24"/>
        </w:rPr>
        <w:t> </w:t>
      </w:r>
      <w:r>
        <w:rPr>
          <w:rFonts w:ascii="Calibri" w:hAnsi="Calibri"/>
          <w:sz w:val="24"/>
        </w:rPr>
        <w:t>2021;21:813-22.</w:t>
      </w:r>
    </w:p>
    <w:p>
      <w:pPr>
        <w:pStyle w:val="ListParagraph"/>
        <w:numPr>
          <w:ilvl w:val="0"/>
          <w:numId w:val="120"/>
        </w:numPr>
        <w:tabs>
          <w:tab w:pos="1290" w:val="left" w:leader="none"/>
        </w:tabs>
        <w:spacing w:line="336" w:lineRule="auto" w:before="0" w:after="0"/>
        <w:ind w:left="1290" w:right="1362" w:hanging="440"/>
        <w:jc w:val="both"/>
        <w:rPr>
          <w:rFonts w:ascii="Calibri"/>
          <w:color w:val="FF0000"/>
          <w:sz w:val="24"/>
        </w:rPr>
      </w:pPr>
      <w:r>
        <w:rPr>
          <w:rFonts w:ascii="Calibri"/>
          <w:sz w:val="24"/>
        </w:rPr>
        <w:t>Dooley KE, Kaplan R, Mwelase N, et al. Dolutegravir-based antiretroviral therapy for patients coinfected with tuberculosis and human immunodeficiency virus: a multicenter, noncomparative, open-label, randomized trial. Clin Infect Dis.</w:t>
      </w:r>
      <w:r>
        <w:rPr>
          <w:rFonts w:ascii="Calibri"/>
          <w:spacing w:val="47"/>
          <w:sz w:val="24"/>
        </w:rPr>
        <w:t> </w:t>
      </w:r>
      <w:r>
        <w:rPr>
          <w:rFonts w:ascii="Calibri"/>
          <w:sz w:val="24"/>
        </w:rPr>
        <w:t>2020;70:549</w:t>
      </w:r>
      <w:r>
        <w:rPr>
          <w:rFonts w:ascii="Calibri"/>
          <w:color w:val="FF0000"/>
          <w:sz w:val="24"/>
        </w:rPr>
        <w:t>-56.</w:t>
      </w:r>
    </w:p>
    <w:p>
      <w:pPr>
        <w:pStyle w:val="ListParagraph"/>
        <w:numPr>
          <w:ilvl w:val="0"/>
          <w:numId w:val="120"/>
        </w:numPr>
        <w:tabs>
          <w:tab w:pos="1283" w:val="left" w:leader="none"/>
        </w:tabs>
        <w:spacing w:line="336" w:lineRule="auto" w:before="0" w:after="0"/>
        <w:ind w:left="1282" w:right="1358" w:hanging="432"/>
        <w:jc w:val="both"/>
        <w:rPr>
          <w:rFonts w:ascii="Calibri"/>
          <w:color w:val="FF0000"/>
          <w:sz w:val="24"/>
        </w:rPr>
      </w:pPr>
      <w:r>
        <w:rPr>
          <w:rFonts w:ascii="Calibri"/>
          <w:sz w:val="24"/>
        </w:rPr>
        <w:t>Encore Study Group, Carey D, Puls R, et al. Efficacy and safety of efavirenz 400 mg daily versus</w:t>
      </w:r>
      <w:r>
        <w:rPr>
          <w:rFonts w:ascii="Calibri"/>
          <w:spacing w:val="-15"/>
          <w:sz w:val="24"/>
        </w:rPr>
        <w:t> </w:t>
      </w:r>
      <w:r>
        <w:rPr>
          <w:rFonts w:ascii="Calibri"/>
          <w:sz w:val="24"/>
        </w:rPr>
        <w:t>600</w:t>
      </w:r>
      <w:r>
        <w:rPr>
          <w:rFonts w:ascii="Calibri"/>
          <w:spacing w:val="-13"/>
          <w:sz w:val="24"/>
        </w:rPr>
        <w:t> </w:t>
      </w:r>
      <w:r>
        <w:rPr>
          <w:rFonts w:ascii="Calibri"/>
          <w:sz w:val="24"/>
        </w:rPr>
        <w:t>mg</w:t>
      </w:r>
      <w:r>
        <w:rPr>
          <w:rFonts w:ascii="Calibri"/>
          <w:spacing w:val="-14"/>
          <w:sz w:val="24"/>
        </w:rPr>
        <w:t> </w:t>
      </w:r>
      <w:r>
        <w:rPr>
          <w:rFonts w:ascii="Calibri"/>
          <w:sz w:val="24"/>
        </w:rPr>
        <w:t>daily:</w:t>
      </w:r>
      <w:r>
        <w:rPr>
          <w:rFonts w:ascii="Calibri"/>
          <w:spacing w:val="-13"/>
          <w:sz w:val="24"/>
        </w:rPr>
        <w:t> </w:t>
      </w:r>
      <w:r>
        <w:rPr>
          <w:rFonts w:ascii="Calibri"/>
          <w:sz w:val="24"/>
        </w:rPr>
        <w:t>96-week</w:t>
      </w:r>
      <w:r>
        <w:rPr>
          <w:rFonts w:ascii="Calibri"/>
          <w:spacing w:val="-14"/>
          <w:sz w:val="24"/>
        </w:rPr>
        <w:t> </w:t>
      </w:r>
      <w:r>
        <w:rPr>
          <w:rFonts w:ascii="Calibri"/>
          <w:sz w:val="24"/>
        </w:rPr>
        <w:t>data</w:t>
      </w:r>
      <w:r>
        <w:rPr>
          <w:rFonts w:ascii="Calibri"/>
          <w:spacing w:val="-14"/>
          <w:sz w:val="24"/>
        </w:rPr>
        <w:t> </w:t>
      </w:r>
      <w:r>
        <w:rPr>
          <w:rFonts w:ascii="Calibri"/>
          <w:sz w:val="24"/>
        </w:rPr>
        <w:t>from</w:t>
      </w:r>
      <w:r>
        <w:rPr>
          <w:rFonts w:ascii="Calibri"/>
          <w:spacing w:val="-13"/>
          <w:sz w:val="24"/>
        </w:rPr>
        <w:t> </w:t>
      </w:r>
      <w:r>
        <w:rPr>
          <w:rFonts w:ascii="Calibri"/>
          <w:sz w:val="24"/>
        </w:rPr>
        <w:t>the</w:t>
      </w:r>
      <w:r>
        <w:rPr>
          <w:rFonts w:ascii="Calibri"/>
          <w:spacing w:val="-14"/>
          <w:sz w:val="24"/>
        </w:rPr>
        <w:t> </w:t>
      </w:r>
      <w:r>
        <w:rPr>
          <w:rFonts w:ascii="Calibri"/>
          <w:sz w:val="24"/>
        </w:rPr>
        <w:t>randomised,</w:t>
      </w:r>
      <w:r>
        <w:rPr>
          <w:rFonts w:ascii="Calibri"/>
          <w:spacing w:val="-14"/>
          <w:sz w:val="24"/>
        </w:rPr>
        <w:t> </w:t>
      </w:r>
      <w:r>
        <w:rPr>
          <w:rFonts w:ascii="Calibri"/>
          <w:sz w:val="24"/>
        </w:rPr>
        <w:t>double-blind,</w:t>
      </w:r>
      <w:r>
        <w:rPr>
          <w:rFonts w:ascii="Calibri"/>
          <w:spacing w:val="-14"/>
          <w:sz w:val="24"/>
        </w:rPr>
        <w:t> </w:t>
      </w:r>
      <w:r>
        <w:rPr>
          <w:rFonts w:ascii="Calibri"/>
          <w:sz w:val="24"/>
        </w:rPr>
        <w:t>placebo-controlled, non-inferiority ENCORE1 study. Lancet Infect Dis</w:t>
      </w:r>
      <w:r>
        <w:rPr>
          <w:rFonts w:ascii="Calibri"/>
          <w:spacing w:val="-10"/>
          <w:sz w:val="24"/>
        </w:rPr>
        <w:t> </w:t>
      </w:r>
      <w:r>
        <w:rPr>
          <w:rFonts w:ascii="Calibri"/>
          <w:sz w:val="24"/>
        </w:rPr>
        <w:t>2015;15:793-802.</w:t>
      </w:r>
    </w:p>
    <w:p>
      <w:pPr>
        <w:pStyle w:val="ListParagraph"/>
        <w:numPr>
          <w:ilvl w:val="0"/>
          <w:numId w:val="120"/>
        </w:numPr>
        <w:tabs>
          <w:tab w:pos="1290" w:val="left" w:leader="none"/>
        </w:tabs>
        <w:spacing w:line="336" w:lineRule="auto" w:before="0" w:after="0"/>
        <w:ind w:left="1290" w:right="1358" w:hanging="440"/>
        <w:jc w:val="both"/>
        <w:rPr>
          <w:rFonts w:ascii="Calibri"/>
          <w:color w:val="FF0000"/>
          <w:sz w:val="24"/>
        </w:rPr>
      </w:pPr>
      <w:r>
        <w:rPr>
          <w:rFonts w:ascii="Calibri"/>
          <w:color w:val="1F2023"/>
          <w:sz w:val="24"/>
        </w:rPr>
        <w:t>Huang WC, Huang CK, Huang SH, et al. Therapeutic drug monitoring study on the switch from coformulated 600-mg efavirenz, tenofovir  disoproxil  fumarate, and emtricitabine to coformulated 400-mg efavirenz, tenofovir disoproxil fumarate, and lamivudine among HIV-positive</w:t>
      </w:r>
      <w:r>
        <w:rPr>
          <w:rFonts w:ascii="Calibri"/>
          <w:color w:val="1F2023"/>
          <w:spacing w:val="11"/>
          <w:sz w:val="24"/>
        </w:rPr>
        <w:t> </w:t>
      </w:r>
      <w:r>
        <w:rPr>
          <w:rFonts w:ascii="Calibri"/>
          <w:color w:val="1F2023"/>
          <w:sz w:val="24"/>
        </w:rPr>
        <w:t>patients</w:t>
      </w:r>
      <w:r>
        <w:rPr>
          <w:rFonts w:ascii="Calibri"/>
          <w:color w:val="1F2023"/>
          <w:spacing w:val="9"/>
          <w:sz w:val="24"/>
        </w:rPr>
        <w:t> </w:t>
      </w:r>
      <w:r>
        <w:rPr>
          <w:rFonts w:ascii="Calibri"/>
          <w:color w:val="1F2023"/>
          <w:sz w:val="24"/>
        </w:rPr>
        <w:t>with</w:t>
      </w:r>
      <w:r>
        <w:rPr>
          <w:rFonts w:ascii="Calibri"/>
          <w:color w:val="1F2023"/>
          <w:spacing w:val="13"/>
          <w:sz w:val="24"/>
        </w:rPr>
        <w:t> </w:t>
      </w:r>
      <w:r>
        <w:rPr>
          <w:rFonts w:ascii="Calibri"/>
          <w:color w:val="1F2023"/>
          <w:sz w:val="24"/>
        </w:rPr>
        <w:t>viral</w:t>
      </w:r>
      <w:r>
        <w:rPr>
          <w:rFonts w:ascii="Calibri"/>
          <w:color w:val="1F2023"/>
          <w:spacing w:val="12"/>
          <w:sz w:val="24"/>
        </w:rPr>
        <w:t> </w:t>
      </w:r>
      <w:r>
        <w:rPr>
          <w:rFonts w:ascii="Calibri"/>
          <w:color w:val="1F2023"/>
          <w:sz w:val="24"/>
        </w:rPr>
        <w:t>suppression.</w:t>
      </w:r>
      <w:r>
        <w:rPr>
          <w:rFonts w:ascii="Calibri"/>
          <w:color w:val="1F2023"/>
          <w:spacing w:val="10"/>
          <w:sz w:val="24"/>
        </w:rPr>
        <w:t> </w:t>
      </w:r>
      <w:r>
        <w:rPr>
          <w:rFonts w:ascii="Calibri"/>
          <w:color w:val="1F2023"/>
          <w:sz w:val="24"/>
        </w:rPr>
        <w:t>J</w:t>
      </w:r>
      <w:r>
        <w:rPr>
          <w:rFonts w:ascii="Calibri"/>
          <w:color w:val="1F2023"/>
          <w:spacing w:val="12"/>
          <w:sz w:val="24"/>
        </w:rPr>
        <w:t> </w:t>
      </w:r>
      <w:r>
        <w:rPr>
          <w:rFonts w:ascii="Calibri"/>
          <w:color w:val="1F2023"/>
          <w:sz w:val="24"/>
        </w:rPr>
        <w:t>Microbiol</w:t>
      </w:r>
      <w:r>
        <w:rPr>
          <w:rFonts w:ascii="Calibri"/>
          <w:color w:val="1F2023"/>
          <w:spacing w:val="12"/>
          <w:sz w:val="24"/>
        </w:rPr>
        <w:t> </w:t>
      </w:r>
      <w:r>
        <w:rPr>
          <w:rFonts w:ascii="Calibri"/>
          <w:color w:val="1F2023"/>
          <w:sz w:val="24"/>
        </w:rPr>
        <w:t>Immunol</w:t>
      </w:r>
      <w:r>
        <w:rPr>
          <w:rFonts w:ascii="Calibri"/>
          <w:color w:val="1F2023"/>
          <w:spacing w:val="13"/>
          <w:sz w:val="24"/>
        </w:rPr>
        <w:t> </w:t>
      </w:r>
      <w:r>
        <w:rPr>
          <w:rFonts w:ascii="Calibri"/>
          <w:color w:val="1F2023"/>
          <w:sz w:val="24"/>
        </w:rPr>
        <w:t>Infect</w:t>
      </w:r>
      <w:r>
        <w:rPr>
          <w:rFonts w:ascii="Calibri"/>
          <w:color w:val="1F2023"/>
          <w:spacing w:val="9"/>
          <w:sz w:val="24"/>
        </w:rPr>
        <w:t> </w:t>
      </w:r>
      <w:r>
        <w:rPr>
          <w:rFonts w:ascii="Calibri"/>
          <w:color w:val="1F2023"/>
          <w:sz w:val="24"/>
        </w:rPr>
        <w:t>2021;54:944-51.</w:t>
      </w:r>
    </w:p>
    <w:p>
      <w:pPr>
        <w:pStyle w:val="ListParagraph"/>
        <w:numPr>
          <w:ilvl w:val="0"/>
          <w:numId w:val="120"/>
        </w:numPr>
        <w:tabs>
          <w:tab w:pos="1283" w:val="left" w:leader="none"/>
        </w:tabs>
        <w:spacing w:line="336" w:lineRule="auto" w:before="0" w:after="0"/>
        <w:ind w:left="1282" w:right="1359" w:hanging="432"/>
        <w:jc w:val="both"/>
        <w:rPr>
          <w:rFonts w:ascii="Calibri"/>
          <w:color w:val="202020"/>
          <w:sz w:val="24"/>
        </w:rPr>
      </w:pPr>
      <w:r>
        <w:rPr>
          <w:rFonts w:ascii="Calibri"/>
          <w:color w:val="FF0000"/>
          <w:sz w:val="24"/>
        </w:rPr>
        <w:t>Cerrone M, Wang X, Neary M, et al. </w:t>
      </w:r>
      <w:r>
        <w:rPr>
          <w:rFonts w:ascii="Calibri"/>
          <w:color w:val="202020"/>
          <w:sz w:val="24"/>
        </w:rPr>
        <w:t>Pharmacokinetics of Efavirenz 400 mg Once Daily Coadministered</w:t>
      </w:r>
      <w:r>
        <w:rPr>
          <w:rFonts w:ascii="Calibri"/>
          <w:color w:val="202020"/>
          <w:spacing w:val="-6"/>
          <w:sz w:val="24"/>
        </w:rPr>
        <w:t> </w:t>
      </w:r>
      <w:r>
        <w:rPr>
          <w:rFonts w:ascii="Calibri"/>
          <w:color w:val="202020"/>
          <w:sz w:val="24"/>
        </w:rPr>
        <w:t>With</w:t>
      </w:r>
      <w:r>
        <w:rPr>
          <w:rFonts w:ascii="Calibri"/>
          <w:color w:val="202020"/>
          <w:spacing w:val="-6"/>
          <w:sz w:val="24"/>
        </w:rPr>
        <w:t> </w:t>
      </w:r>
      <w:r>
        <w:rPr>
          <w:rFonts w:ascii="Calibri"/>
          <w:color w:val="202020"/>
          <w:sz w:val="24"/>
        </w:rPr>
        <w:t>Isoniazid</w:t>
      </w:r>
      <w:r>
        <w:rPr>
          <w:rFonts w:ascii="Calibri"/>
          <w:color w:val="202020"/>
          <w:spacing w:val="-5"/>
          <w:sz w:val="24"/>
        </w:rPr>
        <w:t> </w:t>
      </w:r>
      <w:r>
        <w:rPr>
          <w:rFonts w:ascii="Calibri"/>
          <w:color w:val="202020"/>
          <w:sz w:val="24"/>
        </w:rPr>
        <w:t>and</w:t>
      </w:r>
      <w:r>
        <w:rPr>
          <w:rFonts w:ascii="Calibri"/>
          <w:color w:val="202020"/>
          <w:spacing w:val="-6"/>
          <w:sz w:val="24"/>
        </w:rPr>
        <w:t> </w:t>
      </w:r>
      <w:r>
        <w:rPr>
          <w:rFonts w:ascii="Calibri"/>
          <w:color w:val="202020"/>
          <w:sz w:val="24"/>
        </w:rPr>
        <w:t>Rifampicin</w:t>
      </w:r>
      <w:r>
        <w:rPr>
          <w:rFonts w:ascii="Calibri"/>
          <w:color w:val="202020"/>
          <w:spacing w:val="-5"/>
          <w:sz w:val="24"/>
        </w:rPr>
        <w:t> </w:t>
      </w:r>
      <w:r>
        <w:rPr>
          <w:rFonts w:ascii="Calibri"/>
          <w:color w:val="202020"/>
          <w:sz w:val="24"/>
        </w:rPr>
        <w:t>in</w:t>
      </w:r>
      <w:r>
        <w:rPr>
          <w:rFonts w:ascii="Calibri"/>
          <w:color w:val="202020"/>
          <w:spacing w:val="-6"/>
          <w:sz w:val="24"/>
        </w:rPr>
        <w:t> </w:t>
      </w:r>
      <w:r>
        <w:rPr>
          <w:rFonts w:ascii="Calibri"/>
          <w:color w:val="202020"/>
          <w:sz w:val="24"/>
        </w:rPr>
        <w:t>Human</w:t>
      </w:r>
      <w:r>
        <w:rPr>
          <w:rFonts w:ascii="Calibri"/>
          <w:color w:val="202020"/>
          <w:spacing w:val="-5"/>
          <w:sz w:val="24"/>
        </w:rPr>
        <w:t> </w:t>
      </w:r>
      <w:r>
        <w:rPr>
          <w:rFonts w:ascii="Calibri"/>
          <w:color w:val="202020"/>
          <w:sz w:val="24"/>
        </w:rPr>
        <w:t>Immunodeficiency</w:t>
      </w:r>
      <w:r>
        <w:rPr>
          <w:rFonts w:ascii="Calibri"/>
          <w:color w:val="202020"/>
          <w:spacing w:val="-6"/>
          <w:sz w:val="24"/>
        </w:rPr>
        <w:t> </w:t>
      </w:r>
      <w:r>
        <w:rPr>
          <w:rFonts w:ascii="Calibri"/>
          <w:color w:val="202020"/>
          <w:sz w:val="24"/>
        </w:rPr>
        <w:t>Virus-Infected Individuals. Clin Infect Dis</w:t>
      </w:r>
      <w:r>
        <w:rPr>
          <w:rFonts w:ascii="Calibri"/>
          <w:color w:val="202020"/>
          <w:spacing w:val="-4"/>
          <w:sz w:val="24"/>
        </w:rPr>
        <w:t> </w:t>
      </w:r>
      <w:r>
        <w:rPr>
          <w:rFonts w:ascii="Calibri"/>
          <w:color w:val="202020"/>
          <w:sz w:val="24"/>
        </w:rPr>
        <w:t>2019;68:446-52.</w:t>
      </w:r>
    </w:p>
    <w:p>
      <w:pPr>
        <w:pStyle w:val="ListParagraph"/>
        <w:numPr>
          <w:ilvl w:val="0"/>
          <w:numId w:val="120"/>
        </w:numPr>
        <w:tabs>
          <w:tab w:pos="1283" w:val="left" w:leader="none"/>
        </w:tabs>
        <w:spacing w:line="336" w:lineRule="auto" w:before="0" w:after="0"/>
        <w:ind w:left="1282" w:right="1359" w:hanging="432"/>
        <w:jc w:val="both"/>
        <w:rPr>
          <w:rFonts w:ascii="Calibri"/>
          <w:sz w:val="24"/>
        </w:rPr>
      </w:pPr>
      <w:hyperlink r:id="rId60">
        <w:r>
          <w:rPr>
            <w:rFonts w:ascii="Calibri"/>
            <w:sz w:val="24"/>
          </w:rPr>
          <w:t>Abdool Karim SS, </w:t>
        </w:r>
      </w:hyperlink>
      <w:hyperlink r:id="rId61">
        <w:r>
          <w:rPr>
            <w:rFonts w:ascii="Calibri"/>
            <w:sz w:val="24"/>
          </w:rPr>
          <w:t>Naidoo K, </w:t>
        </w:r>
      </w:hyperlink>
      <w:hyperlink r:id="rId62">
        <w:r>
          <w:rPr>
            <w:rFonts w:ascii="Calibri"/>
            <w:sz w:val="24"/>
          </w:rPr>
          <w:t>Grobler A, </w:t>
        </w:r>
      </w:hyperlink>
      <w:r>
        <w:rPr>
          <w:rFonts w:ascii="Calibri"/>
          <w:sz w:val="24"/>
        </w:rPr>
        <w:t>et al. Timing of initiation of antiretroviral drugs during tuberculosis therapy. N Engl J Med</w:t>
      </w:r>
      <w:r>
        <w:rPr>
          <w:rFonts w:ascii="Calibri"/>
          <w:spacing w:val="31"/>
          <w:sz w:val="24"/>
        </w:rPr>
        <w:t> </w:t>
      </w:r>
      <w:r>
        <w:rPr>
          <w:rFonts w:ascii="Calibri"/>
          <w:sz w:val="24"/>
        </w:rPr>
        <w:t>2010;362:697-706.</w:t>
      </w:r>
    </w:p>
    <w:p>
      <w:pPr>
        <w:pStyle w:val="ListParagraph"/>
        <w:numPr>
          <w:ilvl w:val="0"/>
          <w:numId w:val="120"/>
        </w:numPr>
        <w:tabs>
          <w:tab w:pos="1290" w:val="left" w:leader="none"/>
        </w:tabs>
        <w:spacing w:line="336" w:lineRule="auto" w:before="0" w:after="0"/>
        <w:ind w:left="1290" w:right="1359" w:hanging="440"/>
        <w:jc w:val="both"/>
        <w:rPr>
          <w:rFonts w:ascii="Calibri"/>
          <w:sz w:val="24"/>
        </w:rPr>
      </w:pPr>
      <w:r>
        <w:rPr>
          <w:rFonts w:ascii="Calibri"/>
          <w:sz w:val="24"/>
        </w:rPr>
        <w:t>Abdool Karim SS, Naidoo K, Grobler A, et al. Integration of antiretroviral therapy with tuberculosis treatment. N Engl J Med</w:t>
      </w:r>
      <w:r>
        <w:rPr>
          <w:rFonts w:ascii="Calibri"/>
          <w:spacing w:val="25"/>
          <w:sz w:val="24"/>
        </w:rPr>
        <w:t> </w:t>
      </w:r>
      <w:r>
        <w:rPr>
          <w:rFonts w:ascii="Calibri"/>
          <w:sz w:val="24"/>
        </w:rPr>
        <w:t>2011;365:1492-501.</w:t>
      </w:r>
    </w:p>
    <w:p>
      <w:pPr>
        <w:pStyle w:val="ListParagraph"/>
        <w:numPr>
          <w:ilvl w:val="0"/>
          <w:numId w:val="120"/>
        </w:numPr>
        <w:tabs>
          <w:tab w:pos="1290" w:val="left" w:leader="none"/>
        </w:tabs>
        <w:spacing w:line="336" w:lineRule="auto" w:before="0" w:after="0"/>
        <w:ind w:left="1290" w:right="1358" w:hanging="440"/>
        <w:jc w:val="both"/>
        <w:rPr>
          <w:rFonts w:ascii="Calibri"/>
          <w:sz w:val="24"/>
        </w:rPr>
      </w:pPr>
      <w:r>
        <w:rPr>
          <w:rFonts w:ascii="Calibri"/>
          <w:sz w:val="24"/>
        </w:rPr>
        <w:t>Blanc FX, Sok T, Laureillard D, et al. Earlier versus later start of antiretroviral therapy in HIV-infected adults with tuberculosis. N Engl J Med 2011;</w:t>
      </w:r>
      <w:r>
        <w:rPr>
          <w:rFonts w:ascii="Calibri"/>
          <w:spacing w:val="47"/>
          <w:sz w:val="24"/>
        </w:rPr>
        <w:t> </w:t>
      </w:r>
      <w:r>
        <w:rPr>
          <w:rFonts w:ascii="Calibri"/>
          <w:sz w:val="24"/>
        </w:rPr>
        <w:t>3651471-81.</w:t>
      </w:r>
    </w:p>
    <w:p>
      <w:pPr>
        <w:pStyle w:val="ListParagraph"/>
        <w:numPr>
          <w:ilvl w:val="0"/>
          <w:numId w:val="120"/>
        </w:numPr>
        <w:tabs>
          <w:tab w:pos="1290" w:val="left" w:leader="none"/>
        </w:tabs>
        <w:spacing w:line="336" w:lineRule="auto" w:before="0" w:after="0"/>
        <w:ind w:left="1290" w:right="1358" w:hanging="440"/>
        <w:jc w:val="both"/>
        <w:rPr>
          <w:rFonts w:ascii="Calibri"/>
          <w:sz w:val="24"/>
        </w:rPr>
      </w:pPr>
      <w:r>
        <w:rPr>
          <w:rFonts w:ascii="Calibri"/>
          <w:sz w:val="24"/>
        </w:rPr>
        <w:t>Havlir DV, Kendall MA, Ive P, et al. Timing of antiretroviral therapy for HIV-1 infection </w:t>
      </w:r>
      <w:r>
        <w:rPr>
          <w:rFonts w:ascii="Calibri"/>
          <w:spacing w:val="2"/>
          <w:sz w:val="24"/>
        </w:rPr>
        <w:t>and </w:t>
      </w:r>
      <w:r>
        <w:rPr>
          <w:rFonts w:ascii="Calibri"/>
          <w:sz w:val="24"/>
        </w:rPr>
        <w:t>tuberculosis. N Engl J Med</w:t>
      </w:r>
      <w:r>
        <w:rPr>
          <w:rFonts w:ascii="Calibri"/>
          <w:spacing w:val="20"/>
          <w:sz w:val="24"/>
        </w:rPr>
        <w:t> </w:t>
      </w:r>
      <w:r>
        <w:rPr>
          <w:rFonts w:ascii="Calibri"/>
          <w:sz w:val="24"/>
        </w:rPr>
        <w:t>2011;365:1482-91.</w:t>
      </w:r>
    </w:p>
    <w:p>
      <w:pPr>
        <w:pStyle w:val="ListParagraph"/>
        <w:numPr>
          <w:ilvl w:val="0"/>
          <w:numId w:val="120"/>
        </w:numPr>
        <w:tabs>
          <w:tab w:pos="1290" w:val="left" w:leader="none"/>
        </w:tabs>
        <w:spacing w:line="336" w:lineRule="auto" w:before="0" w:after="0"/>
        <w:ind w:left="1289" w:right="1363" w:hanging="440"/>
        <w:jc w:val="both"/>
        <w:rPr>
          <w:rFonts w:ascii="Calibri"/>
          <w:color w:val="FF0000"/>
          <w:sz w:val="24"/>
        </w:rPr>
      </w:pPr>
      <w:r>
        <w:rPr>
          <w:rFonts w:ascii="Calibri"/>
          <w:sz w:val="24"/>
        </w:rPr>
        <w:t>Meintjes G, Stek C, Blumenthal L, et al. Prednisone for the prevention of paradoxical tuberculosis-associated IRIS. N Engl J Med</w:t>
      </w:r>
      <w:r>
        <w:rPr>
          <w:rFonts w:ascii="Calibri"/>
          <w:spacing w:val="27"/>
          <w:sz w:val="24"/>
        </w:rPr>
        <w:t> </w:t>
      </w:r>
      <w:r>
        <w:rPr>
          <w:rFonts w:ascii="Calibri"/>
          <w:sz w:val="24"/>
        </w:rPr>
        <w:t>2018;379:1915</w:t>
      </w:r>
      <w:r>
        <w:rPr>
          <w:rFonts w:ascii="Calibri"/>
          <w:color w:val="FF0000"/>
          <w:sz w:val="24"/>
        </w:rPr>
        <w:t>-25.</w:t>
      </w:r>
    </w:p>
    <w:p>
      <w:pPr>
        <w:pStyle w:val="ListParagraph"/>
        <w:numPr>
          <w:ilvl w:val="0"/>
          <w:numId w:val="120"/>
        </w:numPr>
        <w:tabs>
          <w:tab w:pos="1290" w:val="left" w:leader="none"/>
        </w:tabs>
        <w:spacing w:line="336" w:lineRule="auto" w:before="0" w:after="0"/>
        <w:ind w:left="1289" w:right="1360" w:hanging="440"/>
        <w:jc w:val="both"/>
        <w:rPr>
          <w:rFonts w:ascii="Calibri"/>
          <w:color w:val="FF0000"/>
          <w:sz w:val="24"/>
        </w:rPr>
      </w:pPr>
      <w:r>
        <w:rPr>
          <w:rFonts w:ascii="Calibri"/>
          <w:sz w:val="24"/>
        </w:rPr>
        <w:t>Menzies D, Adjobimey M, Ruslami R, et al. Four months of rifampin or nine months of isoniazid for latent tuberculosis in adults. N Engl J Med</w:t>
      </w:r>
      <w:r>
        <w:rPr>
          <w:rFonts w:ascii="Calibri"/>
          <w:spacing w:val="2"/>
          <w:sz w:val="24"/>
        </w:rPr>
        <w:t> </w:t>
      </w:r>
      <w:r>
        <w:rPr>
          <w:rFonts w:ascii="Calibri"/>
          <w:sz w:val="24"/>
        </w:rPr>
        <w:t>2018;379:440</w:t>
      </w:r>
      <w:r>
        <w:rPr>
          <w:rFonts w:ascii="Calibri"/>
          <w:color w:val="FF0000"/>
          <w:sz w:val="24"/>
        </w:rPr>
        <w:t>-53.</w:t>
      </w:r>
    </w:p>
    <w:p>
      <w:pPr>
        <w:spacing w:after="0" w:line="336" w:lineRule="auto"/>
        <w:jc w:val="both"/>
        <w:rPr>
          <w:rFonts w:ascii="Calibri"/>
          <w:sz w:val="24"/>
        </w:rPr>
        <w:sectPr>
          <w:pgSz w:w="12250" w:h="17190"/>
          <w:pgMar w:header="0" w:footer="748" w:top="1480" w:bottom="1020" w:left="840" w:right="0"/>
        </w:sectPr>
      </w:pPr>
    </w:p>
    <w:p>
      <w:pPr>
        <w:pStyle w:val="ListParagraph"/>
        <w:numPr>
          <w:ilvl w:val="0"/>
          <w:numId w:val="120"/>
        </w:numPr>
        <w:tabs>
          <w:tab w:pos="1290" w:val="left" w:leader="none"/>
        </w:tabs>
        <w:spacing w:line="336" w:lineRule="auto" w:before="113" w:after="0"/>
        <w:ind w:left="1290" w:right="1357" w:hanging="440"/>
        <w:jc w:val="both"/>
        <w:rPr>
          <w:rFonts w:ascii="Calibri"/>
          <w:color w:val="FF0000"/>
          <w:sz w:val="24"/>
        </w:rPr>
      </w:pPr>
      <w:r>
        <w:rPr/>
        <w:pict>
          <v:group style="position:absolute;margin-left:571.5pt;margin-top:.455706pt;width:40.9pt;height:219pt;mso-position-horizontal-relative:page;mso-position-vertical-relative:paragraph;z-index:251839488" coordorigin="11430,9" coordsize="818,4380">
            <v:shape style="position:absolute;left:11430;top:9;width:818;height:4380" coordorigin="11430,9" coordsize="818,4380" path="m12247,9l11595,9,11531,22,11478,58,11443,110,11430,174,11430,4224,11443,4288,11478,4341,11531,4376,11595,4389,12247,4389,12247,9xe" filled="true" fillcolor="#a6a6a6" stroked="false">
              <v:path arrowok="t"/>
              <v:fill type="solid"/>
            </v:shape>
            <v:shape style="position:absolute;left:11430;top:9;width:818;height:4380" type="#_x0000_t202" filled="false" stroked="false">
              <v:textbox inset="0,0,0,0">
                <w:txbxContent>
                  <w:p>
                    <w:pPr>
                      <w:spacing w:line="146" w:lineRule="auto" w:before="126"/>
                      <w:ind w:left="136" w:right="458" w:firstLine="0"/>
                      <w:jc w:val="both"/>
                      <w:rPr>
                        <w:sz w:val="22"/>
                      </w:rPr>
                    </w:pPr>
                    <w:r>
                      <w:rPr>
                        <w:sz w:val="22"/>
                      </w:rPr>
                      <w:t>第九章</w:t>
                    </w:r>
                  </w:p>
                  <w:p>
                    <w:pPr>
                      <w:spacing w:line="141" w:lineRule="auto" w:before="175"/>
                      <w:ind w:left="136" w:right="458" w:firstLine="0"/>
                      <w:jc w:val="both"/>
                      <w:rPr>
                        <w:sz w:val="22"/>
                      </w:rPr>
                    </w:pPr>
                    <w:r>
                      <w:rPr>
                        <w:sz w:val="22"/>
                      </w:rPr>
                      <w:t>愛滋病毒感染者結核病之診療</w:t>
                    </w:r>
                  </w:p>
                </w:txbxContent>
              </v:textbox>
              <w10:wrap type="none"/>
            </v:shape>
            <w10:wrap type="none"/>
          </v:group>
        </w:pict>
      </w:r>
      <w:r>
        <w:rPr>
          <w:rFonts w:ascii="Calibri"/>
          <w:sz w:val="24"/>
        </w:rPr>
        <w:t>Swindells S, Ramchandani R, Gupta A, et al. One month of rifapentine plus isoniazid to prevent HIV-related tuberculosis. N Engl J Med 2019;380:</w:t>
      </w:r>
      <w:r>
        <w:rPr>
          <w:rFonts w:ascii="Calibri"/>
          <w:spacing w:val="38"/>
          <w:sz w:val="24"/>
        </w:rPr>
        <w:t> </w:t>
      </w:r>
      <w:r>
        <w:rPr>
          <w:rFonts w:ascii="Calibri"/>
          <w:sz w:val="24"/>
        </w:rPr>
        <w:t>1001</w:t>
      </w:r>
      <w:r>
        <w:rPr>
          <w:rFonts w:ascii="Calibri"/>
          <w:color w:val="FF0000"/>
          <w:sz w:val="24"/>
        </w:rPr>
        <w:t>-11.</w:t>
      </w:r>
    </w:p>
    <w:p>
      <w:pPr>
        <w:pStyle w:val="ListParagraph"/>
        <w:numPr>
          <w:ilvl w:val="0"/>
          <w:numId w:val="120"/>
        </w:numPr>
        <w:tabs>
          <w:tab w:pos="1290" w:val="left" w:leader="none"/>
        </w:tabs>
        <w:spacing w:line="336" w:lineRule="auto" w:before="0" w:after="0"/>
        <w:ind w:left="1290" w:right="1360" w:hanging="440"/>
        <w:jc w:val="both"/>
        <w:rPr>
          <w:rFonts w:ascii="Calibri"/>
          <w:color w:val="FF0000"/>
          <w:sz w:val="24"/>
        </w:rPr>
      </w:pPr>
      <w:r>
        <w:rPr>
          <w:rFonts w:ascii="Calibri"/>
          <w:sz w:val="24"/>
        </w:rPr>
        <w:t>Podany AT, Bao Y, Swindells S, et al. Efavirenz pharmacokinetics and pharmacodynamics in HIV-infected persons receiving rifapentine and isoniazid for tuberculosis prevention. Clin Infect Dis</w:t>
      </w:r>
      <w:r>
        <w:rPr>
          <w:rFonts w:ascii="Calibri"/>
          <w:spacing w:val="12"/>
          <w:sz w:val="24"/>
        </w:rPr>
        <w:t> </w:t>
      </w:r>
      <w:r>
        <w:rPr>
          <w:rFonts w:ascii="Calibri"/>
          <w:sz w:val="24"/>
        </w:rPr>
        <w:t>2015;61:1322</w:t>
      </w:r>
      <w:r>
        <w:rPr>
          <w:rFonts w:ascii="Calibri"/>
          <w:color w:val="FF0000"/>
          <w:sz w:val="24"/>
        </w:rPr>
        <w:t>-27.</w:t>
      </w:r>
    </w:p>
    <w:p>
      <w:pPr>
        <w:pStyle w:val="ListParagraph"/>
        <w:numPr>
          <w:ilvl w:val="0"/>
          <w:numId w:val="120"/>
        </w:numPr>
        <w:tabs>
          <w:tab w:pos="1290" w:val="left" w:leader="none"/>
        </w:tabs>
        <w:spacing w:line="336" w:lineRule="auto" w:before="0" w:after="0"/>
        <w:ind w:left="1290" w:right="1362" w:hanging="440"/>
        <w:jc w:val="both"/>
        <w:rPr>
          <w:rFonts w:ascii="Calibri"/>
          <w:color w:val="FF0000"/>
          <w:sz w:val="24"/>
        </w:rPr>
      </w:pPr>
      <w:r>
        <w:rPr>
          <w:rFonts w:ascii="Calibri"/>
          <w:sz w:val="24"/>
        </w:rPr>
        <w:t>Weiner M, Egelund EF, Engle M, et al. Pharmacokinetic interaction of rifapentine and raltegravir in healthy volunteers. J Antimicrob Chemother</w:t>
      </w:r>
      <w:r>
        <w:rPr>
          <w:rFonts w:ascii="Calibri"/>
          <w:spacing w:val="45"/>
          <w:sz w:val="24"/>
        </w:rPr>
        <w:t> </w:t>
      </w:r>
      <w:r>
        <w:rPr>
          <w:rFonts w:ascii="Calibri"/>
          <w:sz w:val="24"/>
        </w:rPr>
        <w:t>2014;69:1079</w:t>
      </w:r>
      <w:r>
        <w:rPr>
          <w:rFonts w:ascii="Calibri"/>
          <w:color w:val="FF0000"/>
          <w:sz w:val="24"/>
        </w:rPr>
        <w:t>-85.</w:t>
      </w:r>
    </w:p>
    <w:p>
      <w:pPr>
        <w:pStyle w:val="ListParagraph"/>
        <w:numPr>
          <w:ilvl w:val="0"/>
          <w:numId w:val="120"/>
        </w:numPr>
        <w:tabs>
          <w:tab w:pos="1290" w:val="left" w:leader="none"/>
        </w:tabs>
        <w:spacing w:line="336" w:lineRule="auto" w:before="0" w:after="0"/>
        <w:ind w:left="1289" w:right="1358" w:hanging="440"/>
        <w:jc w:val="both"/>
        <w:rPr>
          <w:rFonts w:ascii="Calibri"/>
          <w:color w:val="FF0000"/>
          <w:sz w:val="24"/>
        </w:rPr>
      </w:pPr>
      <w:r>
        <w:rPr>
          <w:rFonts w:ascii="Calibri"/>
          <w:sz w:val="24"/>
        </w:rPr>
        <w:t>Dooley KE, Savic R, Gupte A, et al. Once-weekly rifapentine and isoniazid for tuberculosis prevention in patients with HIV taking dolutegravir-based antiretroviral therapy: a phase 1/2 trial. Lancet HIV</w:t>
      </w:r>
      <w:r>
        <w:rPr>
          <w:rFonts w:ascii="Calibri"/>
          <w:spacing w:val="14"/>
          <w:sz w:val="24"/>
        </w:rPr>
        <w:t> </w:t>
      </w:r>
      <w:r>
        <w:rPr>
          <w:rFonts w:ascii="Calibri"/>
          <w:sz w:val="24"/>
        </w:rPr>
        <w:t>2020;7:e401</w:t>
      </w:r>
      <w:r>
        <w:rPr>
          <w:rFonts w:ascii="Calibri"/>
          <w:color w:val="FF0000"/>
          <w:sz w:val="24"/>
        </w:rPr>
        <w:t>-9.</w:t>
      </w:r>
    </w:p>
    <w:p>
      <w:pPr>
        <w:pStyle w:val="ListParagraph"/>
        <w:numPr>
          <w:ilvl w:val="0"/>
          <w:numId w:val="120"/>
        </w:numPr>
        <w:tabs>
          <w:tab w:pos="1290" w:val="left" w:leader="none"/>
        </w:tabs>
        <w:spacing w:line="336" w:lineRule="auto" w:before="0" w:after="0"/>
        <w:ind w:left="1289" w:right="1357" w:hanging="440"/>
        <w:jc w:val="both"/>
        <w:rPr>
          <w:rFonts w:ascii="Calibri"/>
          <w:color w:val="FF0000"/>
          <w:sz w:val="24"/>
        </w:rPr>
      </w:pPr>
      <w:r>
        <w:rPr>
          <w:rFonts w:ascii="Calibri"/>
          <w:sz w:val="24"/>
        </w:rPr>
        <w:t>Liou BH, Cheng CN, Lin YT, et al. Short-course daily isoniazid and rifapentine for latent tuberculosis infection in people living with HIV who received coformulated bictegravir/emtricitabine/tenofovir alafenamide. J Int AIDS Soc</w:t>
      </w:r>
      <w:r>
        <w:rPr>
          <w:rFonts w:ascii="Calibri"/>
          <w:spacing w:val="21"/>
          <w:sz w:val="24"/>
        </w:rPr>
        <w:t> </w:t>
      </w:r>
      <w:r>
        <w:rPr>
          <w:rFonts w:ascii="Calibri"/>
          <w:color w:val="FF0000"/>
          <w:sz w:val="24"/>
        </w:rPr>
        <w:t>2021</w:t>
      </w:r>
      <w:r>
        <w:rPr>
          <w:rFonts w:ascii="Calibri"/>
          <w:sz w:val="24"/>
        </w:rPr>
        <w:t>;24:e25844.</w:t>
      </w:r>
    </w:p>
    <w:p>
      <w:pPr>
        <w:spacing w:after="0" w:line="336" w:lineRule="auto"/>
        <w:jc w:val="both"/>
        <w:rPr>
          <w:rFonts w:ascii="Calibri"/>
          <w:sz w:val="24"/>
        </w:rPr>
        <w:sectPr>
          <w:pgSz w:w="12250" w:h="17190"/>
          <w:pgMar w:header="0" w:footer="748" w:top="1460" w:bottom="1020" w:left="840" w:right="0"/>
        </w:sectPr>
      </w:pPr>
    </w:p>
    <w:p>
      <w:pPr>
        <w:pStyle w:val="Heading6"/>
        <w:spacing w:before="8"/>
        <w:ind w:left="1644"/>
      </w:pPr>
      <w:bookmarkStart w:name="表 9-1 國內現有常用抗愛滋病毒藥物與 rifamycin 類之交互作用" w:id="104"/>
      <w:bookmarkEnd w:id="104"/>
      <w:r>
        <w:rPr>
          <w:b w:val="0"/>
        </w:rPr>
      </w:r>
      <w:r>
        <w:rPr/>
        <w:t>表 9-1 國內現有常用抗愛滋病毒藥物與 rifamycin  類之交互作用</w:t>
      </w:r>
    </w:p>
    <w:p>
      <w:pPr>
        <w:pStyle w:val="BodyText"/>
        <w:spacing w:before="9"/>
        <w:rPr>
          <w:b/>
          <w:sz w:val="5"/>
        </w:rPr>
      </w:pPr>
    </w:p>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3"/>
        <w:gridCol w:w="2262"/>
        <w:gridCol w:w="2828"/>
        <w:gridCol w:w="2551"/>
      </w:tblGrid>
      <w:tr>
        <w:trPr>
          <w:trHeight w:val="385" w:hRule="atLeast"/>
        </w:trPr>
        <w:tc>
          <w:tcPr>
            <w:tcW w:w="2183" w:type="dxa"/>
            <w:shd w:val="clear" w:color="auto" w:fill="F1F1F1"/>
          </w:tcPr>
          <w:p>
            <w:pPr>
              <w:pStyle w:val="TableParagraph"/>
              <w:spacing w:line="366" w:lineRule="exact"/>
              <w:ind w:left="106"/>
              <w:rPr>
                <w:sz w:val="22"/>
              </w:rPr>
            </w:pPr>
            <w:r>
              <w:rPr>
                <w:sz w:val="22"/>
              </w:rPr>
              <w:t>Antiretroviral agent</w:t>
            </w:r>
          </w:p>
        </w:tc>
        <w:tc>
          <w:tcPr>
            <w:tcW w:w="2262" w:type="dxa"/>
            <w:shd w:val="clear" w:color="auto" w:fill="F1F1F1"/>
          </w:tcPr>
          <w:p>
            <w:pPr>
              <w:pStyle w:val="TableParagraph"/>
              <w:spacing w:line="366" w:lineRule="exact"/>
              <w:ind w:left="668"/>
              <w:rPr>
                <w:sz w:val="22"/>
              </w:rPr>
            </w:pPr>
            <w:r>
              <w:rPr>
                <w:sz w:val="22"/>
              </w:rPr>
              <w:t>Rifampin</w:t>
            </w:r>
          </w:p>
        </w:tc>
        <w:tc>
          <w:tcPr>
            <w:tcW w:w="2828" w:type="dxa"/>
            <w:shd w:val="clear" w:color="auto" w:fill="F1F1F1"/>
          </w:tcPr>
          <w:p>
            <w:pPr>
              <w:pStyle w:val="TableParagraph"/>
              <w:spacing w:line="366" w:lineRule="exact"/>
              <w:ind w:left="946"/>
              <w:rPr>
                <w:sz w:val="22"/>
              </w:rPr>
            </w:pPr>
            <w:r>
              <w:rPr>
                <w:sz w:val="22"/>
              </w:rPr>
              <w:t>Rifabutin</w:t>
            </w:r>
          </w:p>
        </w:tc>
        <w:tc>
          <w:tcPr>
            <w:tcW w:w="2551" w:type="dxa"/>
            <w:shd w:val="clear" w:color="auto" w:fill="F1F1F1"/>
          </w:tcPr>
          <w:p>
            <w:pPr>
              <w:pStyle w:val="TableParagraph"/>
              <w:spacing w:line="366" w:lineRule="exact"/>
              <w:ind w:left="684"/>
              <w:rPr>
                <w:sz w:val="22"/>
              </w:rPr>
            </w:pPr>
            <w:r>
              <w:rPr>
                <w:sz w:val="22"/>
              </w:rPr>
              <w:t>Rifapentine</w:t>
            </w:r>
          </w:p>
        </w:tc>
      </w:tr>
      <w:tr>
        <w:trPr>
          <w:trHeight w:val="385" w:hRule="atLeast"/>
        </w:trPr>
        <w:tc>
          <w:tcPr>
            <w:tcW w:w="9824" w:type="dxa"/>
            <w:gridSpan w:val="4"/>
          </w:tcPr>
          <w:p>
            <w:pPr>
              <w:pStyle w:val="TableParagraph"/>
              <w:spacing w:line="366" w:lineRule="exact"/>
              <w:ind w:left="1730" w:right="1719"/>
              <w:jc w:val="center"/>
              <w:rPr>
                <w:b/>
                <w:sz w:val="22"/>
              </w:rPr>
            </w:pPr>
            <w:r>
              <w:rPr>
                <w:b/>
                <w:sz w:val="22"/>
              </w:rPr>
              <w:t>Non-nucleoside reverse transcription inhibitors （NNRTIs）</w:t>
            </w:r>
          </w:p>
        </w:tc>
      </w:tr>
      <w:tr>
        <w:trPr>
          <w:trHeight w:val="1364" w:hRule="atLeast"/>
        </w:trPr>
        <w:tc>
          <w:tcPr>
            <w:tcW w:w="2183" w:type="dxa"/>
          </w:tcPr>
          <w:p>
            <w:pPr>
              <w:pStyle w:val="TableParagraph"/>
              <w:spacing w:line="213" w:lineRule="auto" w:before="38"/>
              <w:ind w:left="53" w:right="686"/>
              <w:rPr>
                <w:sz w:val="22"/>
              </w:rPr>
            </w:pPr>
            <w:r>
              <w:rPr>
                <w:sz w:val="22"/>
              </w:rPr>
              <w:t>Efavirenz (EFV)</w:t>
            </w:r>
          </w:p>
        </w:tc>
        <w:tc>
          <w:tcPr>
            <w:tcW w:w="2262" w:type="dxa"/>
          </w:tcPr>
          <w:p>
            <w:pPr>
              <w:pStyle w:val="TableParagraph"/>
              <w:spacing w:line="326" w:lineRule="exact" w:before="36"/>
              <w:ind w:left="63" w:right="23"/>
              <w:jc w:val="both"/>
              <w:rPr>
                <w:sz w:val="22"/>
              </w:rPr>
            </w:pPr>
            <w:r>
              <w:rPr>
                <w:sz w:val="22"/>
              </w:rPr>
              <w:t>EFV</w:t>
            </w:r>
            <w:r>
              <w:rPr>
                <w:spacing w:val="-6"/>
                <w:sz w:val="22"/>
              </w:rPr>
              <w:t> 濃度↓</w:t>
            </w:r>
            <w:r>
              <w:rPr>
                <w:spacing w:val="-15"/>
                <w:sz w:val="22"/>
              </w:rPr>
              <w:t>26</w:t>
            </w:r>
            <w:r>
              <w:rPr>
                <w:spacing w:val="-8"/>
                <w:sz w:val="22"/>
              </w:rPr>
              <w:t>%，可維</w:t>
            </w:r>
            <w:r>
              <w:rPr>
                <w:spacing w:val="3"/>
                <w:sz w:val="22"/>
              </w:rPr>
              <w:t>持正常劑量。</w:t>
            </w:r>
            <w:r>
              <w:rPr>
                <w:sz w:val="22"/>
              </w:rPr>
              <w:t>Rifampi </w:t>
            </w:r>
            <w:r>
              <w:rPr>
                <w:spacing w:val="15"/>
                <w:sz w:val="22"/>
              </w:rPr>
              <w:t>是使用 </w:t>
            </w:r>
            <w:r>
              <w:rPr>
                <w:sz w:val="22"/>
              </w:rPr>
              <w:t>EFV</w:t>
            </w:r>
            <w:r>
              <w:rPr>
                <w:spacing w:val="25"/>
                <w:sz w:val="22"/>
              </w:rPr>
              <w:t> 時首選</w:t>
            </w:r>
            <w:r>
              <w:rPr>
                <w:sz w:val="22"/>
              </w:rPr>
              <w:t>的抗結核藥物。</w:t>
            </w:r>
          </w:p>
        </w:tc>
        <w:tc>
          <w:tcPr>
            <w:tcW w:w="2828" w:type="dxa"/>
          </w:tcPr>
          <w:p>
            <w:pPr>
              <w:pStyle w:val="TableParagraph"/>
              <w:spacing w:line="326" w:lineRule="exact" w:before="36"/>
              <w:ind w:left="63" w:right="42"/>
              <w:jc w:val="both"/>
              <w:rPr>
                <w:sz w:val="22"/>
              </w:rPr>
            </w:pPr>
            <w:r>
              <w:rPr>
                <w:sz w:val="22"/>
              </w:rPr>
              <w:t>Rifabutin</w:t>
            </w:r>
            <w:r>
              <w:rPr>
                <w:spacing w:val="-15"/>
                <w:sz w:val="22"/>
              </w:rPr>
              <w:t> ↓ </w:t>
            </w:r>
            <w:r>
              <w:rPr>
                <w:sz w:val="22"/>
              </w:rPr>
              <w:t>38</w:t>
            </w:r>
            <w:r>
              <w:rPr>
                <w:spacing w:val="14"/>
                <w:sz w:val="22"/>
              </w:rPr>
              <w:t>% ，併用會</w:t>
            </w:r>
            <w:r>
              <w:rPr>
                <w:spacing w:val="3"/>
                <w:sz w:val="22"/>
              </w:rPr>
              <w:t>降低 </w:t>
            </w:r>
            <w:r>
              <w:rPr>
                <w:sz w:val="22"/>
              </w:rPr>
              <w:t>rifabutin</w:t>
            </w:r>
            <w:r>
              <w:rPr>
                <w:spacing w:val="7"/>
                <w:sz w:val="22"/>
              </w:rPr>
              <w:t> 濃度，建議</w:t>
            </w:r>
            <w:r>
              <w:rPr>
                <w:sz w:val="22"/>
              </w:rPr>
              <w:t>rifabutin</w:t>
            </w:r>
            <w:r>
              <w:rPr>
                <w:spacing w:val="19"/>
                <w:sz w:val="22"/>
              </w:rPr>
              <w:t> 劑量為 </w:t>
            </w:r>
            <w:r>
              <w:rPr>
                <w:sz w:val="22"/>
              </w:rPr>
              <w:t>450</w:t>
            </w:r>
            <w:r>
              <w:rPr>
                <w:spacing w:val="53"/>
                <w:sz w:val="22"/>
              </w:rPr>
              <w:t> </w:t>
            </w:r>
            <w:r>
              <w:rPr>
                <w:sz w:val="22"/>
              </w:rPr>
              <w:t>mg QD。</w:t>
            </w:r>
          </w:p>
        </w:tc>
        <w:tc>
          <w:tcPr>
            <w:tcW w:w="2551" w:type="dxa"/>
          </w:tcPr>
          <w:p>
            <w:pPr>
              <w:pStyle w:val="TableParagraph"/>
              <w:spacing w:line="194" w:lineRule="auto" w:before="60"/>
              <w:ind w:left="63" w:right="102"/>
              <w:rPr>
                <w:sz w:val="22"/>
              </w:rPr>
            </w:pPr>
            <w:r>
              <w:rPr>
                <w:sz w:val="22"/>
              </w:rPr>
              <w:t>EFV 600 mg 可維持正常劑量。</w:t>
            </w:r>
          </w:p>
        </w:tc>
      </w:tr>
      <w:tr>
        <w:trPr>
          <w:trHeight w:val="2342" w:hRule="atLeast"/>
        </w:trPr>
        <w:tc>
          <w:tcPr>
            <w:tcW w:w="2183" w:type="dxa"/>
          </w:tcPr>
          <w:p>
            <w:pPr>
              <w:pStyle w:val="TableParagraph"/>
              <w:spacing w:line="213" w:lineRule="auto" w:before="38"/>
              <w:ind w:left="53" w:right="686"/>
              <w:rPr>
                <w:sz w:val="22"/>
              </w:rPr>
            </w:pPr>
            <w:r>
              <w:rPr>
                <w:sz w:val="22"/>
              </w:rPr>
              <w:t>Etravirine (ETR)</w:t>
            </w:r>
          </w:p>
        </w:tc>
        <w:tc>
          <w:tcPr>
            <w:tcW w:w="2262" w:type="dxa"/>
          </w:tcPr>
          <w:p>
            <w:pPr>
              <w:pStyle w:val="TableParagraph"/>
              <w:spacing w:line="194" w:lineRule="auto" w:before="60"/>
              <w:ind w:left="63" w:right="52"/>
              <w:jc w:val="both"/>
              <w:rPr>
                <w:sz w:val="22"/>
              </w:rPr>
            </w:pPr>
            <w:r>
              <w:rPr>
                <w:spacing w:val="6"/>
                <w:sz w:val="22"/>
              </w:rPr>
              <w:t>可能大幅降低 </w:t>
            </w:r>
            <w:r>
              <w:rPr>
                <w:sz w:val="22"/>
              </w:rPr>
              <w:t>ETR</w:t>
            </w:r>
            <w:r>
              <w:rPr>
                <w:spacing w:val="17"/>
                <w:sz w:val="22"/>
              </w:rPr>
              <w:t> 濃</w:t>
            </w:r>
            <w:r>
              <w:rPr>
                <w:spacing w:val="-4"/>
                <w:sz w:val="22"/>
              </w:rPr>
              <w:t>度，不建議和</w:t>
            </w:r>
            <w:r>
              <w:rPr>
                <w:spacing w:val="-7"/>
                <w:sz w:val="22"/>
              </w:rPr>
              <w:t>rifampin </w:t>
            </w:r>
            <w:r>
              <w:rPr>
                <w:sz w:val="22"/>
              </w:rPr>
              <w:t>併用。</w:t>
            </w:r>
          </w:p>
        </w:tc>
        <w:tc>
          <w:tcPr>
            <w:tcW w:w="2828" w:type="dxa"/>
          </w:tcPr>
          <w:p>
            <w:pPr>
              <w:pStyle w:val="TableParagraph"/>
              <w:spacing w:line="194" w:lineRule="auto" w:before="60"/>
              <w:ind w:left="63" w:right="-15"/>
              <w:jc w:val="both"/>
              <w:rPr>
                <w:sz w:val="22"/>
              </w:rPr>
            </w:pPr>
            <w:r>
              <w:rPr>
                <w:spacing w:val="-3"/>
                <w:sz w:val="22"/>
              </w:rPr>
              <w:t>ETR </w:t>
            </w:r>
            <w:r>
              <w:rPr>
                <w:sz w:val="22"/>
              </w:rPr>
              <w:t>AUC↓37%，rifabutin 和 rifabutin</w:t>
            </w:r>
            <w:r>
              <w:rPr>
                <w:spacing w:val="-5"/>
                <w:sz w:val="22"/>
              </w:rPr>
              <w:t> 代 謝 物 </w:t>
            </w:r>
            <w:r>
              <w:rPr>
                <w:sz w:val="22"/>
              </w:rPr>
              <w:t>AUC↓ </w:t>
            </w:r>
            <w:r>
              <w:rPr>
                <w:spacing w:val="4"/>
                <w:sz w:val="22"/>
              </w:rPr>
              <w:t>17</w:t>
            </w:r>
            <w:r>
              <w:rPr>
                <w:spacing w:val="5"/>
                <w:sz w:val="22"/>
              </w:rPr>
              <w:t>%，可維持 </w:t>
            </w:r>
            <w:r>
              <w:rPr>
                <w:sz w:val="22"/>
              </w:rPr>
              <w:t>rifabutin</w:t>
            </w:r>
            <w:r>
              <w:rPr>
                <w:spacing w:val="1"/>
                <w:sz w:val="22"/>
              </w:rPr>
              <w:t> 劑量 300mg QD 。 若 ETR</w:t>
            </w:r>
            <w:r>
              <w:rPr>
                <w:spacing w:val="14"/>
                <w:sz w:val="22"/>
              </w:rPr>
              <w:t> 合</w:t>
            </w:r>
            <w:r>
              <w:rPr>
                <w:spacing w:val="12"/>
                <w:sz w:val="22"/>
              </w:rPr>
              <w:t>併使用 </w:t>
            </w:r>
            <w:r>
              <w:rPr>
                <w:spacing w:val="-7"/>
                <w:sz w:val="22"/>
              </w:rPr>
              <w:t>darunavir/ritonavir， </w:t>
            </w:r>
            <w:r>
              <w:rPr>
                <w:spacing w:val="8"/>
                <w:sz w:val="22"/>
              </w:rPr>
              <w:t>不應選用</w:t>
            </w:r>
            <w:r>
              <w:rPr>
                <w:sz w:val="22"/>
              </w:rPr>
              <w:t>rifabutin</w:t>
            </w:r>
            <w:r>
              <w:rPr>
                <w:spacing w:val="-5"/>
                <w:sz w:val="22"/>
              </w:rPr>
              <w:t> 治療結核</w:t>
            </w:r>
          </w:p>
          <w:p>
            <w:pPr>
              <w:pStyle w:val="TableParagraph"/>
              <w:spacing w:line="296" w:lineRule="exact"/>
              <w:ind w:left="63"/>
              <w:rPr>
                <w:sz w:val="22"/>
              </w:rPr>
            </w:pPr>
            <w:r>
              <w:rPr>
                <w:sz w:val="22"/>
              </w:rPr>
              <w:t>病。</w:t>
            </w:r>
          </w:p>
        </w:tc>
        <w:tc>
          <w:tcPr>
            <w:tcW w:w="2551" w:type="dxa"/>
          </w:tcPr>
          <w:p>
            <w:pPr>
              <w:pStyle w:val="TableParagraph"/>
              <w:spacing w:line="194" w:lineRule="auto" w:before="60"/>
              <w:ind w:left="63" w:right="276"/>
              <w:rPr>
                <w:sz w:val="22"/>
              </w:rPr>
            </w:pPr>
            <w:r>
              <w:rPr>
                <w:sz w:val="22"/>
              </w:rPr>
              <w:t>可能大幅降低 ETR 濃度，不建議同時使用。</w:t>
            </w:r>
          </w:p>
        </w:tc>
      </w:tr>
      <w:tr>
        <w:trPr>
          <w:trHeight w:val="1038" w:hRule="atLeast"/>
        </w:trPr>
        <w:tc>
          <w:tcPr>
            <w:tcW w:w="2183" w:type="dxa"/>
          </w:tcPr>
          <w:p>
            <w:pPr>
              <w:pStyle w:val="TableParagraph"/>
              <w:spacing w:line="213" w:lineRule="auto" w:before="38"/>
              <w:ind w:left="53" w:right="686"/>
              <w:rPr>
                <w:sz w:val="22"/>
              </w:rPr>
            </w:pPr>
            <w:r>
              <w:rPr>
                <w:sz w:val="22"/>
              </w:rPr>
              <w:t>Rilpivirine (RPV)</w:t>
            </w:r>
          </w:p>
        </w:tc>
        <w:tc>
          <w:tcPr>
            <w:tcW w:w="2262" w:type="dxa"/>
          </w:tcPr>
          <w:p>
            <w:pPr>
              <w:pStyle w:val="TableParagraph"/>
              <w:spacing w:line="326" w:lineRule="exact" w:before="36"/>
              <w:ind w:left="63" w:right="53"/>
              <w:jc w:val="both"/>
              <w:rPr>
                <w:sz w:val="22"/>
              </w:rPr>
            </w:pPr>
            <w:r>
              <w:rPr>
                <w:sz w:val="22"/>
              </w:rPr>
              <w:t>RPV</w:t>
            </w:r>
            <w:r>
              <w:rPr>
                <w:spacing w:val="23"/>
                <w:sz w:val="22"/>
              </w:rPr>
              <w:t> 濃度↓ </w:t>
            </w:r>
            <w:r>
              <w:rPr>
                <w:sz w:val="22"/>
              </w:rPr>
              <w:t>80</w:t>
            </w:r>
            <w:r>
              <w:rPr>
                <w:spacing w:val="6"/>
                <w:sz w:val="22"/>
              </w:rPr>
              <w:t>% </w:t>
            </w:r>
            <w:r>
              <w:rPr>
                <w:spacing w:val="-13"/>
                <w:sz w:val="22"/>
              </w:rPr>
              <w:t>&amp; AUC↓80</w:t>
            </w:r>
            <w:r>
              <w:rPr>
                <w:spacing w:val="-8"/>
                <w:sz w:val="22"/>
              </w:rPr>
              <w:t>%，兩者不能</w:t>
            </w:r>
            <w:r>
              <w:rPr>
                <w:sz w:val="22"/>
              </w:rPr>
              <w:t>併用。</w:t>
            </w:r>
          </w:p>
        </w:tc>
        <w:tc>
          <w:tcPr>
            <w:tcW w:w="2828" w:type="dxa"/>
          </w:tcPr>
          <w:p>
            <w:pPr>
              <w:pStyle w:val="TableParagraph"/>
              <w:spacing w:line="326" w:lineRule="exact" w:before="36"/>
              <w:ind w:left="63" w:right="51"/>
              <w:jc w:val="both"/>
              <w:rPr>
                <w:sz w:val="22"/>
              </w:rPr>
            </w:pPr>
            <w:r>
              <w:rPr>
                <w:sz w:val="22"/>
              </w:rPr>
              <w:t>RPV</w:t>
            </w:r>
            <w:r>
              <w:rPr>
                <w:spacing w:val="1"/>
                <w:sz w:val="22"/>
              </w:rPr>
              <w:t> 濃 度 ↓</w:t>
            </w:r>
            <w:r>
              <w:rPr>
                <w:sz w:val="22"/>
              </w:rPr>
              <w:t>31% &amp; AUC↓ 42</w:t>
            </w:r>
            <w:r>
              <w:rPr>
                <w:spacing w:val="-10"/>
                <w:sz w:val="22"/>
              </w:rPr>
              <w:t>% ， </w:t>
            </w:r>
            <w:r>
              <w:rPr>
                <w:sz w:val="22"/>
              </w:rPr>
              <w:t>RPV</w:t>
            </w:r>
            <w:r>
              <w:rPr>
                <w:spacing w:val="28"/>
                <w:sz w:val="22"/>
              </w:rPr>
              <w:t> 劑量應由 </w:t>
            </w:r>
            <w:r>
              <w:rPr>
                <w:spacing w:val="-5"/>
                <w:sz w:val="22"/>
              </w:rPr>
              <w:t>25 </w:t>
            </w:r>
            <w:r>
              <w:rPr>
                <w:sz w:val="22"/>
              </w:rPr>
              <w:t>mg</w:t>
            </w:r>
            <w:r>
              <w:rPr>
                <w:spacing w:val="-14"/>
                <w:sz w:val="22"/>
              </w:rPr>
              <w:t> </w:t>
            </w:r>
            <w:r>
              <w:rPr>
                <w:sz w:val="22"/>
              </w:rPr>
              <w:t>QD</w:t>
            </w:r>
            <w:r>
              <w:rPr>
                <w:spacing w:val="-3"/>
                <w:sz w:val="22"/>
              </w:rPr>
              <w:t> 調整至 </w:t>
            </w:r>
            <w:r>
              <w:rPr>
                <w:sz w:val="22"/>
              </w:rPr>
              <w:t>50mg</w:t>
            </w:r>
            <w:r>
              <w:rPr>
                <w:spacing w:val="-14"/>
                <w:sz w:val="22"/>
              </w:rPr>
              <w:t> </w:t>
            </w:r>
            <w:r>
              <w:rPr>
                <w:sz w:val="22"/>
              </w:rPr>
              <w:t>QD</w:t>
            </w:r>
            <w:r>
              <w:rPr>
                <w:spacing w:val="-11"/>
                <w:sz w:val="22"/>
              </w:rPr>
              <w:t>。</w:t>
            </w:r>
          </w:p>
        </w:tc>
        <w:tc>
          <w:tcPr>
            <w:tcW w:w="2551" w:type="dxa"/>
          </w:tcPr>
          <w:p>
            <w:pPr>
              <w:pStyle w:val="TableParagraph"/>
              <w:spacing w:line="194" w:lineRule="auto" w:before="60"/>
              <w:ind w:left="63" w:right="185"/>
              <w:rPr>
                <w:sz w:val="22"/>
              </w:rPr>
            </w:pPr>
            <w:r>
              <w:rPr>
                <w:sz w:val="22"/>
              </w:rPr>
              <w:t>RPV 濃度↓，兩者不能併用。</w:t>
            </w:r>
          </w:p>
        </w:tc>
      </w:tr>
      <w:tr>
        <w:trPr>
          <w:trHeight w:val="1689" w:hRule="atLeast"/>
        </w:trPr>
        <w:tc>
          <w:tcPr>
            <w:tcW w:w="2183" w:type="dxa"/>
          </w:tcPr>
          <w:p>
            <w:pPr>
              <w:pStyle w:val="TableParagraph"/>
              <w:spacing w:before="4"/>
              <w:ind w:left="53"/>
              <w:rPr>
                <w:sz w:val="22"/>
              </w:rPr>
            </w:pPr>
            <w:r>
              <w:rPr>
                <w:sz w:val="22"/>
              </w:rPr>
              <w:t>Doravirine (DOR)</w:t>
            </w:r>
          </w:p>
        </w:tc>
        <w:tc>
          <w:tcPr>
            <w:tcW w:w="2262" w:type="dxa"/>
          </w:tcPr>
          <w:p>
            <w:pPr>
              <w:pStyle w:val="TableParagraph"/>
              <w:spacing w:line="365" w:lineRule="exact" w:before="4"/>
              <w:ind w:left="63"/>
              <w:rPr>
                <w:sz w:val="22"/>
              </w:rPr>
            </w:pPr>
            <w:r>
              <w:rPr>
                <w:sz w:val="22"/>
              </w:rPr>
              <w:t>DOR AUC↓88%，兩</w:t>
            </w:r>
          </w:p>
          <w:p>
            <w:pPr>
              <w:pStyle w:val="TableParagraph"/>
              <w:spacing w:line="365" w:lineRule="exact"/>
              <w:ind w:left="62"/>
              <w:rPr>
                <w:sz w:val="22"/>
              </w:rPr>
            </w:pPr>
            <w:r>
              <w:rPr>
                <w:sz w:val="22"/>
              </w:rPr>
              <w:t>者不能併用。</w:t>
            </w:r>
          </w:p>
        </w:tc>
        <w:tc>
          <w:tcPr>
            <w:tcW w:w="2828" w:type="dxa"/>
          </w:tcPr>
          <w:p>
            <w:pPr>
              <w:pStyle w:val="TableParagraph"/>
              <w:spacing w:line="194" w:lineRule="auto" w:before="60"/>
              <w:ind w:left="62" w:right="-15"/>
              <w:jc w:val="both"/>
              <w:rPr>
                <w:sz w:val="22"/>
              </w:rPr>
            </w:pPr>
            <w:r>
              <w:rPr>
                <w:sz w:val="22"/>
              </w:rPr>
              <w:t>DOR AUC ↓ 50% ， 建 議DOR 由 100 mg QD 增加劑量到 100 mg 每日兩次使用。Rifabutin 不需改變劑</w:t>
            </w:r>
          </w:p>
          <w:p>
            <w:pPr>
              <w:pStyle w:val="TableParagraph"/>
              <w:spacing w:line="298" w:lineRule="exact"/>
              <w:ind w:left="62"/>
              <w:rPr>
                <w:sz w:val="22"/>
              </w:rPr>
            </w:pPr>
            <w:r>
              <w:rPr>
                <w:w w:val="99"/>
                <w:sz w:val="22"/>
              </w:rPr>
              <w:t>量</w:t>
            </w:r>
          </w:p>
        </w:tc>
        <w:tc>
          <w:tcPr>
            <w:tcW w:w="2551" w:type="dxa"/>
          </w:tcPr>
          <w:p>
            <w:pPr>
              <w:pStyle w:val="TableParagraph"/>
              <w:spacing w:line="194" w:lineRule="auto" w:before="60"/>
              <w:ind w:left="63" w:right="118"/>
              <w:rPr>
                <w:sz w:val="22"/>
              </w:rPr>
            </w:pPr>
            <w:r>
              <w:rPr>
                <w:sz w:val="22"/>
              </w:rPr>
              <w:t>DOR 濃度↓，兩者不能併用。</w:t>
            </w:r>
          </w:p>
        </w:tc>
      </w:tr>
      <w:tr>
        <w:trPr>
          <w:trHeight w:val="410" w:hRule="atLeast"/>
        </w:trPr>
        <w:tc>
          <w:tcPr>
            <w:tcW w:w="9824" w:type="dxa"/>
            <w:gridSpan w:val="4"/>
          </w:tcPr>
          <w:p>
            <w:pPr>
              <w:pStyle w:val="TableParagraph"/>
              <w:spacing w:line="384" w:lineRule="exact" w:before="6"/>
              <w:ind w:left="1730" w:right="1717"/>
              <w:jc w:val="center"/>
              <w:rPr>
                <w:b/>
                <w:sz w:val="22"/>
              </w:rPr>
            </w:pPr>
            <w:r>
              <w:rPr>
                <w:b/>
                <w:sz w:val="22"/>
              </w:rPr>
              <w:t>Protease inhibitors （PIs）</w:t>
            </w:r>
          </w:p>
        </w:tc>
      </w:tr>
      <w:tr>
        <w:trPr>
          <w:trHeight w:val="2016" w:hRule="atLeast"/>
        </w:trPr>
        <w:tc>
          <w:tcPr>
            <w:tcW w:w="2183" w:type="dxa"/>
          </w:tcPr>
          <w:p>
            <w:pPr>
              <w:pStyle w:val="TableParagraph"/>
              <w:spacing w:line="213" w:lineRule="auto" w:before="38"/>
              <w:ind w:left="53" w:right="686"/>
              <w:rPr>
                <w:sz w:val="22"/>
              </w:rPr>
            </w:pPr>
            <w:r>
              <w:rPr>
                <w:sz w:val="22"/>
              </w:rPr>
              <w:t>Atazanavir (ATV)</w:t>
            </w:r>
          </w:p>
        </w:tc>
        <w:tc>
          <w:tcPr>
            <w:tcW w:w="2262" w:type="dxa"/>
          </w:tcPr>
          <w:p>
            <w:pPr>
              <w:pStyle w:val="TableParagraph"/>
              <w:spacing w:line="194" w:lineRule="auto" w:before="60"/>
              <w:ind w:left="63" w:right="35"/>
              <w:jc w:val="both"/>
              <w:rPr>
                <w:sz w:val="22"/>
              </w:rPr>
            </w:pPr>
            <w:r>
              <w:rPr>
                <w:sz w:val="22"/>
              </w:rPr>
              <w:t>PI 濃度↓大約 75%； 所有蛋白酶抑制劑都不建議和 rifampin 併用。</w:t>
            </w:r>
          </w:p>
        </w:tc>
        <w:tc>
          <w:tcPr>
            <w:tcW w:w="2828" w:type="dxa"/>
          </w:tcPr>
          <w:p>
            <w:pPr>
              <w:pStyle w:val="TableParagraph"/>
              <w:spacing w:line="194" w:lineRule="auto" w:before="60"/>
              <w:ind w:left="63" w:right="42"/>
              <w:jc w:val="both"/>
              <w:rPr>
                <w:sz w:val="22"/>
              </w:rPr>
            </w:pPr>
            <w:r>
              <w:rPr>
                <w:sz w:val="22"/>
              </w:rPr>
              <w:t>ATV 濃度沒有影響，但是會</w:t>
            </w:r>
            <w:r>
              <w:rPr>
                <w:spacing w:val="3"/>
                <w:sz w:val="22"/>
              </w:rPr>
              <w:t>增加 </w:t>
            </w:r>
            <w:r>
              <w:rPr>
                <w:sz w:val="22"/>
              </w:rPr>
              <w:t>rifabutin</w:t>
            </w:r>
            <w:r>
              <w:rPr>
                <w:spacing w:val="7"/>
                <w:sz w:val="22"/>
              </w:rPr>
              <w:t> 濃度。建議</w:t>
            </w:r>
            <w:r>
              <w:rPr>
                <w:spacing w:val="-6"/>
                <w:sz w:val="22"/>
              </w:rPr>
              <w:t>rifabutin</w:t>
            </w:r>
            <w:r>
              <w:rPr>
                <w:spacing w:val="-2"/>
                <w:sz w:val="22"/>
              </w:rPr>
              <w:t> 劑量由原來</w:t>
            </w:r>
            <w:r>
              <w:rPr>
                <w:sz w:val="22"/>
              </w:rPr>
              <w:t>300mg QD</w:t>
            </w:r>
            <w:r>
              <w:rPr>
                <w:spacing w:val="13"/>
                <w:sz w:val="22"/>
              </w:rPr>
              <w:t> 減為 </w:t>
            </w:r>
            <w:r>
              <w:rPr>
                <w:sz w:val="22"/>
              </w:rPr>
              <w:t>150 mg QD。</w:t>
            </w:r>
          </w:p>
        </w:tc>
        <w:tc>
          <w:tcPr>
            <w:tcW w:w="2551" w:type="dxa"/>
          </w:tcPr>
          <w:p>
            <w:pPr>
              <w:pStyle w:val="TableParagraph"/>
              <w:spacing w:line="194" w:lineRule="auto" w:before="60"/>
              <w:ind w:left="63" w:right="105"/>
              <w:rPr>
                <w:sz w:val="22"/>
              </w:rPr>
            </w:pPr>
            <w:r>
              <w:rPr>
                <w:sz w:val="22"/>
              </w:rPr>
              <w:t>Rifapentine 對於CYP3A4 induction 的效果雖然比 rifampin 差， 但比 rifabutin 強。同時使用預計會下降 ATV 濃</w:t>
            </w:r>
          </w:p>
          <w:p>
            <w:pPr>
              <w:pStyle w:val="TableParagraph"/>
              <w:spacing w:line="298" w:lineRule="exact"/>
              <w:ind w:left="63"/>
              <w:rPr>
                <w:sz w:val="22"/>
              </w:rPr>
            </w:pPr>
            <w:r>
              <w:rPr>
                <w:sz w:val="22"/>
              </w:rPr>
              <w:t>度，因此不建議。</w:t>
            </w:r>
          </w:p>
        </w:tc>
      </w:tr>
      <w:tr>
        <w:trPr>
          <w:trHeight w:val="2015" w:hRule="atLeast"/>
        </w:trPr>
        <w:tc>
          <w:tcPr>
            <w:tcW w:w="2183" w:type="dxa"/>
          </w:tcPr>
          <w:p>
            <w:pPr>
              <w:pStyle w:val="TableParagraph"/>
              <w:spacing w:line="365" w:lineRule="exact" w:before="4"/>
              <w:ind w:left="53"/>
              <w:rPr>
                <w:sz w:val="22"/>
              </w:rPr>
            </w:pPr>
            <w:r>
              <w:rPr>
                <w:sz w:val="22"/>
              </w:rPr>
              <w:t>Lopinavir/ritonavir</w:t>
            </w:r>
          </w:p>
          <w:p>
            <w:pPr>
              <w:pStyle w:val="TableParagraph"/>
              <w:spacing w:line="365" w:lineRule="exact"/>
              <w:ind w:left="53"/>
              <w:rPr>
                <w:sz w:val="22"/>
              </w:rPr>
            </w:pPr>
            <w:r>
              <w:rPr>
                <w:sz w:val="22"/>
              </w:rPr>
              <w:t>（LPV/r）</w:t>
            </w:r>
          </w:p>
        </w:tc>
        <w:tc>
          <w:tcPr>
            <w:tcW w:w="2262" w:type="dxa"/>
          </w:tcPr>
          <w:p>
            <w:pPr>
              <w:pStyle w:val="TableParagraph"/>
              <w:spacing w:line="194" w:lineRule="auto" w:before="60"/>
              <w:ind w:left="63" w:right="35"/>
              <w:jc w:val="both"/>
              <w:rPr>
                <w:sz w:val="22"/>
              </w:rPr>
            </w:pPr>
            <w:r>
              <w:rPr>
                <w:sz w:val="22"/>
              </w:rPr>
              <w:t>PI 濃度↓大約 75%； 所有蛋白酶抑制劑都不建議和 rifampin 併用。</w:t>
            </w:r>
          </w:p>
        </w:tc>
        <w:tc>
          <w:tcPr>
            <w:tcW w:w="2828" w:type="dxa"/>
          </w:tcPr>
          <w:p>
            <w:pPr>
              <w:pStyle w:val="TableParagraph"/>
              <w:spacing w:line="192" w:lineRule="auto" w:before="63"/>
              <w:ind w:left="63" w:right="28"/>
              <w:rPr>
                <w:sz w:val="22"/>
              </w:rPr>
            </w:pPr>
            <w:r>
              <w:rPr>
                <w:spacing w:val="10"/>
                <w:sz w:val="22"/>
              </w:rPr>
              <w:t>併 </w:t>
            </w:r>
            <w:r>
              <w:rPr>
                <w:sz w:val="22"/>
              </w:rPr>
              <w:t>LPV/r，</w:t>
            </w:r>
            <w:r>
              <w:rPr>
                <w:spacing w:val="5"/>
                <w:sz w:val="22"/>
              </w:rPr>
              <w:t>和單用 </w:t>
            </w:r>
            <w:r>
              <w:rPr>
                <w:sz w:val="22"/>
              </w:rPr>
              <w:t>rifabutin </w:t>
            </w:r>
            <w:r>
              <w:rPr>
                <w:spacing w:val="-3"/>
                <w:sz w:val="22"/>
              </w:rPr>
              <w:t>300 </w:t>
            </w:r>
            <w:r>
              <w:rPr>
                <w:sz w:val="22"/>
              </w:rPr>
              <w:t>mg</w:t>
            </w:r>
            <w:r>
              <w:rPr>
                <w:spacing w:val="-8"/>
                <w:sz w:val="22"/>
              </w:rPr>
              <w:t> 相比，</w:t>
            </w:r>
            <w:r>
              <w:rPr>
                <w:spacing w:val="-7"/>
                <w:sz w:val="22"/>
              </w:rPr>
              <w:t>rifabutinAUC</w:t>
            </w:r>
          </w:p>
          <w:p>
            <w:pPr>
              <w:pStyle w:val="TableParagraph"/>
              <w:spacing w:line="194" w:lineRule="auto" w:before="1"/>
              <w:ind w:left="63" w:right="52" w:hanging="1"/>
              <w:rPr>
                <w:sz w:val="22"/>
              </w:rPr>
            </w:pPr>
            <w:r>
              <w:rPr>
                <w:sz w:val="22"/>
              </w:rPr>
              <w:t>↑ 473%。因此， rifabutin 劑量為 150 mg QD。</w:t>
            </w:r>
          </w:p>
        </w:tc>
        <w:tc>
          <w:tcPr>
            <w:tcW w:w="2551" w:type="dxa"/>
          </w:tcPr>
          <w:p>
            <w:pPr>
              <w:pStyle w:val="TableParagraph"/>
              <w:spacing w:line="194" w:lineRule="auto" w:before="60"/>
              <w:ind w:left="63" w:right="100"/>
              <w:rPr>
                <w:sz w:val="22"/>
              </w:rPr>
            </w:pPr>
            <w:r>
              <w:rPr>
                <w:sz w:val="22"/>
              </w:rPr>
              <w:t>Rifapentine 對於CYP3A4 induction 的效果雖然比 rifampin 差， 但比 rifabutin 強。同時使用預計會下降 LPV/r</w:t>
            </w:r>
          </w:p>
          <w:p>
            <w:pPr>
              <w:pStyle w:val="TableParagraph"/>
              <w:spacing w:line="297" w:lineRule="exact"/>
              <w:ind w:left="63"/>
              <w:rPr>
                <w:sz w:val="22"/>
              </w:rPr>
            </w:pPr>
            <w:r>
              <w:rPr>
                <w:sz w:val="22"/>
              </w:rPr>
              <w:t>濃度，因此不建議。</w:t>
            </w:r>
          </w:p>
        </w:tc>
      </w:tr>
      <w:tr>
        <w:trPr>
          <w:trHeight w:val="2016" w:hRule="atLeast"/>
        </w:trPr>
        <w:tc>
          <w:tcPr>
            <w:tcW w:w="2183" w:type="dxa"/>
          </w:tcPr>
          <w:p>
            <w:pPr>
              <w:pStyle w:val="TableParagraph"/>
              <w:spacing w:line="365" w:lineRule="exact" w:before="4"/>
              <w:ind w:left="53"/>
              <w:rPr>
                <w:sz w:val="22"/>
              </w:rPr>
            </w:pPr>
            <w:r>
              <w:rPr>
                <w:sz w:val="22"/>
              </w:rPr>
              <w:t>Darunavir/cobicistat</w:t>
            </w:r>
          </w:p>
          <w:p>
            <w:pPr>
              <w:pStyle w:val="TableParagraph"/>
              <w:spacing w:line="365" w:lineRule="exact"/>
              <w:ind w:left="53"/>
              <w:rPr>
                <w:sz w:val="22"/>
              </w:rPr>
            </w:pPr>
            <w:r>
              <w:rPr>
                <w:sz w:val="22"/>
              </w:rPr>
              <w:t>（DRV/c）</w:t>
            </w:r>
          </w:p>
        </w:tc>
        <w:tc>
          <w:tcPr>
            <w:tcW w:w="2262" w:type="dxa"/>
          </w:tcPr>
          <w:p>
            <w:pPr>
              <w:pStyle w:val="TableParagraph"/>
              <w:spacing w:line="194" w:lineRule="auto" w:before="60"/>
              <w:ind w:left="63" w:right="35"/>
              <w:jc w:val="both"/>
              <w:rPr>
                <w:sz w:val="22"/>
              </w:rPr>
            </w:pPr>
            <w:r>
              <w:rPr>
                <w:sz w:val="22"/>
              </w:rPr>
              <w:t>PI 濃度↓大約 75%； 所有蛋白酶抑制劑都不建議和 rifampin 併用。</w:t>
            </w:r>
          </w:p>
        </w:tc>
        <w:tc>
          <w:tcPr>
            <w:tcW w:w="2828" w:type="dxa"/>
          </w:tcPr>
          <w:p>
            <w:pPr>
              <w:pStyle w:val="TableParagraph"/>
              <w:spacing w:line="194" w:lineRule="auto" w:before="60"/>
              <w:ind w:left="63" w:right="23"/>
              <w:jc w:val="both"/>
              <w:rPr>
                <w:sz w:val="22"/>
              </w:rPr>
            </w:pPr>
            <w:r>
              <w:rPr>
                <w:spacing w:val="-4"/>
                <w:sz w:val="22"/>
              </w:rPr>
              <w:t>Rifabutin 濃度增加，</w:t>
            </w:r>
            <w:r>
              <w:rPr>
                <w:sz w:val="22"/>
              </w:rPr>
              <w:t>DRV/c </w:t>
            </w:r>
            <w:r>
              <w:rPr>
                <w:spacing w:val="18"/>
                <w:sz w:val="22"/>
              </w:rPr>
              <w:t>濃度下降， 不建議同時使</w:t>
            </w:r>
            <w:r>
              <w:rPr>
                <w:sz w:val="22"/>
              </w:rPr>
              <w:t>用。</w:t>
            </w:r>
          </w:p>
        </w:tc>
        <w:tc>
          <w:tcPr>
            <w:tcW w:w="2551" w:type="dxa"/>
          </w:tcPr>
          <w:p>
            <w:pPr>
              <w:pStyle w:val="TableParagraph"/>
              <w:spacing w:line="194" w:lineRule="auto" w:before="60"/>
              <w:ind w:left="63" w:right="126"/>
              <w:rPr>
                <w:sz w:val="22"/>
              </w:rPr>
            </w:pPr>
            <w:r>
              <w:rPr>
                <w:sz w:val="22"/>
              </w:rPr>
              <w:t>Rifapentine 對於CYP3A4 induction 的效果雖然比 rifampin 差， 但比 rifabutin 強。同時使用預計會下降 DRV/c</w:t>
            </w:r>
          </w:p>
          <w:p>
            <w:pPr>
              <w:pStyle w:val="TableParagraph"/>
              <w:spacing w:line="298" w:lineRule="exact"/>
              <w:ind w:left="63"/>
              <w:rPr>
                <w:sz w:val="22"/>
              </w:rPr>
            </w:pPr>
            <w:r>
              <w:rPr>
                <w:sz w:val="22"/>
              </w:rPr>
              <w:t>濃度，因此不建議。</w:t>
            </w:r>
          </w:p>
        </w:tc>
      </w:tr>
    </w:tbl>
    <w:p>
      <w:pPr>
        <w:spacing w:after="0" w:line="298" w:lineRule="exact"/>
        <w:rPr>
          <w:sz w:val="22"/>
        </w:rPr>
        <w:sectPr>
          <w:pgSz w:w="12250" w:h="17190"/>
          <w:pgMar w:header="0" w:footer="748" w:top="1420" w:bottom="1020" w:left="840" w:right="0"/>
        </w:sectPr>
      </w:pPr>
    </w:p>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3"/>
        <w:gridCol w:w="2262"/>
        <w:gridCol w:w="2828"/>
        <w:gridCol w:w="2551"/>
      </w:tblGrid>
      <w:tr>
        <w:trPr>
          <w:trHeight w:val="386" w:hRule="atLeast"/>
        </w:trPr>
        <w:tc>
          <w:tcPr>
            <w:tcW w:w="2183" w:type="dxa"/>
            <w:shd w:val="clear" w:color="auto" w:fill="F1F1F1"/>
          </w:tcPr>
          <w:p>
            <w:pPr>
              <w:pStyle w:val="TableParagraph"/>
              <w:spacing w:line="366" w:lineRule="exact"/>
              <w:ind w:left="106"/>
              <w:rPr>
                <w:sz w:val="22"/>
              </w:rPr>
            </w:pPr>
            <w:r>
              <w:rPr>
                <w:sz w:val="22"/>
              </w:rPr>
              <w:t>Antiretroviral agent</w:t>
            </w:r>
          </w:p>
        </w:tc>
        <w:tc>
          <w:tcPr>
            <w:tcW w:w="2262" w:type="dxa"/>
            <w:shd w:val="clear" w:color="auto" w:fill="F1F1F1"/>
          </w:tcPr>
          <w:p>
            <w:pPr>
              <w:pStyle w:val="TableParagraph"/>
              <w:spacing w:line="366" w:lineRule="exact"/>
              <w:ind w:left="668"/>
              <w:rPr>
                <w:sz w:val="22"/>
              </w:rPr>
            </w:pPr>
            <w:r>
              <w:rPr>
                <w:sz w:val="22"/>
              </w:rPr>
              <w:t>Rifampin</w:t>
            </w:r>
          </w:p>
        </w:tc>
        <w:tc>
          <w:tcPr>
            <w:tcW w:w="2828" w:type="dxa"/>
            <w:shd w:val="clear" w:color="auto" w:fill="F1F1F1"/>
          </w:tcPr>
          <w:p>
            <w:pPr>
              <w:pStyle w:val="TableParagraph"/>
              <w:spacing w:line="366" w:lineRule="exact"/>
              <w:ind w:left="946"/>
              <w:rPr>
                <w:sz w:val="22"/>
              </w:rPr>
            </w:pPr>
            <w:r>
              <w:rPr>
                <w:sz w:val="22"/>
              </w:rPr>
              <w:t>Rifabutin</w:t>
            </w:r>
          </w:p>
        </w:tc>
        <w:tc>
          <w:tcPr>
            <w:tcW w:w="2551" w:type="dxa"/>
            <w:shd w:val="clear" w:color="auto" w:fill="F1F1F1"/>
          </w:tcPr>
          <w:p>
            <w:pPr>
              <w:pStyle w:val="TableParagraph"/>
              <w:spacing w:line="366" w:lineRule="exact"/>
              <w:ind w:left="684"/>
              <w:rPr>
                <w:sz w:val="22"/>
              </w:rPr>
            </w:pPr>
            <w:r>
              <w:rPr>
                <w:sz w:val="22"/>
              </w:rPr>
              <w:t>Rifapentine</w:t>
            </w:r>
          </w:p>
        </w:tc>
      </w:tr>
      <w:tr>
        <w:trPr>
          <w:trHeight w:val="433" w:hRule="atLeast"/>
        </w:trPr>
        <w:tc>
          <w:tcPr>
            <w:tcW w:w="9824" w:type="dxa"/>
            <w:gridSpan w:val="4"/>
          </w:tcPr>
          <w:p>
            <w:pPr>
              <w:pStyle w:val="TableParagraph"/>
              <w:spacing w:line="389" w:lineRule="exact" w:before="25"/>
              <w:ind w:left="1730" w:right="1716"/>
              <w:jc w:val="center"/>
              <w:rPr>
                <w:b/>
                <w:sz w:val="22"/>
              </w:rPr>
            </w:pPr>
            <w:r>
              <w:rPr>
                <w:b/>
                <w:sz w:val="22"/>
              </w:rPr>
              <w:t>Integrase strand transfer inhibitors （INSTIs）</w:t>
            </w:r>
          </w:p>
        </w:tc>
      </w:tr>
      <w:tr>
        <w:trPr>
          <w:trHeight w:val="3682" w:hRule="atLeast"/>
        </w:trPr>
        <w:tc>
          <w:tcPr>
            <w:tcW w:w="2183" w:type="dxa"/>
          </w:tcPr>
          <w:p>
            <w:pPr>
              <w:pStyle w:val="TableParagraph"/>
              <w:spacing w:line="213" w:lineRule="auto" w:before="38"/>
              <w:ind w:left="53" w:right="686"/>
              <w:rPr>
                <w:sz w:val="22"/>
              </w:rPr>
            </w:pPr>
            <w:r>
              <w:rPr>
                <w:sz w:val="22"/>
              </w:rPr>
              <w:t>Raltegravir (RAL)</w:t>
            </w:r>
          </w:p>
        </w:tc>
        <w:tc>
          <w:tcPr>
            <w:tcW w:w="2262" w:type="dxa"/>
          </w:tcPr>
          <w:p>
            <w:pPr>
              <w:pStyle w:val="TableParagraph"/>
              <w:spacing w:line="194" w:lineRule="auto" w:before="60"/>
              <w:ind w:left="63" w:right="52"/>
              <w:jc w:val="both"/>
              <w:rPr>
                <w:sz w:val="22"/>
              </w:rPr>
            </w:pPr>
            <w:r>
              <w:rPr>
                <w:sz w:val="22"/>
              </w:rPr>
              <w:t>RAL</w:t>
            </w:r>
            <w:r>
              <w:rPr>
                <w:spacing w:val="-10"/>
                <w:sz w:val="22"/>
              </w:rPr>
              <w:t> </w:t>
            </w:r>
            <w:r>
              <w:rPr>
                <w:sz w:val="22"/>
              </w:rPr>
              <w:t>400</w:t>
            </w:r>
            <w:r>
              <w:rPr>
                <w:spacing w:val="-7"/>
                <w:sz w:val="22"/>
              </w:rPr>
              <w:t> </w:t>
            </w:r>
            <w:r>
              <w:rPr>
                <w:sz w:val="22"/>
              </w:rPr>
              <w:t>mg</w:t>
            </w:r>
            <w:r>
              <w:rPr>
                <w:spacing w:val="-8"/>
                <w:sz w:val="22"/>
              </w:rPr>
              <w:t> </w:t>
            </w:r>
            <w:r>
              <w:rPr>
                <w:sz w:val="22"/>
              </w:rPr>
              <w:t>BID</w:t>
            </w:r>
            <w:r>
              <w:rPr>
                <w:spacing w:val="-2"/>
                <w:sz w:val="22"/>
              </w:rPr>
              <w:t> 併用rifampin</w:t>
            </w:r>
            <w:r>
              <w:rPr>
                <w:spacing w:val="3"/>
                <w:sz w:val="22"/>
              </w:rPr>
              <w:t> 時 ，AUC↓ </w:t>
            </w:r>
            <w:r>
              <w:rPr>
                <w:spacing w:val="5"/>
                <w:sz w:val="22"/>
              </w:rPr>
              <w:t>40</w:t>
            </w:r>
            <w:r>
              <w:rPr>
                <w:spacing w:val="-4"/>
                <w:sz w:val="22"/>
              </w:rPr>
              <w:t>%； 濃度↓ </w:t>
            </w:r>
            <w:r>
              <w:rPr>
                <w:spacing w:val="6"/>
                <w:sz w:val="22"/>
              </w:rPr>
              <w:t>61</w:t>
            </w:r>
            <w:r>
              <w:rPr>
                <w:spacing w:val="3"/>
                <w:sz w:val="22"/>
              </w:rPr>
              <w:t>%。</w:t>
            </w:r>
            <w:r>
              <w:rPr>
                <w:spacing w:val="25"/>
                <w:sz w:val="22"/>
              </w:rPr>
              <w:t>併用時需把 </w:t>
            </w:r>
            <w:r>
              <w:rPr>
                <w:sz w:val="22"/>
              </w:rPr>
              <w:t>RAL</w:t>
            </w:r>
            <w:r>
              <w:rPr>
                <w:spacing w:val="5"/>
                <w:sz w:val="22"/>
              </w:rPr>
              <w:t> 建</w:t>
            </w:r>
            <w:r>
              <w:rPr>
                <w:sz w:val="22"/>
              </w:rPr>
              <w:t>議劑量由 400 mg </w:t>
            </w:r>
            <w:r>
              <w:rPr>
                <w:spacing w:val="-6"/>
                <w:sz w:val="22"/>
              </w:rPr>
              <w:t>BID </w:t>
            </w:r>
            <w:r>
              <w:rPr>
                <w:spacing w:val="-1"/>
                <w:sz w:val="22"/>
              </w:rPr>
              <w:t>改為 </w:t>
            </w:r>
            <w:r>
              <w:rPr>
                <w:sz w:val="22"/>
              </w:rPr>
              <w:t>800</w:t>
            </w:r>
            <w:r>
              <w:rPr>
                <w:spacing w:val="-1"/>
                <w:sz w:val="22"/>
              </w:rPr>
              <w:t> </w:t>
            </w:r>
            <w:r>
              <w:rPr>
                <w:sz w:val="22"/>
              </w:rPr>
              <w:t>mg</w:t>
            </w:r>
            <w:r>
              <w:rPr>
                <w:spacing w:val="-1"/>
                <w:sz w:val="22"/>
              </w:rPr>
              <w:t> </w:t>
            </w:r>
            <w:r>
              <w:rPr>
                <w:sz w:val="22"/>
              </w:rPr>
              <w:t>BID。</w:t>
            </w:r>
          </w:p>
        </w:tc>
        <w:tc>
          <w:tcPr>
            <w:tcW w:w="2828" w:type="dxa"/>
          </w:tcPr>
          <w:p>
            <w:pPr>
              <w:pStyle w:val="TableParagraph"/>
              <w:spacing w:line="194" w:lineRule="auto" w:before="60"/>
              <w:ind w:left="63" w:right="21"/>
              <w:jc w:val="both"/>
              <w:rPr>
                <w:sz w:val="22"/>
              </w:rPr>
            </w:pPr>
            <w:r>
              <w:rPr>
                <w:sz w:val="22"/>
              </w:rPr>
              <w:t>RAL 400 mg BID</w:t>
            </w:r>
            <w:r>
              <w:rPr>
                <w:spacing w:val="-1"/>
                <w:sz w:val="22"/>
              </w:rPr>
              <w:t> 併 用rifabutin</w:t>
            </w:r>
            <w:r>
              <w:rPr>
                <w:spacing w:val="-8"/>
                <w:sz w:val="22"/>
              </w:rPr>
              <w:t> 時 ，</w:t>
            </w:r>
            <w:r>
              <w:rPr>
                <w:spacing w:val="-4"/>
                <w:sz w:val="22"/>
              </w:rPr>
              <w:t>AUC↑19%， </w:t>
            </w:r>
            <w:r>
              <w:rPr>
                <w:sz w:val="22"/>
              </w:rPr>
              <w:t>不需調整劑量。</w:t>
            </w:r>
          </w:p>
        </w:tc>
        <w:tc>
          <w:tcPr>
            <w:tcW w:w="2551" w:type="dxa"/>
          </w:tcPr>
          <w:p>
            <w:pPr>
              <w:pStyle w:val="TableParagraph"/>
              <w:numPr>
                <w:ilvl w:val="0"/>
                <w:numId w:val="121"/>
              </w:numPr>
              <w:tabs>
                <w:tab w:pos="285" w:val="left" w:leader="none"/>
              </w:tabs>
              <w:spacing w:line="194" w:lineRule="auto" w:before="60" w:after="0"/>
              <w:ind w:left="284" w:right="53" w:hanging="221"/>
              <w:jc w:val="left"/>
              <w:rPr>
                <w:sz w:val="22"/>
              </w:rPr>
            </w:pPr>
            <w:r>
              <w:rPr>
                <w:sz w:val="22"/>
              </w:rPr>
              <w:t>RAL</w:t>
            </w:r>
            <w:r>
              <w:rPr>
                <w:spacing w:val="-3"/>
                <w:sz w:val="22"/>
              </w:rPr>
              <w:t> </w:t>
            </w:r>
            <w:r>
              <w:rPr>
                <w:sz w:val="22"/>
              </w:rPr>
              <w:t>400</w:t>
            </w:r>
            <w:r>
              <w:rPr>
                <w:spacing w:val="-1"/>
                <w:sz w:val="22"/>
              </w:rPr>
              <w:t> </w:t>
            </w:r>
            <w:r>
              <w:rPr>
                <w:sz w:val="22"/>
              </w:rPr>
              <w:t>mg</w:t>
            </w:r>
            <w:r>
              <w:rPr>
                <w:spacing w:val="-1"/>
                <w:sz w:val="22"/>
              </w:rPr>
              <w:t> </w:t>
            </w:r>
            <w:r>
              <w:rPr>
                <w:sz w:val="22"/>
              </w:rPr>
              <w:t>BID</w:t>
            </w:r>
            <w:r>
              <w:rPr>
                <w:spacing w:val="-1"/>
                <w:sz w:val="22"/>
              </w:rPr>
              <w:t> 併用rifapentine 900 mg once</w:t>
            </w:r>
            <w:r>
              <w:rPr>
                <w:spacing w:val="-4"/>
                <w:sz w:val="22"/>
              </w:rPr>
              <w:t> </w:t>
            </w:r>
            <w:r>
              <w:rPr>
                <w:sz w:val="22"/>
              </w:rPr>
              <w:t>weekly</w:t>
            </w:r>
            <w:r>
              <w:rPr>
                <w:spacing w:val="-4"/>
                <w:sz w:val="22"/>
              </w:rPr>
              <w:t> 使用時， </w:t>
            </w:r>
            <w:r>
              <w:rPr>
                <w:sz w:val="22"/>
              </w:rPr>
              <w:t>RAL↑71%，不需調整劑量。</w:t>
            </w:r>
          </w:p>
          <w:p>
            <w:pPr>
              <w:pStyle w:val="TableParagraph"/>
              <w:numPr>
                <w:ilvl w:val="0"/>
                <w:numId w:val="121"/>
              </w:numPr>
              <w:tabs>
                <w:tab w:pos="285" w:val="left" w:leader="none"/>
              </w:tabs>
              <w:spacing w:line="194" w:lineRule="auto" w:before="28" w:after="0"/>
              <w:ind w:left="284" w:right="193" w:hanging="221"/>
              <w:jc w:val="left"/>
              <w:rPr>
                <w:sz w:val="22"/>
              </w:rPr>
            </w:pPr>
            <w:r>
              <w:rPr>
                <w:sz w:val="22"/>
              </w:rPr>
              <w:t>但是如果併用</w:t>
            </w:r>
            <w:r>
              <w:rPr>
                <w:spacing w:val="-4"/>
                <w:sz w:val="22"/>
              </w:rPr>
              <w:t>rifapentine </w:t>
            </w:r>
            <w:r>
              <w:rPr>
                <w:sz w:val="22"/>
              </w:rPr>
              <w:t>600 mg QD 使用，RAL </w:t>
            </w:r>
            <w:r>
              <w:rPr>
                <w:spacing w:val="-5"/>
                <w:sz w:val="22"/>
              </w:rPr>
              <w:t>Cmin</w:t>
            </w:r>
          </w:p>
          <w:p>
            <w:pPr>
              <w:pStyle w:val="TableParagraph"/>
              <w:spacing w:line="192" w:lineRule="auto"/>
              <w:ind w:left="284" w:right="267"/>
              <w:rPr>
                <w:sz w:val="22"/>
              </w:rPr>
            </w:pPr>
            <w:r>
              <w:rPr>
                <w:sz w:val="22"/>
              </w:rPr>
              <w:t>↓41</w:t>
            </w:r>
            <w:r>
              <w:rPr>
                <w:spacing w:val="-3"/>
                <w:sz w:val="22"/>
              </w:rPr>
              <w:t>%，因此不建議</w:t>
            </w:r>
            <w:r>
              <w:rPr>
                <w:sz w:val="22"/>
              </w:rPr>
              <w:t>與 rifapetnine</w:t>
            </w:r>
            <w:r>
              <w:rPr>
                <w:spacing w:val="-6"/>
                <w:sz w:val="22"/>
              </w:rPr>
              <w:t> </w:t>
            </w:r>
            <w:r>
              <w:rPr>
                <w:sz w:val="22"/>
              </w:rPr>
              <w:t>600</w:t>
            </w:r>
          </w:p>
          <w:p>
            <w:pPr>
              <w:pStyle w:val="TableParagraph"/>
              <w:spacing w:line="307" w:lineRule="exact"/>
              <w:ind w:left="284"/>
              <w:rPr>
                <w:sz w:val="22"/>
              </w:rPr>
            </w:pPr>
            <w:r>
              <w:rPr>
                <w:sz w:val="22"/>
              </w:rPr>
              <w:t>mgQD</w:t>
            </w:r>
            <w:r>
              <w:rPr>
                <w:spacing w:val="-2"/>
                <w:sz w:val="22"/>
              </w:rPr>
              <w:t> 同時使用。</w:t>
            </w:r>
          </w:p>
        </w:tc>
      </w:tr>
      <w:tr>
        <w:trPr>
          <w:trHeight w:val="2342" w:hRule="atLeast"/>
        </w:trPr>
        <w:tc>
          <w:tcPr>
            <w:tcW w:w="2183" w:type="dxa"/>
          </w:tcPr>
          <w:p>
            <w:pPr>
              <w:pStyle w:val="TableParagraph"/>
              <w:spacing w:line="216" w:lineRule="auto" w:before="34"/>
              <w:ind w:left="53"/>
              <w:rPr>
                <w:sz w:val="22"/>
              </w:rPr>
            </w:pPr>
            <w:r>
              <w:rPr>
                <w:spacing w:val="-7"/>
                <w:sz w:val="22"/>
              </w:rPr>
              <w:t>Elvitegravir/cobicistat </w:t>
            </w:r>
            <w:r>
              <w:rPr>
                <w:spacing w:val="-3"/>
                <w:sz w:val="22"/>
              </w:rPr>
              <w:t>(EVG/c)</w:t>
            </w:r>
          </w:p>
        </w:tc>
        <w:tc>
          <w:tcPr>
            <w:tcW w:w="2262" w:type="dxa"/>
          </w:tcPr>
          <w:p>
            <w:pPr>
              <w:pStyle w:val="TableParagraph"/>
              <w:spacing w:line="194" w:lineRule="auto" w:before="60"/>
              <w:ind w:left="63" w:right="111"/>
              <w:rPr>
                <w:sz w:val="22"/>
              </w:rPr>
            </w:pPr>
            <w:r>
              <w:rPr>
                <w:sz w:val="22"/>
              </w:rPr>
              <w:t>不能併用，因Elvitegravir 及cobicistat 皆 為CYP3A4 受質，併用rifampin 可能嚴重降低病毒抑制效果而促</w:t>
            </w:r>
          </w:p>
          <w:p>
            <w:pPr>
              <w:pStyle w:val="TableParagraph"/>
              <w:spacing w:line="295" w:lineRule="exact"/>
              <w:ind w:left="63"/>
              <w:rPr>
                <w:sz w:val="22"/>
              </w:rPr>
            </w:pPr>
            <w:r>
              <w:rPr>
                <w:sz w:val="22"/>
              </w:rPr>
              <w:t>使抗藥性的產生。</w:t>
            </w:r>
          </w:p>
        </w:tc>
        <w:tc>
          <w:tcPr>
            <w:tcW w:w="2828" w:type="dxa"/>
          </w:tcPr>
          <w:p>
            <w:pPr>
              <w:pStyle w:val="TableParagraph"/>
              <w:spacing w:line="194" w:lineRule="auto" w:before="60"/>
              <w:ind w:left="63" w:right="51"/>
              <w:jc w:val="both"/>
              <w:rPr>
                <w:sz w:val="22"/>
              </w:rPr>
            </w:pPr>
            <w:r>
              <w:rPr>
                <w:sz w:val="22"/>
              </w:rPr>
              <w:t>EVG/c 併 用 rifabutin (150 mg</w:t>
            </w:r>
            <w:r>
              <w:rPr>
                <w:spacing w:val="-2"/>
                <w:sz w:val="22"/>
              </w:rPr>
              <w:t> 隔日服用一次)與單獨使</w:t>
            </w:r>
            <w:r>
              <w:rPr>
                <w:sz w:val="22"/>
              </w:rPr>
              <w:t>用 rifabutin 300 mg QD</w:t>
            </w:r>
            <w:r>
              <w:rPr>
                <w:spacing w:val="14"/>
                <w:sz w:val="22"/>
              </w:rPr>
              <w:t> 相比，rifabutin</w:t>
            </w:r>
            <w:r>
              <w:rPr>
                <w:spacing w:val="-2"/>
                <w:sz w:val="22"/>
              </w:rPr>
              <w:t> 濃度相當，但</w:t>
            </w:r>
            <w:r>
              <w:rPr>
                <w:spacing w:val="36"/>
                <w:sz w:val="22"/>
              </w:rPr>
              <w:t>是</w:t>
            </w:r>
            <w:r>
              <w:rPr>
                <w:sz w:val="22"/>
              </w:rPr>
              <w:t>EVG</w:t>
            </w:r>
            <w:r>
              <w:rPr>
                <w:spacing w:val="4"/>
                <w:sz w:val="22"/>
              </w:rPr>
              <w:t> 的</w:t>
            </w:r>
            <w:r>
              <w:rPr>
                <w:sz w:val="22"/>
              </w:rPr>
              <w:t>AUC↓21%,Cmin</w:t>
            </w:r>
          </w:p>
          <w:p>
            <w:pPr>
              <w:pStyle w:val="TableParagraph"/>
              <w:spacing w:line="301" w:lineRule="exact"/>
              <w:ind w:left="63"/>
              <w:rPr>
                <w:sz w:val="22"/>
              </w:rPr>
            </w:pPr>
            <w:r>
              <w:rPr>
                <w:spacing w:val="2"/>
                <w:w w:val="95"/>
                <w:sz w:val="22"/>
              </w:rPr>
              <w:t>↓67</w:t>
            </w:r>
            <w:r>
              <w:rPr>
                <w:spacing w:val="4"/>
                <w:w w:val="95"/>
                <w:sz w:val="22"/>
              </w:rPr>
              <w:t>%。因此不建議同時使</w:t>
            </w:r>
          </w:p>
          <w:p>
            <w:pPr>
              <w:pStyle w:val="TableParagraph"/>
              <w:spacing w:line="322" w:lineRule="exact"/>
              <w:ind w:left="63"/>
              <w:rPr>
                <w:sz w:val="22"/>
              </w:rPr>
            </w:pPr>
            <w:r>
              <w:rPr>
                <w:sz w:val="22"/>
              </w:rPr>
              <w:t>用。</w:t>
            </w:r>
          </w:p>
        </w:tc>
        <w:tc>
          <w:tcPr>
            <w:tcW w:w="2551" w:type="dxa"/>
          </w:tcPr>
          <w:p>
            <w:pPr>
              <w:pStyle w:val="TableParagraph"/>
              <w:spacing w:line="194" w:lineRule="auto" w:before="60"/>
              <w:ind w:left="63" w:right="52"/>
              <w:jc w:val="both"/>
              <w:rPr>
                <w:sz w:val="22"/>
              </w:rPr>
            </w:pPr>
            <w:r>
              <w:rPr>
                <w:sz w:val="22"/>
              </w:rPr>
              <w:t>EVG/c 併 用 rifapentine 會降低 cobicistat 濃度繼而減少 EVG 濃度，因此不建議同時使用。</w:t>
            </w:r>
          </w:p>
        </w:tc>
      </w:tr>
      <w:tr>
        <w:trPr>
          <w:trHeight w:val="3320" w:hRule="atLeast"/>
        </w:trPr>
        <w:tc>
          <w:tcPr>
            <w:tcW w:w="2183" w:type="dxa"/>
          </w:tcPr>
          <w:p>
            <w:pPr>
              <w:pStyle w:val="TableParagraph"/>
              <w:spacing w:line="216" w:lineRule="auto" w:before="34"/>
              <w:ind w:left="53" w:right="686"/>
              <w:rPr>
                <w:sz w:val="22"/>
              </w:rPr>
            </w:pPr>
            <w:r>
              <w:rPr>
                <w:sz w:val="22"/>
              </w:rPr>
              <w:t>Dolutegravir (DTG)</w:t>
            </w:r>
          </w:p>
        </w:tc>
        <w:tc>
          <w:tcPr>
            <w:tcW w:w="2262" w:type="dxa"/>
          </w:tcPr>
          <w:p>
            <w:pPr>
              <w:pStyle w:val="TableParagraph"/>
              <w:spacing w:line="194" w:lineRule="auto" w:before="60"/>
              <w:ind w:left="63" w:right="1"/>
              <w:jc w:val="both"/>
              <w:rPr>
                <w:sz w:val="22"/>
              </w:rPr>
            </w:pPr>
            <w:r>
              <w:rPr>
                <w:sz w:val="22"/>
              </w:rPr>
              <w:t>DTG 50 mg BID</w:t>
            </w:r>
            <w:r>
              <w:rPr>
                <w:spacing w:val="-1"/>
                <w:sz w:val="22"/>
              </w:rPr>
              <w:t> 合 併</w:t>
            </w:r>
            <w:r>
              <w:rPr>
                <w:spacing w:val="14"/>
                <w:sz w:val="22"/>
              </w:rPr>
              <w:t>併用 </w:t>
            </w:r>
            <w:r>
              <w:rPr>
                <w:sz w:val="22"/>
              </w:rPr>
              <w:t>rifampin</w:t>
            </w:r>
            <w:r>
              <w:rPr>
                <w:spacing w:val="21"/>
                <w:sz w:val="22"/>
              </w:rPr>
              <w:t> 時， AUC 比 起 DTG 50mg BID</w:t>
            </w:r>
            <w:r>
              <w:rPr>
                <w:spacing w:val="-8"/>
                <w:sz w:val="22"/>
              </w:rPr>
              <w:t> 單獨使用↓</w:t>
            </w:r>
            <w:r>
              <w:rPr>
                <w:spacing w:val="-3"/>
                <w:sz w:val="22"/>
              </w:rPr>
              <w:t>40%， </w:t>
            </w:r>
            <w:r>
              <w:rPr>
                <w:sz w:val="22"/>
              </w:rPr>
              <w:t>比 起 DTG 50 mg QD </w:t>
            </w:r>
            <w:r>
              <w:rPr>
                <w:spacing w:val="7"/>
                <w:sz w:val="22"/>
              </w:rPr>
              <w:t>單獨使用↑ </w:t>
            </w:r>
            <w:r>
              <w:rPr>
                <w:spacing w:val="6"/>
                <w:sz w:val="22"/>
              </w:rPr>
              <w:t>33</w:t>
            </w:r>
            <w:r>
              <w:rPr>
                <w:spacing w:val="8"/>
                <w:sz w:val="22"/>
              </w:rPr>
              <w:t>%。因</w:t>
            </w:r>
            <w:r>
              <w:rPr>
                <w:spacing w:val="46"/>
                <w:sz w:val="22"/>
              </w:rPr>
              <w:t>此建議併用時需把DTG</w:t>
            </w:r>
            <w:r>
              <w:rPr>
                <w:spacing w:val="13"/>
                <w:sz w:val="22"/>
              </w:rPr>
              <w:t> 建議劑量由 </w:t>
            </w:r>
            <w:r>
              <w:rPr>
                <w:sz w:val="22"/>
              </w:rPr>
              <w:t>50 mg QD</w:t>
            </w:r>
            <w:r>
              <w:rPr>
                <w:spacing w:val="2"/>
                <w:sz w:val="22"/>
              </w:rPr>
              <w:t> 改 為 </w:t>
            </w:r>
            <w:r>
              <w:rPr>
                <w:sz w:val="22"/>
              </w:rPr>
              <w:t>50</w:t>
            </w:r>
            <w:r>
              <w:rPr>
                <w:spacing w:val="2"/>
                <w:sz w:val="22"/>
              </w:rPr>
              <w:t> </w:t>
            </w:r>
            <w:r>
              <w:rPr>
                <w:sz w:val="22"/>
              </w:rPr>
              <w:t>mg</w:t>
            </w:r>
          </w:p>
          <w:p>
            <w:pPr>
              <w:pStyle w:val="TableParagraph"/>
              <w:spacing w:line="290" w:lineRule="exact"/>
              <w:ind w:left="63"/>
              <w:rPr>
                <w:sz w:val="22"/>
              </w:rPr>
            </w:pPr>
            <w:r>
              <w:rPr>
                <w:sz w:val="22"/>
              </w:rPr>
              <w:t>BID。</w:t>
            </w:r>
          </w:p>
        </w:tc>
        <w:tc>
          <w:tcPr>
            <w:tcW w:w="2828" w:type="dxa"/>
          </w:tcPr>
          <w:p>
            <w:pPr>
              <w:pStyle w:val="TableParagraph"/>
              <w:spacing w:line="194" w:lineRule="auto" w:before="60"/>
              <w:ind w:left="62" w:right="52"/>
              <w:jc w:val="both"/>
              <w:rPr>
                <w:sz w:val="22"/>
              </w:rPr>
            </w:pPr>
            <w:r>
              <w:rPr>
                <w:sz w:val="22"/>
              </w:rPr>
              <w:t>DTG 50 mg QD 併 用rifabutin 300 mg QD 時 ， DTG 的 AUC 與單獨使用時相當，因此不需調整劑量。</w:t>
            </w:r>
          </w:p>
        </w:tc>
        <w:tc>
          <w:tcPr>
            <w:tcW w:w="2551" w:type="dxa"/>
          </w:tcPr>
          <w:p>
            <w:pPr>
              <w:pStyle w:val="TableParagraph"/>
              <w:spacing w:line="194" w:lineRule="auto" w:before="60"/>
              <w:ind w:left="63" w:right="52"/>
              <w:jc w:val="both"/>
              <w:rPr>
                <w:sz w:val="22"/>
              </w:rPr>
            </w:pPr>
            <w:r>
              <w:rPr>
                <w:sz w:val="22"/>
              </w:rPr>
              <w:t>rifapentine 900 mg + isoniazid once weekly (3HP) 與 DTG 50 mg</w:t>
            </w:r>
          </w:p>
          <w:p>
            <w:pPr>
              <w:pStyle w:val="TableParagraph"/>
              <w:spacing w:line="194" w:lineRule="auto"/>
              <w:ind w:left="63" w:right="50"/>
              <w:jc w:val="both"/>
              <w:rPr>
                <w:sz w:val="22"/>
              </w:rPr>
            </w:pPr>
            <w:r>
              <w:rPr>
                <w:sz w:val="22"/>
              </w:rPr>
              <w:t>QD 合併使用，會減少29% DTG 濃度，不過病人血漿中愛滋病毒量依舊可以維持檢測不到。1HP 和 DTG 併用目前尚沒有資料。</w:t>
            </w:r>
          </w:p>
        </w:tc>
      </w:tr>
      <w:tr>
        <w:trPr>
          <w:trHeight w:val="2994" w:hRule="atLeast"/>
        </w:trPr>
        <w:tc>
          <w:tcPr>
            <w:tcW w:w="2183" w:type="dxa"/>
          </w:tcPr>
          <w:p>
            <w:pPr>
              <w:pStyle w:val="TableParagraph"/>
              <w:spacing w:line="216" w:lineRule="auto" w:before="34"/>
              <w:ind w:left="53" w:right="686"/>
              <w:rPr>
                <w:sz w:val="22"/>
              </w:rPr>
            </w:pPr>
            <w:r>
              <w:rPr>
                <w:sz w:val="22"/>
              </w:rPr>
              <w:t>Bictegravir (BIC)</w:t>
            </w:r>
          </w:p>
        </w:tc>
        <w:tc>
          <w:tcPr>
            <w:tcW w:w="2262" w:type="dxa"/>
          </w:tcPr>
          <w:p>
            <w:pPr>
              <w:pStyle w:val="TableParagraph"/>
              <w:spacing w:line="365" w:lineRule="exact" w:before="4"/>
              <w:ind w:left="63"/>
              <w:rPr>
                <w:sz w:val="22"/>
              </w:rPr>
            </w:pPr>
            <w:r>
              <w:rPr>
                <w:spacing w:val="8"/>
                <w:sz w:val="22"/>
              </w:rPr>
              <w:t>併用   </w:t>
            </w:r>
            <w:r>
              <w:rPr>
                <w:sz w:val="22"/>
              </w:rPr>
              <w:t>rifampin</w:t>
            </w:r>
            <w:r>
              <w:rPr>
                <w:spacing w:val="15"/>
                <w:sz w:val="22"/>
              </w:rPr>
              <w:t>  時，</w:t>
            </w:r>
            <w:r>
              <w:rPr>
                <w:spacing w:val="-19"/>
                <w:sz w:val="22"/>
              </w:rPr>
              <w:t> </w:t>
            </w:r>
          </w:p>
          <w:p>
            <w:pPr>
              <w:pStyle w:val="TableParagraph"/>
              <w:spacing w:line="326" w:lineRule="exact"/>
              <w:ind w:left="63"/>
              <w:rPr>
                <w:sz w:val="22"/>
              </w:rPr>
            </w:pPr>
            <w:r>
              <w:rPr>
                <w:sz w:val="22"/>
              </w:rPr>
              <w:t>BIC</w:t>
            </w:r>
            <w:r>
              <w:rPr>
                <w:spacing w:val="46"/>
                <w:sz w:val="22"/>
              </w:rPr>
              <w:t> </w:t>
            </w:r>
            <w:r>
              <w:rPr>
                <w:spacing w:val="7"/>
                <w:sz w:val="22"/>
              </w:rPr>
              <w:t>AUC</w:t>
            </w:r>
            <w:r>
              <w:rPr>
                <w:spacing w:val="-11"/>
                <w:sz w:val="22"/>
              </w:rPr>
              <w:t>↓ </w:t>
            </w:r>
            <w:r>
              <w:rPr>
                <w:sz w:val="22"/>
              </w:rPr>
              <w:t>75</w:t>
            </w:r>
            <w:r>
              <w:rPr>
                <w:spacing w:val="6"/>
                <w:sz w:val="22"/>
              </w:rPr>
              <w:t>% ，因</w:t>
            </w:r>
          </w:p>
          <w:p>
            <w:pPr>
              <w:pStyle w:val="TableParagraph"/>
              <w:spacing w:line="365" w:lineRule="exact"/>
              <w:ind w:left="63"/>
              <w:rPr>
                <w:sz w:val="22"/>
              </w:rPr>
            </w:pPr>
            <w:r>
              <w:rPr>
                <w:sz w:val="22"/>
              </w:rPr>
              <w:t>此不建議同時使用。</w:t>
            </w:r>
          </w:p>
        </w:tc>
        <w:tc>
          <w:tcPr>
            <w:tcW w:w="2828" w:type="dxa"/>
          </w:tcPr>
          <w:p>
            <w:pPr>
              <w:pStyle w:val="TableParagraph"/>
              <w:spacing w:line="194" w:lineRule="auto" w:before="60"/>
              <w:ind w:left="63"/>
              <w:rPr>
                <w:sz w:val="22"/>
              </w:rPr>
            </w:pPr>
            <w:r>
              <w:rPr>
                <w:sz w:val="22"/>
              </w:rPr>
              <w:t>BIC 併 用 rifabutin300 mg QD 時 ，BIC AUC↓38%，</w:t>
            </w:r>
          </w:p>
          <w:p>
            <w:pPr>
              <w:pStyle w:val="TableParagraph"/>
              <w:spacing w:line="346" w:lineRule="exact"/>
              <w:ind w:left="63"/>
              <w:rPr>
                <w:sz w:val="22"/>
              </w:rPr>
            </w:pPr>
            <w:r>
              <w:rPr>
                <w:sz w:val="22"/>
              </w:rPr>
              <w:t>因此不建議同時使用。</w:t>
            </w:r>
          </w:p>
        </w:tc>
        <w:tc>
          <w:tcPr>
            <w:tcW w:w="2551" w:type="dxa"/>
          </w:tcPr>
          <w:p>
            <w:pPr>
              <w:pStyle w:val="TableParagraph"/>
              <w:spacing w:line="194" w:lineRule="auto" w:before="60"/>
              <w:ind w:left="63" w:right="34"/>
              <w:jc w:val="both"/>
              <w:rPr>
                <w:sz w:val="22"/>
              </w:rPr>
            </w:pPr>
            <w:r>
              <w:rPr>
                <w:sz w:val="22"/>
              </w:rPr>
              <w:t>根據臺大醫院針對 48 位併 用 BIC/FTC/TAF 與1HP 的藥物濃度與病毒量 控 制 的 研 究 結 果 ， rifapentine 會顯著降低BIC 濃度。但是對於 1HP 治療結束後，病毒量控制並沒有受到影響，建議謹</w:t>
            </w:r>
          </w:p>
          <w:p>
            <w:pPr>
              <w:pStyle w:val="TableParagraph"/>
              <w:spacing w:line="293" w:lineRule="exact"/>
              <w:ind w:left="63"/>
              <w:rPr>
                <w:sz w:val="22"/>
              </w:rPr>
            </w:pPr>
            <w:r>
              <w:rPr>
                <w:sz w:val="22"/>
              </w:rPr>
              <w:t>慎追蹤病毒量變化。</w:t>
            </w:r>
          </w:p>
        </w:tc>
      </w:tr>
    </w:tbl>
    <w:p>
      <w:pPr>
        <w:pStyle w:val="BodyText"/>
        <w:spacing w:before="1"/>
        <w:rPr>
          <w:b/>
          <w:sz w:val="5"/>
        </w:rPr>
      </w:pPr>
      <w:r>
        <w:rPr/>
        <w:pict>
          <v:group style="position:absolute;margin-left:571.5pt;margin-top:73.499916pt;width:40.9pt;height:219pt;mso-position-horizontal-relative:page;mso-position-vertical-relative:page;z-index:251841536" coordorigin="11430,1470" coordsize="818,4380">
            <v:shape style="position:absolute;left:11430;top:1470;width:818;height:4380" coordorigin="11430,1470" coordsize="818,4380" path="m12247,1470l11595,1470,11531,1483,11478,1518,11443,1571,11430,1635,11430,5685,11443,5749,11478,5802,11531,5837,11595,5850,12247,5850,12247,1470xe" filled="true" fillcolor="#a6a6a6" stroked="false">
              <v:path arrowok="t"/>
              <v:fill type="solid"/>
            </v:shape>
            <v:shape style="position:absolute;left:11430;top:1470;width:818;height:4380" type="#_x0000_t202" filled="false" stroked="false">
              <v:textbox inset="0,0,0,0">
                <w:txbxContent>
                  <w:p>
                    <w:pPr>
                      <w:spacing w:line="146" w:lineRule="auto" w:before="126"/>
                      <w:ind w:left="136" w:right="458" w:firstLine="0"/>
                      <w:jc w:val="both"/>
                      <w:rPr>
                        <w:sz w:val="22"/>
                      </w:rPr>
                    </w:pPr>
                    <w:r>
                      <w:rPr>
                        <w:sz w:val="22"/>
                      </w:rPr>
                      <w:t>第九章</w:t>
                    </w:r>
                  </w:p>
                  <w:p>
                    <w:pPr>
                      <w:spacing w:line="141" w:lineRule="auto" w:before="175"/>
                      <w:ind w:left="136" w:right="458" w:firstLine="0"/>
                      <w:jc w:val="both"/>
                      <w:rPr>
                        <w:sz w:val="22"/>
                      </w:rPr>
                    </w:pPr>
                    <w:r>
                      <w:rPr>
                        <w:sz w:val="22"/>
                      </w:rPr>
                      <w:t>愛滋病毒感染者結核病之診療</w:t>
                    </w:r>
                  </w:p>
                </w:txbxContent>
              </v:textbox>
              <w10:wrap type="none"/>
            </v:shape>
            <w10:wrap type="none"/>
          </v:group>
        </w:pict>
      </w:r>
    </w:p>
    <w:p>
      <w:pPr>
        <w:spacing w:line="201" w:lineRule="auto" w:before="91"/>
        <w:ind w:left="1070" w:right="1249" w:hanging="660"/>
        <w:jc w:val="both"/>
        <w:rPr>
          <w:sz w:val="22"/>
        </w:rPr>
      </w:pPr>
      <w:r>
        <w:rPr>
          <w:sz w:val="22"/>
        </w:rPr>
        <w:t>註一：因為國內抗愛滋病毒藥物的治療建議與規範的修改，nevirapine 與 ritonavir 都將自臺灣藥品市場消失，因此，關於 nevirapine 和必須合併使用 ritonavir 的蛋白酶抑制劑的抗病毒治療處方，都不推薦使用。</w:t>
      </w:r>
    </w:p>
    <w:p>
      <w:pPr>
        <w:spacing w:after="0" w:line="201" w:lineRule="auto"/>
        <w:jc w:val="both"/>
        <w:rPr>
          <w:sz w:val="22"/>
        </w:rPr>
        <w:sectPr>
          <w:pgSz w:w="12250" w:h="17190"/>
          <w:pgMar w:header="0" w:footer="748" w:top="1460" w:bottom="1020" w:left="840" w:right="0"/>
        </w:sectPr>
      </w:pPr>
    </w:p>
    <w:p>
      <w:pPr>
        <w:spacing w:line="201" w:lineRule="auto" w:before="80"/>
        <w:ind w:left="1070" w:right="1250" w:hanging="661"/>
        <w:jc w:val="both"/>
        <w:rPr>
          <w:sz w:val="22"/>
        </w:rPr>
      </w:pPr>
      <w:r>
        <w:rPr>
          <w:color w:val="FF0000"/>
          <w:sz w:val="22"/>
        </w:rPr>
        <w:t>註二：國際原廠的 coformulated tenofovir disoproxil fumarate, emtricitabine, and efavirenz (600 mg) (商品名，Atripla)將不再生產。coformulated TDF/lamivudine/efavirenz (400 mg)，能否和 rifampin 併用，如文中所述，臨床試驗資料有限，需要留意追蹤病毒量變化。</w:t>
      </w:r>
    </w:p>
    <w:p>
      <w:pPr>
        <w:spacing w:after="0" w:line="201" w:lineRule="auto"/>
        <w:jc w:val="both"/>
        <w:rPr>
          <w:sz w:val="22"/>
        </w:rPr>
        <w:sectPr>
          <w:pgSz w:w="12250" w:h="17190"/>
          <w:pgMar w:header="0" w:footer="748" w:top="1420" w:bottom="1020" w:left="840" w:right="0"/>
        </w:sectPr>
      </w:pPr>
    </w:p>
    <w:p>
      <w:pPr>
        <w:pStyle w:val="Heading6"/>
        <w:spacing w:before="8"/>
        <w:ind w:left="2205"/>
      </w:pPr>
      <w:r>
        <w:rPr/>
        <w:pict>
          <v:group style="position:absolute;margin-left:571.5pt;margin-top:2.445757pt;width:40.9pt;height:219pt;mso-position-horizontal-relative:page;mso-position-vertical-relative:paragraph;z-index:251843584" coordorigin="11430,49" coordsize="818,4380">
            <v:shape style="position:absolute;left:11430;top:48;width:818;height:4380" coordorigin="11430,49" coordsize="818,4380" path="m12247,49l11595,49,11531,62,11478,97,11443,150,11430,214,11430,4264,11443,4328,11478,4380,11531,4416,11595,4429,12247,4429,12247,49xe" filled="true" fillcolor="#a6a6a6" stroked="false">
              <v:path arrowok="t"/>
              <v:fill type="solid"/>
            </v:shape>
            <v:shape style="position:absolute;left:11430;top:48;width:818;height:4380" type="#_x0000_t202" filled="false" stroked="false">
              <v:textbox inset="0,0,0,0">
                <w:txbxContent>
                  <w:p>
                    <w:pPr>
                      <w:spacing w:line="146" w:lineRule="auto" w:before="126"/>
                      <w:ind w:left="136" w:right="458" w:firstLine="0"/>
                      <w:jc w:val="both"/>
                      <w:rPr>
                        <w:sz w:val="22"/>
                      </w:rPr>
                    </w:pPr>
                    <w:r>
                      <w:rPr>
                        <w:sz w:val="22"/>
                      </w:rPr>
                      <w:t>第九章</w:t>
                    </w:r>
                  </w:p>
                  <w:p>
                    <w:pPr>
                      <w:spacing w:line="141" w:lineRule="auto" w:before="175"/>
                      <w:ind w:left="136" w:right="458" w:firstLine="0"/>
                      <w:jc w:val="both"/>
                      <w:rPr>
                        <w:sz w:val="22"/>
                      </w:rPr>
                    </w:pPr>
                    <w:r>
                      <w:rPr>
                        <w:sz w:val="22"/>
                      </w:rPr>
                      <w:t>愛滋病毒感染者結核病之診療</w:t>
                    </w:r>
                  </w:p>
                </w:txbxContent>
              </v:textbox>
              <w10:wrap type="none"/>
            </v:shape>
            <w10:wrap type="none"/>
          </v:group>
        </w:pict>
      </w:r>
      <w:bookmarkStart w:name="表 9-2 抗結核病藥物與抗愛滋病毒藥物組合的使用建議" w:id="105"/>
      <w:bookmarkEnd w:id="105"/>
      <w:r>
        <w:rPr>
          <w:b w:val="0"/>
        </w:rPr>
      </w:r>
      <w:r>
        <w:rPr/>
        <w:t>表 9-2 抗結核病藥物與抗愛滋病毒藥物組合的使用建議</w:t>
      </w:r>
    </w:p>
    <w:p>
      <w:pPr>
        <w:pStyle w:val="BodyText"/>
        <w:spacing w:before="9"/>
        <w:rPr>
          <w:b/>
          <w:sz w:val="5"/>
        </w:rPr>
      </w:pP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3261"/>
        <w:gridCol w:w="4817"/>
      </w:tblGrid>
      <w:tr>
        <w:trPr>
          <w:trHeight w:val="385" w:hRule="atLeast"/>
        </w:trPr>
        <w:tc>
          <w:tcPr>
            <w:tcW w:w="2263" w:type="dxa"/>
            <w:shd w:val="clear" w:color="auto" w:fill="F1F1F1"/>
          </w:tcPr>
          <w:p>
            <w:pPr>
              <w:pStyle w:val="TableParagraph"/>
              <w:spacing w:line="366" w:lineRule="exact"/>
              <w:ind w:left="531"/>
              <w:rPr>
                <w:sz w:val="24"/>
              </w:rPr>
            </w:pPr>
            <w:r>
              <w:rPr>
                <w:sz w:val="24"/>
              </w:rPr>
              <w:t>抗結核病藥</w:t>
            </w:r>
          </w:p>
        </w:tc>
        <w:tc>
          <w:tcPr>
            <w:tcW w:w="3261" w:type="dxa"/>
            <w:shd w:val="clear" w:color="auto" w:fill="F1F1F1"/>
          </w:tcPr>
          <w:p>
            <w:pPr>
              <w:pStyle w:val="TableParagraph"/>
              <w:spacing w:line="366" w:lineRule="exact"/>
              <w:ind w:left="790"/>
              <w:rPr>
                <w:sz w:val="24"/>
              </w:rPr>
            </w:pPr>
            <w:r>
              <w:rPr>
                <w:sz w:val="24"/>
              </w:rPr>
              <w:t>抗愛滋病毒藥物</w:t>
            </w:r>
          </w:p>
        </w:tc>
        <w:tc>
          <w:tcPr>
            <w:tcW w:w="4817" w:type="dxa"/>
            <w:shd w:val="clear" w:color="auto" w:fill="F1F1F1"/>
          </w:tcPr>
          <w:p>
            <w:pPr>
              <w:pStyle w:val="TableParagraph"/>
              <w:spacing w:line="366" w:lineRule="exact"/>
              <w:ind w:left="1910" w:right="1897"/>
              <w:jc w:val="center"/>
              <w:rPr>
                <w:sz w:val="24"/>
              </w:rPr>
            </w:pPr>
            <w:r>
              <w:rPr>
                <w:sz w:val="24"/>
              </w:rPr>
              <w:t>注意事項</w:t>
            </w:r>
          </w:p>
        </w:tc>
      </w:tr>
      <w:tr>
        <w:trPr>
          <w:trHeight w:val="1952" w:hRule="atLeast"/>
        </w:trPr>
        <w:tc>
          <w:tcPr>
            <w:tcW w:w="2263" w:type="dxa"/>
          </w:tcPr>
          <w:p>
            <w:pPr>
              <w:pStyle w:val="TableParagraph"/>
              <w:spacing w:line="218" w:lineRule="auto" w:before="36"/>
              <w:ind w:left="41"/>
              <w:rPr>
                <w:sz w:val="22"/>
              </w:rPr>
            </w:pPr>
            <w:r>
              <w:rPr>
                <w:sz w:val="22"/>
              </w:rPr>
              <w:t>RMP (10 mg/kg) + INH + EMB + PZA</w:t>
            </w:r>
          </w:p>
        </w:tc>
        <w:tc>
          <w:tcPr>
            <w:tcW w:w="3261" w:type="dxa"/>
          </w:tcPr>
          <w:p>
            <w:pPr>
              <w:pStyle w:val="TableParagraph"/>
              <w:spacing w:before="9"/>
              <w:ind w:left="75"/>
              <w:rPr>
                <w:sz w:val="22"/>
              </w:rPr>
            </w:pPr>
            <w:r>
              <w:rPr>
                <w:color w:val="FF0000"/>
                <w:sz w:val="22"/>
              </w:rPr>
              <w:t>TDF/FTC/EFV</w:t>
            </w:r>
          </w:p>
        </w:tc>
        <w:tc>
          <w:tcPr>
            <w:tcW w:w="4817" w:type="dxa"/>
          </w:tcPr>
          <w:p>
            <w:pPr>
              <w:pStyle w:val="TableParagraph"/>
              <w:spacing w:line="206" w:lineRule="auto" w:before="50"/>
              <w:ind w:left="76" w:right="208"/>
              <w:rPr>
                <w:sz w:val="22"/>
              </w:rPr>
            </w:pPr>
            <w:r>
              <w:rPr>
                <w:sz w:val="22"/>
              </w:rPr>
              <w:t>根據臺大醫院初步的藥物動力學研究，600 mg efavirenz 在併用 rifampin 時，服用後第十二小時血中濃度下降 26%，仍能達到抑制野生株(wild type)的愛滋病毒複製。並不需增加efavirenz 劑量。</w:t>
            </w:r>
          </w:p>
        </w:tc>
      </w:tr>
      <w:tr>
        <w:trPr>
          <w:trHeight w:val="2929" w:hRule="atLeast"/>
        </w:trPr>
        <w:tc>
          <w:tcPr>
            <w:tcW w:w="2263" w:type="dxa"/>
          </w:tcPr>
          <w:p>
            <w:pPr>
              <w:pStyle w:val="TableParagraph"/>
              <w:spacing w:line="218" w:lineRule="auto" w:before="34"/>
              <w:ind w:left="41"/>
              <w:rPr>
                <w:sz w:val="22"/>
              </w:rPr>
            </w:pPr>
            <w:r>
              <w:rPr>
                <w:sz w:val="22"/>
              </w:rPr>
              <w:t>RMP (10 mg/kg) + INH + EMB + PZA</w:t>
            </w:r>
          </w:p>
        </w:tc>
        <w:tc>
          <w:tcPr>
            <w:tcW w:w="3261" w:type="dxa"/>
          </w:tcPr>
          <w:p>
            <w:pPr>
              <w:pStyle w:val="TableParagraph"/>
              <w:spacing w:line="213" w:lineRule="auto" w:before="27"/>
              <w:ind w:left="74" w:right="115"/>
              <w:rPr>
                <w:sz w:val="22"/>
              </w:rPr>
            </w:pPr>
            <w:r>
              <w:rPr>
                <w:color w:val="FF0000"/>
                <w:sz w:val="22"/>
              </w:rPr>
              <w:t>ABC/3TC/DTG + DTG (50 mg) DTG/3TC+DTG (50 mg) TDF/FTC +DTG (50 mg BID) TDF/FTC +RAL (800 mg BID) ABC/3TC+RAL (800 mg BID)</w:t>
            </w:r>
          </w:p>
        </w:tc>
        <w:tc>
          <w:tcPr>
            <w:tcW w:w="4817" w:type="dxa"/>
          </w:tcPr>
          <w:p>
            <w:pPr>
              <w:pStyle w:val="TableParagraph"/>
              <w:spacing w:line="213" w:lineRule="auto" w:before="27"/>
              <w:ind w:left="75" w:right="76"/>
              <w:rPr>
                <w:sz w:val="22"/>
              </w:rPr>
            </w:pPr>
            <w:r>
              <w:rPr>
                <w:sz w:val="22"/>
              </w:rPr>
              <w:t>DTG 50 mg BID 合 併 併 用 rifampin 時 ，AUC 比起 DTG 50 mg BID 單獨使用↓40%，比起DTG 50 mg QD 單獨使用↑ 33%。因此建議併用時 需把 DTG 建議劑量由 50 mg QD 改為  50 mg BID。</w:t>
            </w:r>
          </w:p>
          <w:p>
            <w:pPr>
              <w:pStyle w:val="TableParagraph"/>
              <w:spacing w:line="213" w:lineRule="auto"/>
              <w:ind w:left="74" w:right="129"/>
              <w:rPr>
                <w:sz w:val="22"/>
              </w:rPr>
            </w:pPr>
            <w:r>
              <w:rPr>
                <w:sz w:val="22"/>
              </w:rPr>
              <w:t>RAL 400 mg BID 併 用 rifampin 時 ，AUC↓ 40%；濃度↓ 61%。 併用時需把 RAL 建議劑量由 400 mg BID 改為 800 mg BID。</w:t>
            </w:r>
          </w:p>
        </w:tc>
      </w:tr>
      <w:tr>
        <w:trPr>
          <w:trHeight w:val="2159" w:hRule="atLeast"/>
        </w:trPr>
        <w:tc>
          <w:tcPr>
            <w:tcW w:w="2263" w:type="dxa"/>
          </w:tcPr>
          <w:p>
            <w:pPr>
              <w:pStyle w:val="TableParagraph"/>
              <w:spacing w:line="204" w:lineRule="auto" w:before="52"/>
              <w:ind w:left="41" w:right="150"/>
              <w:rPr>
                <w:sz w:val="22"/>
              </w:rPr>
            </w:pPr>
            <w:r>
              <w:rPr>
                <w:sz w:val="22"/>
              </w:rPr>
              <w:t>Rifabutin (300 mg， 一日 1 次) +</w:t>
            </w:r>
          </w:p>
          <w:p>
            <w:pPr>
              <w:pStyle w:val="TableParagraph"/>
              <w:spacing w:line="388" w:lineRule="exact"/>
              <w:ind w:left="41"/>
              <w:rPr>
                <w:sz w:val="22"/>
              </w:rPr>
            </w:pPr>
            <w:r>
              <w:rPr>
                <w:sz w:val="22"/>
              </w:rPr>
              <w:t>INH + EMB + PZA</w:t>
            </w:r>
          </w:p>
        </w:tc>
        <w:tc>
          <w:tcPr>
            <w:tcW w:w="3261" w:type="dxa"/>
          </w:tcPr>
          <w:p>
            <w:pPr>
              <w:pStyle w:val="TableParagraph"/>
              <w:spacing w:line="213" w:lineRule="auto" w:before="27"/>
              <w:ind w:left="75" w:right="786"/>
              <w:rPr>
                <w:sz w:val="22"/>
              </w:rPr>
            </w:pPr>
            <w:r>
              <w:rPr>
                <w:color w:val="FF0000"/>
                <w:sz w:val="22"/>
              </w:rPr>
              <w:t>ABC/3TC/DTG DTG/3TC</w:t>
            </w:r>
          </w:p>
          <w:p>
            <w:pPr>
              <w:pStyle w:val="TableParagraph"/>
              <w:spacing w:line="213" w:lineRule="auto"/>
              <w:ind w:left="75"/>
              <w:rPr>
                <w:sz w:val="22"/>
              </w:rPr>
            </w:pPr>
            <w:r>
              <w:rPr>
                <w:color w:val="FF0000"/>
                <w:sz w:val="22"/>
              </w:rPr>
              <w:t>TDF/FTC + DTG (50 mg) TDF/FTC+ RAL (400 mg BID) ABC/3TC + RAL (400 mg BID)</w:t>
            </w:r>
          </w:p>
        </w:tc>
        <w:tc>
          <w:tcPr>
            <w:tcW w:w="4817" w:type="dxa"/>
          </w:tcPr>
          <w:p>
            <w:pPr>
              <w:pStyle w:val="TableParagraph"/>
              <w:spacing w:line="213" w:lineRule="auto" w:before="27"/>
              <w:ind w:left="75" w:right="4"/>
              <w:jc w:val="both"/>
              <w:rPr>
                <w:sz w:val="22"/>
              </w:rPr>
            </w:pPr>
            <w:r>
              <w:rPr>
                <w:sz w:val="22"/>
              </w:rPr>
              <w:t>DTG 50 mg QD 併用 rifabutin 300 mg QD 時， DTG 的 AUC 與單獨使用時相當，因此不需調整劑量。</w:t>
            </w:r>
          </w:p>
          <w:p>
            <w:pPr>
              <w:pStyle w:val="TableParagraph"/>
              <w:spacing w:line="350" w:lineRule="exact"/>
              <w:ind w:left="75"/>
              <w:jc w:val="both"/>
              <w:rPr>
                <w:sz w:val="22"/>
              </w:rPr>
            </w:pPr>
            <w:r>
              <w:rPr>
                <w:sz w:val="22"/>
              </w:rPr>
              <w:t>RAL 400 mg BID 併 用 rifabutin 時 ，AUC↑</w:t>
            </w:r>
          </w:p>
          <w:p>
            <w:pPr>
              <w:pStyle w:val="TableParagraph"/>
              <w:spacing w:line="382" w:lineRule="exact"/>
              <w:ind w:left="75"/>
              <w:rPr>
                <w:sz w:val="22"/>
              </w:rPr>
            </w:pPr>
            <w:r>
              <w:rPr>
                <w:sz w:val="22"/>
              </w:rPr>
              <w:t>19%，不需調整劑量。</w:t>
            </w:r>
          </w:p>
        </w:tc>
      </w:tr>
      <w:tr>
        <w:trPr>
          <w:trHeight w:val="1284" w:hRule="atLeast"/>
        </w:trPr>
        <w:tc>
          <w:tcPr>
            <w:tcW w:w="2263" w:type="dxa"/>
          </w:tcPr>
          <w:p>
            <w:pPr>
              <w:pStyle w:val="TableParagraph"/>
              <w:spacing w:line="206" w:lineRule="auto" w:before="49"/>
              <w:ind w:left="41" w:right="146"/>
              <w:rPr>
                <w:sz w:val="22"/>
              </w:rPr>
            </w:pPr>
            <w:r>
              <w:rPr>
                <w:sz w:val="22"/>
              </w:rPr>
              <w:t>Rifabutin (150 mg， 一日 1 次) +</w:t>
            </w:r>
          </w:p>
          <w:p>
            <w:pPr>
              <w:pStyle w:val="TableParagraph"/>
              <w:spacing w:line="384" w:lineRule="exact"/>
              <w:ind w:left="41"/>
              <w:rPr>
                <w:sz w:val="22"/>
              </w:rPr>
            </w:pPr>
            <w:r>
              <w:rPr>
                <w:sz w:val="22"/>
              </w:rPr>
              <w:t>INH + EMB + PZA</w:t>
            </w:r>
          </w:p>
        </w:tc>
        <w:tc>
          <w:tcPr>
            <w:tcW w:w="3261" w:type="dxa"/>
          </w:tcPr>
          <w:p>
            <w:pPr>
              <w:pStyle w:val="TableParagraph"/>
              <w:spacing w:line="206" w:lineRule="auto" w:before="49"/>
              <w:ind w:left="75" w:right="786"/>
              <w:rPr>
                <w:sz w:val="22"/>
              </w:rPr>
            </w:pPr>
            <w:r>
              <w:rPr>
                <w:color w:val="FF0000"/>
                <w:sz w:val="22"/>
              </w:rPr>
              <w:t>ABC/3TC+ LPV/r TDF/FTC+ LPV/r</w:t>
            </w:r>
          </w:p>
        </w:tc>
        <w:tc>
          <w:tcPr>
            <w:tcW w:w="4817" w:type="dxa"/>
          </w:tcPr>
          <w:p>
            <w:pPr>
              <w:pStyle w:val="TableParagraph"/>
              <w:spacing w:line="206" w:lineRule="auto" w:before="49"/>
              <w:ind w:left="75" w:right="59"/>
              <w:jc w:val="both"/>
              <w:rPr>
                <w:sz w:val="22"/>
              </w:rPr>
            </w:pPr>
            <w:r>
              <w:rPr>
                <w:sz w:val="22"/>
              </w:rPr>
              <w:t>含有 ritonavir</w:t>
            </w:r>
            <w:r>
              <w:rPr>
                <w:spacing w:val="4"/>
                <w:sz w:val="22"/>
              </w:rPr>
              <w:t> 的處方，會增加血中 </w:t>
            </w:r>
            <w:r>
              <w:rPr>
                <w:sz w:val="22"/>
              </w:rPr>
              <w:t>rifabutin</w:t>
            </w:r>
            <w:r>
              <w:rPr>
                <w:spacing w:val="1"/>
                <w:sz w:val="22"/>
              </w:rPr>
              <w:t> 濃</w:t>
            </w:r>
            <w:r>
              <w:rPr>
                <w:spacing w:val="-1"/>
                <w:sz w:val="22"/>
              </w:rPr>
              <w:t>度達 </w:t>
            </w:r>
            <w:r>
              <w:rPr>
                <w:sz w:val="22"/>
              </w:rPr>
              <w:t>4</w:t>
            </w:r>
            <w:r>
              <w:rPr>
                <w:spacing w:val="-5"/>
                <w:sz w:val="22"/>
              </w:rPr>
              <w:t> 倍之多，因此，</w:t>
            </w:r>
            <w:r>
              <w:rPr>
                <w:sz w:val="22"/>
              </w:rPr>
              <w:t>rifabutin</w:t>
            </w:r>
            <w:r>
              <w:rPr>
                <w:spacing w:val="-3"/>
                <w:sz w:val="22"/>
              </w:rPr>
              <w:t> 用於治療結核病</w:t>
            </w:r>
            <w:r>
              <w:rPr>
                <w:spacing w:val="-1"/>
                <w:sz w:val="22"/>
              </w:rPr>
              <w:t>的劑量由 </w:t>
            </w:r>
            <w:r>
              <w:rPr>
                <w:sz w:val="22"/>
              </w:rPr>
              <w:t>300 mg</w:t>
            </w:r>
            <w:r>
              <w:rPr>
                <w:spacing w:val="6"/>
                <w:sz w:val="22"/>
              </w:rPr>
              <w:t> 降低為每日服用 </w:t>
            </w:r>
            <w:r>
              <w:rPr>
                <w:sz w:val="22"/>
              </w:rPr>
              <w:t>150 mg。</w:t>
            </w:r>
          </w:p>
        </w:tc>
      </w:tr>
      <w:tr>
        <w:trPr>
          <w:trHeight w:val="1138" w:hRule="atLeast"/>
        </w:trPr>
        <w:tc>
          <w:tcPr>
            <w:tcW w:w="2263" w:type="dxa"/>
          </w:tcPr>
          <w:p>
            <w:pPr>
              <w:pStyle w:val="TableParagraph"/>
              <w:spacing w:line="206" w:lineRule="auto" w:before="49"/>
              <w:ind w:left="41" w:right="148"/>
              <w:rPr>
                <w:sz w:val="22"/>
              </w:rPr>
            </w:pPr>
            <w:r>
              <w:rPr>
                <w:sz w:val="22"/>
              </w:rPr>
              <w:t>Rifabutin (450 mg， 每天 1 次) +</w:t>
            </w:r>
          </w:p>
          <w:p>
            <w:pPr>
              <w:pStyle w:val="TableParagraph"/>
              <w:spacing w:line="373" w:lineRule="exact"/>
              <w:ind w:left="41"/>
              <w:rPr>
                <w:sz w:val="22"/>
              </w:rPr>
            </w:pPr>
            <w:r>
              <w:rPr>
                <w:sz w:val="22"/>
              </w:rPr>
              <w:t>INH + EMB + PZA</w:t>
            </w:r>
          </w:p>
        </w:tc>
        <w:tc>
          <w:tcPr>
            <w:tcW w:w="3261" w:type="dxa"/>
          </w:tcPr>
          <w:p>
            <w:pPr>
              <w:pStyle w:val="TableParagraph"/>
              <w:spacing w:before="8"/>
              <w:ind w:left="75"/>
              <w:rPr>
                <w:sz w:val="22"/>
              </w:rPr>
            </w:pPr>
            <w:r>
              <w:rPr>
                <w:color w:val="FF0000"/>
                <w:sz w:val="22"/>
              </w:rPr>
              <w:t>TDF/FTC/EFV</w:t>
            </w:r>
          </w:p>
        </w:tc>
        <w:tc>
          <w:tcPr>
            <w:tcW w:w="4817" w:type="dxa"/>
          </w:tcPr>
          <w:p>
            <w:pPr>
              <w:pStyle w:val="TableParagraph"/>
              <w:spacing w:line="206" w:lineRule="auto" w:before="49"/>
              <w:ind w:left="76" w:right="33" w:hanging="1"/>
              <w:jc w:val="both"/>
              <w:rPr>
                <w:sz w:val="22"/>
              </w:rPr>
            </w:pPr>
            <w:r>
              <w:rPr>
                <w:sz w:val="22"/>
              </w:rPr>
              <w:t>Efavirenz 會降低血中 rifabutin 濃度， 因此rifabutin 用於治療結核病的劑量由 300 mg 增加為 450 mg。</w:t>
            </w:r>
          </w:p>
        </w:tc>
      </w:tr>
    </w:tbl>
    <w:p>
      <w:pPr>
        <w:spacing w:line="213" w:lineRule="auto" w:before="111"/>
        <w:ind w:left="1180" w:right="1403" w:hanging="660"/>
        <w:jc w:val="both"/>
        <w:rPr>
          <w:sz w:val="22"/>
        </w:rPr>
      </w:pPr>
      <w:r>
        <w:rPr>
          <w:spacing w:val="-9"/>
          <w:sz w:val="22"/>
        </w:rPr>
        <w:t>註一：因為國內抗愛滋病毒藥物的治療建議與規範的修改，</w:t>
      </w:r>
      <w:r>
        <w:rPr>
          <w:spacing w:val="-3"/>
          <w:sz w:val="22"/>
        </w:rPr>
        <w:t>nevirapine 與 </w:t>
      </w:r>
      <w:r>
        <w:rPr>
          <w:sz w:val="22"/>
        </w:rPr>
        <w:t>ritonavir</w:t>
      </w:r>
      <w:r>
        <w:rPr>
          <w:spacing w:val="-2"/>
          <w:sz w:val="22"/>
        </w:rPr>
        <w:t> 都將自臺灣藥品</w:t>
      </w:r>
      <w:r>
        <w:rPr>
          <w:spacing w:val="-1"/>
          <w:sz w:val="22"/>
        </w:rPr>
        <w:t>市場消失，因此，關於 </w:t>
      </w:r>
      <w:r>
        <w:rPr>
          <w:sz w:val="22"/>
        </w:rPr>
        <w:t>nevirapine</w:t>
      </w:r>
      <w:r>
        <w:rPr>
          <w:spacing w:val="1"/>
          <w:sz w:val="22"/>
        </w:rPr>
        <w:t> 和必須合併使用 </w:t>
      </w:r>
      <w:r>
        <w:rPr>
          <w:sz w:val="22"/>
        </w:rPr>
        <w:t>ritonavir 的蛋白酶抑制劑的抗病毒治療處方，都不推薦使用。</w:t>
      </w:r>
    </w:p>
    <w:p>
      <w:pPr>
        <w:spacing w:line="213" w:lineRule="auto" w:before="0"/>
        <w:ind w:left="1169" w:right="1405" w:hanging="649"/>
        <w:jc w:val="both"/>
        <w:rPr>
          <w:sz w:val="22"/>
        </w:rPr>
      </w:pPr>
      <w:r>
        <w:rPr>
          <w:sz w:val="22"/>
        </w:rPr>
        <w:t>註二：Rifabutin 和 cobicistat-boosted darunavir (DRV [800 mg]/c, Prezcobix)，rifabutin 濃度增加，但是 DRV/c 濃度下降，因此並不建議同時使用。</w:t>
      </w:r>
    </w:p>
    <w:p>
      <w:pPr>
        <w:spacing w:line="189" w:lineRule="auto" w:before="0"/>
        <w:ind w:left="1168" w:right="1365" w:hanging="649"/>
        <w:jc w:val="both"/>
        <w:rPr>
          <w:sz w:val="22"/>
        </w:rPr>
      </w:pPr>
      <w:r>
        <w:rPr>
          <w:color w:val="FF0000"/>
          <w:sz w:val="22"/>
        </w:rPr>
        <w:t>註三：國際原廠的 coformulated tenofovir disoproxil fumarate, emtricitabine, and efavirenz (600 mg) (商品名，Atripla)將不再生產。coformulated TDF/lamivudine/efavirenz (400 mg)，能否和 rifampin 併用，如文中所述，臨床試驗資料有限，需要留意追蹤病毒量變化。</w:t>
      </w:r>
    </w:p>
    <w:p>
      <w:pPr>
        <w:spacing w:line="189" w:lineRule="auto" w:before="0"/>
        <w:ind w:left="1168" w:right="1404" w:hanging="649"/>
        <w:jc w:val="both"/>
        <w:rPr>
          <w:sz w:val="22"/>
        </w:rPr>
      </w:pPr>
      <w:r>
        <w:rPr>
          <w:color w:val="FF0000"/>
          <w:sz w:val="22"/>
        </w:rPr>
        <w:t>註四：針對愛滋病毒感染者治療前，血漿病毒量高於 500,000 copies/ml，而且併有結核病必須接</w:t>
      </w:r>
      <w:r>
        <w:rPr>
          <w:color w:val="FF0000"/>
          <w:spacing w:val="-1"/>
          <w:sz w:val="22"/>
        </w:rPr>
        <w:t>受 </w:t>
      </w:r>
      <w:r>
        <w:rPr>
          <w:color w:val="FF0000"/>
          <w:sz w:val="22"/>
        </w:rPr>
        <w:t>rifampin</w:t>
      </w:r>
      <w:r>
        <w:rPr>
          <w:color w:val="FF0000"/>
          <w:spacing w:val="-1"/>
          <w:sz w:val="22"/>
        </w:rPr>
        <w:t> 或者 </w:t>
      </w:r>
      <w:r>
        <w:rPr>
          <w:color w:val="FF0000"/>
          <w:sz w:val="22"/>
        </w:rPr>
        <w:t>rifabutin</w:t>
      </w:r>
      <w:r>
        <w:rPr>
          <w:color w:val="FF0000"/>
          <w:spacing w:val="-8"/>
          <w:sz w:val="22"/>
        </w:rPr>
        <w:t> 時，</w:t>
      </w:r>
      <w:r>
        <w:rPr>
          <w:color w:val="FF0000"/>
          <w:spacing w:val="-3"/>
          <w:sz w:val="22"/>
        </w:rPr>
        <w:t>DTG/3TC</w:t>
      </w:r>
      <w:r>
        <w:rPr>
          <w:color w:val="FF0000"/>
          <w:spacing w:val="-4"/>
          <w:sz w:val="22"/>
        </w:rPr>
        <w:t> 能否作為第一線抗病毒藥物治療，缺乏適當的臨床評估資料。</w:t>
      </w:r>
    </w:p>
    <w:p>
      <w:pPr>
        <w:spacing w:after="0" w:line="189" w:lineRule="auto"/>
        <w:jc w:val="both"/>
        <w:rPr>
          <w:sz w:val="22"/>
        </w:rPr>
        <w:sectPr>
          <w:pgSz w:w="12250" w:h="17190"/>
          <w:pgMar w:header="0" w:footer="748" w:top="1420" w:bottom="1020" w:left="840" w:right="0"/>
        </w:sectPr>
      </w:pPr>
    </w:p>
    <w:p>
      <w:pPr>
        <w:pStyle w:val="BodyText"/>
        <w:spacing w:before="16"/>
        <w:rPr>
          <w:sz w:val="10"/>
        </w:rPr>
      </w:pPr>
    </w:p>
    <w:p>
      <w:pPr>
        <w:spacing w:after="0"/>
        <w:rPr>
          <w:sz w:val="10"/>
        </w:rPr>
        <w:sectPr>
          <w:pgSz w:w="12250" w:h="17190"/>
          <w:pgMar w:header="0" w:footer="748" w:top="1640" w:bottom="940" w:left="840" w:right="0"/>
        </w:sectPr>
      </w:pPr>
    </w:p>
    <w:p>
      <w:pPr>
        <w:pStyle w:val="Heading1"/>
        <w:tabs>
          <w:tab w:pos="1479" w:val="left" w:leader="none"/>
        </w:tabs>
        <w:spacing w:line="674" w:lineRule="exact"/>
        <w:ind w:right="840"/>
        <w:jc w:val="center"/>
      </w:pPr>
      <w:r>
        <w:rPr/>
        <w:pict>
          <v:group style="position:absolute;margin-left:573pt;margin-top:6.4799pt;width:39.4pt;height:189.75pt;mso-position-horizontal-relative:page;mso-position-vertical-relative:paragraph;z-index:251845632" coordorigin="11460,130" coordsize="788,3795">
            <v:shape style="position:absolute;left:11460;top:129;width:788;height:3795" coordorigin="11460,130" coordsize="788,3795" path="m12247,130l11625,130,11561,143,11508,178,11473,231,11460,295,11460,3759,11473,3824,11508,3876,11561,3912,11625,3925,12247,3925,12247,130xe" filled="true" fillcolor="#a6a6a6" stroked="false">
              <v:path arrowok="t"/>
              <v:fill type="solid"/>
            </v:shape>
            <v:shape style="position:absolute;left:11460;top:129;width:788;height:3795" type="#_x0000_t202" filled="false" stroked="false">
              <v:textbox inset="0,0,0,0">
                <w:txbxContent>
                  <w:p>
                    <w:pPr>
                      <w:spacing w:line="146" w:lineRule="auto" w:before="126"/>
                      <w:ind w:left="136" w:right="428" w:firstLine="0"/>
                      <w:jc w:val="both"/>
                      <w:rPr>
                        <w:sz w:val="22"/>
                      </w:rPr>
                    </w:pPr>
                    <w:r>
                      <w:rPr>
                        <w:sz w:val="22"/>
                      </w:rPr>
                      <w:t>第十章</w:t>
                    </w:r>
                  </w:p>
                  <w:p>
                    <w:pPr>
                      <w:spacing w:line="141" w:lineRule="auto" w:before="235"/>
                      <w:ind w:left="136" w:right="428" w:firstLine="0"/>
                      <w:jc w:val="both"/>
                      <w:rPr>
                        <w:sz w:val="22"/>
                      </w:rPr>
                    </w:pPr>
                    <w:r>
                      <w:rPr>
                        <w:sz w:val="22"/>
                      </w:rPr>
                      <w:t>潛伏結核感染診斷與治療</w:t>
                    </w:r>
                  </w:p>
                </w:txbxContent>
              </v:textbox>
              <w10:wrap type="none"/>
            </v:shape>
            <w10:wrap type="none"/>
          </v:group>
        </w:pict>
      </w:r>
      <w:r>
        <w:rPr/>
        <w:t>第十章</w:t>
        <w:tab/>
        <w:t>潛伏結核感染(LTBI)診斷與治療</w:t>
      </w:r>
    </w:p>
    <w:p>
      <w:pPr>
        <w:pStyle w:val="Heading6"/>
        <w:numPr>
          <w:ilvl w:val="1"/>
          <w:numId w:val="122"/>
        </w:numPr>
        <w:tabs>
          <w:tab w:pos="1156" w:val="left" w:leader="none"/>
        </w:tabs>
        <w:spacing w:line="363" w:lineRule="exact" w:before="131" w:after="0"/>
        <w:ind w:left="1155" w:right="0" w:hanging="636"/>
        <w:jc w:val="left"/>
      </w:pPr>
      <w:r>
        <w:rPr>
          <w:spacing w:val="4"/>
        </w:rPr>
        <w:t>介紹</w:t>
      </w:r>
    </w:p>
    <w:p>
      <w:pPr>
        <w:pStyle w:val="BodyText"/>
        <w:spacing w:line="223" w:lineRule="auto" w:before="123"/>
        <w:ind w:left="1148" w:right="1356" w:firstLine="487"/>
        <w:jc w:val="both"/>
      </w:pPr>
      <w:r>
        <w:rPr/>
        <w:t>世界衛生組織針對潛伏結核感染（latent tuberculosis infection, LTBI）的診斷與治療，分別於 2015、2018 及 2020 年公布最新指引。全球人口約四分之一具潛伏結核感染(LTBI)，但過去因為中低收入國家仍然有非常多結核病人未接受治療，世界衛生組織建議對結核病人未滿 5 歲的接觸者以及愛滋感染者進行LTBI 治療，於 2015</w:t>
      </w:r>
    </w:p>
    <w:p>
      <w:pPr>
        <w:pStyle w:val="BodyText"/>
        <w:spacing w:line="223" w:lineRule="auto" w:before="5"/>
        <w:ind w:left="1148" w:right="1301"/>
        <w:jc w:val="both"/>
      </w:pPr>
      <w:r>
        <w:rPr>
          <w:spacing w:val="3"/>
        </w:rPr>
        <w:t>年開始建議結核病發生率每 </w:t>
      </w:r>
      <w:r>
        <w:rPr/>
        <w:t>10</w:t>
      </w:r>
      <w:r>
        <w:rPr>
          <w:spacing w:val="8"/>
        </w:rPr>
        <w:t> 萬人口 </w:t>
      </w:r>
      <w:r>
        <w:rPr/>
        <w:t>100</w:t>
      </w:r>
      <w:r>
        <w:rPr>
          <w:spacing w:val="2"/>
        </w:rPr>
        <w:t> 例以下的高收入及中高收入國家(臺灣就</w:t>
      </w:r>
      <w:r>
        <w:rPr>
          <w:spacing w:val="-6"/>
        </w:rPr>
        <w:t>是其一)，針對優先族群(容易從感染進展到發病)也提供 </w:t>
      </w:r>
      <w:r>
        <w:rPr/>
        <w:t>LTBI</w:t>
      </w:r>
      <w:r>
        <w:rPr>
          <w:spacing w:val="-3"/>
        </w:rPr>
        <w:t> 的診斷與治療；</w:t>
      </w:r>
      <w:r>
        <w:rPr>
          <w:spacing w:val="-5"/>
        </w:rPr>
        <w:t>2018</w:t>
      </w:r>
      <w:r>
        <w:rPr>
          <w:spacing w:val="2"/>
        </w:rPr>
        <w:t> 年</w:t>
      </w:r>
      <w:r>
        <w:rPr>
          <w:spacing w:val="6"/>
        </w:rPr>
        <w:t>進一步建議結核病高發生國家，指標個案為細菌學確認的肺結核病人之非愛滋感染</w:t>
      </w:r>
      <w:r>
        <w:rPr>
          <w:spacing w:val="-9"/>
        </w:rPr>
        <w:t>的全年齡家戶接觸者，在排除活動性結核病之後，應該進行接觸者 </w:t>
      </w:r>
      <w:r>
        <w:rPr/>
        <w:t>LTBI</w:t>
      </w:r>
      <w:r>
        <w:rPr>
          <w:spacing w:val="-4"/>
        </w:rPr>
        <w:t> 診斷與治療。2020</w:t>
      </w:r>
      <w:r>
        <w:rPr/>
        <w:t> 年的指引改變不大，強調應該打破所有執行上的障礙，讓倡議過的目標族群都能夠得到並完成結核病預防性治療(tuberculosis preventive treatment，TPT)，以利</w:t>
      </w:r>
      <w:r>
        <w:rPr>
          <w:spacing w:val="5"/>
        </w:rPr>
        <w:t>早日達到 </w:t>
      </w:r>
      <w:r>
        <w:rPr/>
        <w:t>2035</w:t>
      </w:r>
      <w:r>
        <w:rPr>
          <w:spacing w:val="9"/>
        </w:rPr>
        <w:t> 年每 </w:t>
      </w:r>
      <w:r>
        <w:rPr/>
        <w:t>10</w:t>
      </w:r>
      <w:r>
        <w:rPr>
          <w:spacing w:val="8"/>
        </w:rPr>
        <w:t> 萬人口 </w:t>
      </w:r>
      <w:r>
        <w:rPr/>
        <w:t>10</w:t>
      </w:r>
      <w:r>
        <w:rPr>
          <w:spacing w:val="2"/>
        </w:rPr>
        <w:t> 例以下的目標，並建議要加強三件事情：副作用</w:t>
      </w:r>
      <w:r>
        <w:rPr>
          <w:spacing w:val="-8"/>
        </w:rPr>
        <w:t>的監測，促進藥物治療的順從性與完成率，以及在國家計畫的管理、監測及評估下推</w:t>
      </w:r>
      <w:r>
        <w:rPr>
          <w:spacing w:val="2"/>
        </w:rPr>
        <w:t>展新處方。</w:t>
      </w:r>
    </w:p>
    <w:p>
      <w:pPr>
        <w:pStyle w:val="BodyText"/>
        <w:spacing w:line="223" w:lineRule="auto" w:before="14"/>
        <w:ind w:left="1148" w:right="1304" w:firstLine="487"/>
        <w:jc w:val="both"/>
      </w:pPr>
      <w:r>
        <w:rPr>
          <w:spacing w:val="3"/>
        </w:rPr>
        <w:t>針對非接觸者，</w:t>
      </w:r>
      <w:r>
        <w:rPr>
          <w:color w:val="C00000"/>
          <w:spacing w:val="2"/>
        </w:rPr>
        <w:t>世界衛生組織建議: </w:t>
      </w:r>
      <w:r>
        <w:rPr>
          <w:spacing w:val="3"/>
        </w:rPr>
        <w:t>每個國家</w:t>
      </w:r>
      <w:r>
        <w:rPr>
          <w:color w:val="C00000"/>
          <w:spacing w:val="4"/>
        </w:rPr>
        <w:t>在</w:t>
      </w:r>
      <w:r>
        <w:rPr>
          <w:spacing w:val="5"/>
        </w:rPr>
        <w:t>決定哪些族群應該進行 </w:t>
      </w:r>
      <w:r>
        <w:rPr/>
        <w:t>LTBI</w:t>
      </w:r>
      <w:r>
        <w:rPr>
          <w:spacing w:val="17"/>
        </w:rPr>
        <w:t> 的</w:t>
      </w:r>
      <w:r>
        <w:rPr>
          <w:spacing w:val="3"/>
        </w:rPr>
        <w:t>診斷與治療</w:t>
      </w:r>
      <w:r>
        <w:rPr>
          <w:color w:val="C00000"/>
          <w:spacing w:val="4"/>
        </w:rPr>
        <w:t>時</w:t>
      </w:r>
      <w:r>
        <w:rPr>
          <w:spacing w:val="2"/>
        </w:rPr>
        <w:t>，要考慮三個重點：第一，哪些族群適合進行 </w:t>
      </w:r>
      <w:r>
        <w:rPr/>
        <w:t>LTBI</w:t>
      </w:r>
      <w:r>
        <w:rPr>
          <w:spacing w:val="3"/>
        </w:rPr>
        <w:t> 治療；第二，評估檢驗 </w:t>
      </w:r>
      <w:r>
        <w:rPr/>
        <w:t>LTBI</w:t>
      </w:r>
      <w:r>
        <w:rPr>
          <w:spacing w:val="2"/>
        </w:rPr>
        <w:t> 的診斷工具，其正確性及使用上的優缺點；第三，</w:t>
      </w:r>
      <w:r>
        <w:rPr/>
        <w:t>LTBI</w:t>
      </w:r>
      <w:r>
        <w:rPr>
          <w:spacing w:val="3"/>
        </w:rPr>
        <w:t> 治療的各種處方， </w:t>
      </w:r>
      <w:r>
        <w:rPr>
          <w:spacing w:val="10"/>
        </w:rPr>
        <w:t>預防發病的效力及可能造成的傷害。</w:t>
      </w:r>
      <w:r>
        <w:rPr>
          <w:color w:val="C00000"/>
        </w:rPr>
        <w:t>LTBI</w:t>
      </w:r>
      <w:r>
        <w:rPr>
          <w:color w:val="C00000"/>
          <w:spacing w:val="10"/>
        </w:rPr>
        <w:t> 的</w:t>
      </w:r>
      <w:r>
        <w:rPr>
          <w:spacing w:val="11"/>
        </w:rPr>
        <w:t>診斷</w:t>
      </w:r>
      <w:r>
        <w:rPr>
          <w:color w:val="C00000"/>
          <w:spacing w:val="11"/>
        </w:rPr>
        <w:t>，則</w:t>
      </w:r>
      <w:r>
        <w:rPr>
          <w:spacing w:val="9"/>
        </w:rPr>
        <w:t>建議使用結核菌素皮膚測驗</w:t>
      </w:r>
      <w:r>
        <w:rPr>
          <w:spacing w:val="2"/>
        </w:rPr>
        <w:t>(</w:t>
      </w:r>
      <w:r>
        <w:rPr>
          <w:spacing w:val="1"/>
        </w:rPr>
        <w:t>t</w:t>
      </w:r>
      <w:r>
        <w:rPr>
          <w:spacing w:val="2"/>
        </w:rPr>
        <w:t>u</w:t>
      </w:r>
      <w:r>
        <w:rPr>
          <w:spacing w:val="1"/>
        </w:rPr>
        <w:t>b</w:t>
      </w:r>
      <w:r>
        <w:rPr>
          <w:spacing w:val="2"/>
        </w:rPr>
        <w:t>e</w:t>
      </w:r>
      <w:r>
        <w:rPr/>
        <w:t>r</w:t>
      </w:r>
      <w:r>
        <w:rPr>
          <w:spacing w:val="1"/>
        </w:rPr>
        <w:t>c</w:t>
      </w:r>
      <w:r>
        <w:rPr>
          <w:spacing w:val="2"/>
        </w:rPr>
        <w:t>ul</w:t>
      </w:r>
      <w:r>
        <w:rPr>
          <w:spacing w:val="1"/>
        </w:rPr>
        <w:t>i</w:t>
      </w:r>
      <w:r>
        <w:rPr/>
        <w:t>n </w:t>
      </w:r>
      <w:r>
        <w:rPr>
          <w:spacing w:val="2"/>
        </w:rPr>
        <w:t>s</w:t>
      </w:r>
      <w:r>
        <w:rPr>
          <w:spacing w:val="1"/>
        </w:rPr>
        <w:t>ki</w:t>
      </w:r>
      <w:r>
        <w:rPr/>
        <w:t>n </w:t>
      </w:r>
      <w:r>
        <w:rPr>
          <w:spacing w:val="1"/>
        </w:rPr>
        <w:t>t</w:t>
      </w:r>
      <w:r>
        <w:rPr>
          <w:spacing w:val="2"/>
        </w:rPr>
        <w:t>e</w:t>
      </w:r>
      <w:r>
        <w:rPr/>
        <w:t>s</w:t>
      </w:r>
      <w:r>
        <w:rPr>
          <w:spacing w:val="-49"/>
        </w:rPr>
        <w:t>t</w:t>
      </w:r>
      <w:r>
        <w:rPr>
          <w:spacing w:val="-46"/>
        </w:rPr>
        <w:t>，</w:t>
      </w:r>
      <w:r>
        <w:rPr>
          <w:spacing w:val="2"/>
        </w:rPr>
        <w:t>TS</w:t>
      </w:r>
      <w:r>
        <w:rPr/>
        <w:t>T</w:t>
      </w:r>
      <w:r>
        <w:rPr>
          <w:spacing w:val="-98"/>
        </w:rPr>
        <w:t>）</w:t>
      </w:r>
      <w:r>
        <w:rPr>
          <w:spacing w:val="3"/>
        </w:rPr>
        <w:t>或血液丙型干擾素釋放試驗</w:t>
      </w:r>
      <w:r>
        <w:rPr>
          <w:spacing w:val="2"/>
        </w:rPr>
        <w:t>(i</w:t>
      </w:r>
      <w:r>
        <w:rPr>
          <w:spacing w:val="1"/>
        </w:rPr>
        <w:t>nt</w:t>
      </w:r>
      <w:r>
        <w:rPr>
          <w:spacing w:val="2"/>
        </w:rPr>
        <w:t>e</w:t>
      </w:r>
      <w:r>
        <w:rPr>
          <w:spacing w:val="1"/>
        </w:rPr>
        <w:t>rf</w:t>
      </w:r>
      <w:r>
        <w:rPr>
          <w:spacing w:val="2"/>
        </w:rPr>
        <w:t>e</w:t>
      </w:r>
      <w:r>
        <w:rPr>
          <w:spacing w:val="1"/>
        </w:rPr>
        <w:t>ron</w:t>
      </w:r>
      <w:r>
        <w:rPr>
          <w:spacing w:val="2"/>
        </w:rPr>
        <w:t>-g</w:t>
      </w:r>
      <w:r>
        <w:rPr>
          <w:spacing w:val="1"/>
        </w:rPr>
        <w:t>a</w:t>
      </w:r>
      <w:r>
        <w:rPr>
          <w:spacing w:val="2"/>
        </w:rPr>
        <w:t>mm</w:t>
      </w:r>
      <w:r>
        <w:rPr/>
        <w:t>a r</w:t>
      </w:r>
      <w:r>
        <w:rPr>
          <w:spacing w:val="2"/>
        </w:rPr>
        <w:t>e</w:t>
      </w:r>
      <w:r>
        <w:rPr>
          <w:spacing w:val="1"/>
        </w:rPr>
        <w:t>l</w:t>
      </w:r>
      <w:r>
        <w:rPr>
          <w:spacing w:val="2"/>
        </w:rPr>
        <w:t>e</w:t>
      </w:r>
      <w:r>
        <w:rPr>
          <w:spacing w:val="1"/>
        </w:rPr>
        <w:t>a</w:t>
      </w:r>
      <w:r>
        <w:rPr>
          <w:spacing w:val="2"/>
        </w:rPr>
        <w:t>s</w:t>
      </w:r>
      <w:r>
        <w:rPr/>
        <w:t>e assay，IGRA</w:t>
      </w:r>
      <w:r>
        <w:rPr>
          <w:spacing w:val="1"/>
        </w:rPr>
        <w:t>)來進行。最重要的是，在 </w:t>
      </w:r>
      <w:r>
        <w:rPr/>
        <w:t>LTBI</w:t>
      </w:r>
      <w:r>
        <w:rPr>
          <w:spacing w:val="3"/>
        </w:rPr>
        <w:t> 治療開始前，要先排除活動性結核病。</w:t>
      </w:r>
      <w:r>
        <w:rPr>
          <w:spacing w:val="9"/>
        </w:rPr>
        <w:t>推薦的 </w:t>
      </w:r>
      <w:r>
        <w:rPr/>
        <w:t>LTBI</w:t>
      </w:r>
      <w:r>
        <w:rPr>
          <w:spacing w:val="7"/>
        </w:rPr>
        <w:t> 治療藥物組合包括 </w:t>
      </w:r>
      <w:r>
        <w:rPr/>
        <w:t>6</w:t>
      </w:r>
      <w:r>
        <w:rPr>
          <w:spacing w:val="12"/>
        </w:rPr>
        <w:t> 個月</w:t>
      </w:r>
      <w:r>
        <w:rPr>
          <w:color w:val="C00000"/>
          <w:spacing w:val="8"/>
        </w:rPr>
        <w:t>每天服用的 </w:t>
      </w:r>
      <w:r>
        <w:rPr>
          <w:spacing w:val="2"/>
        </w:rPr>
        <w:t>isoniazid(INH</w:t>
      </w:r>
      <w:r>
        <w:rPr>
          <w:color w:val="C00000"/>
          <w:spacing w:val="8"/>
        </w:rPr>
        <w:t>, 簡稱 </w:t>
      </w:r>
      <w:r>
        <w:rPr>
          <w:color w:val="C00000"/>
          <w:spacing w:val="2"/>
        </w:rPr>
        <w:t>6H</w:t>
      </w:r>
      <w:r>
        <w:rPr>
          <w:spacing w:val="4"/>
        </w:rPr>
        <w:t>)、</w:t>
      </w:r>
      <w:r>
        <w:rPr/>
        <w:t>9</w:t>
      </w:r>
      <w:r>
        <w:rPr>
          <w:spacing w:val="12"/>
        </w:rPr>
        <w:t> 個</w:t>
      </w:r>
      <w:r>
        <w:rPr>
          <w:spacing w:val="6"/>
        </w:rPr>
        <w:t>月</w:t>
      </w:r>
      <w:r>
        <w:rPr>
          <w:color w:val="C00000"/>
          <w:spacing w:val="6"/>
        </w:rPr>
        <w:t>每天服用</w:t>
      </w:r>
      <w:r>
        <w:rPr>
          <w:spacing w:val="14"/>
        </w:rPr>
        <w:t>的 </w:t>
      </w:r>
      <w:r>
        <w:rPr/>
        <w:t>INH</w:t>
      </w:r>
      <w:r>
        <w:rPr>
          <w:spacing w:val="6"/>
        </w:rPr>
        <w:t>(簡稱 </w:t>
      </w:r>
      <w:r>
        <w:rPr/>
        <w:t>9H</w:t>
      </w:r>
      <w:r>
        <w:rPr>
          <w:spacing w:val="1"/>
        </w:rPr>
        <w:t>)、</w:t>
      </w:r>
      <w:r>
        <w:rPr/>
        <w:t>3</w:t>
      </w:r>
      <w:r>
        <w:rPr>
          <w:spacing w:val="3"/>
        </w:rPr>
        <w:t> 個月每週一次的</w:t>
      </w:r>
      <w:r>
        <w:rPr>
          <w:color w:val="C00000"/>
          <w:spacing w:val="9"/>
        </w:rPr>
        <w:t>單方 </w:t>
      </w:r>
      <w:r>
        <w:rPr/>
        <w:t>INH</w:t>
      </w:r>
      <w:r>
        <w:rPr>
          <w:spacing w:val="15"/>
        </w:rPr>
        <w:t> 加 </w:t>
      </w:r>
      <w:r>
        <w:rPr/>
        <w:t>rifapentine(RPT</w:t>
      </w:r>
      <w:r>
        <w:rPr>
          <w:spacing w:val="9"/>
        </w:rPr>
        <w:t>) (簡稱 </w:t>
      </w:r>
      <w:r>
        <w:rPr/>
        <w:t>3HP</w:t>
      </w:r>
      <w:r>
        <w:rPr>
          <w:spacing w:val="2"/>
        </w:rPr>
        <w:t>，速克伏，</w:t>
      </w:r>
      <w:r>
        <w:rPr>
          <w:color w:val="C00000"/>
          <w:spacing w:val="3"/>
        </w:rPr>
        <w:t>該處方亦有複方 </w:t>
      </w:r>
      <w:r>
        <w:rPr>
          <w:color w:val="C00000"/>
        </w:rPr>
        <w:t>INH</w:t>
      </w:r>
      <w:r>
        <w:rPr>
          <w:color w:val="C00000"/>
          <w:spacing w:val="5"/>
        </w:rPr>
        <w:t> 加 </w:t>
      </w:r>
      <w:r>
        <w:rPr>
          <w:color w:val="C00000"/>
        </w:rPr>
        <w:t>RPT fixed dose combination，HP FDC </w:t>
      </w:r>
      <w:r>
        <w:rPr>
          <w:color w:val="C00000"/>
          <w:spacing w:val="-18"/>
        </w:rPr>
        <w:t>劑型)</w:t>
      </w:r>
      <w:r>
        <w:rPr>
          <w:spacing w:val="-57"/>
        </w:rPr>
        <w:t>、</w:t>
      </w:r>
      <w:r>
        <w:rPr/>
        <w:t>4</w:t>
      </w:r>
      <w:r>
        <w:rPr>
          <w:spacing w:val="-5"/>
        </w:rPr>
        <w:t> 個月</w:t>
      </w:r>
      <w:r>
        <w:rPr>
          <w:color w:val="C00000"/>
          <w:spacing w:val="3"/>
        </w:rPr>
        <w:t>每天服用</w:t>
      </w:r>
      <w:r>
        <w:rPr>
          <w:spacing w:val="38"/>
        </w:rPr>
        <w:t>的</w:t>
      </w:r>
      <w:r>
        <w:rPr/>
        <w:t>rifampin(RMP)</w:t>
      </w:r>
      <w:r>
        <w:rPr>
          <w:spacing w:val="13"/>
        </w:rPr>
        <w:t>(簡稱</w:t>
      </w:r>
      <w:r>
        <w:rPr>
          <w:spacing w:val="-19"/>
        </w:rPr>
        <w:t>4R</w:t>
      </w:r>
      <w:r>
        <w:rPr>
          <w:spacing w:val="-39"/>
        </w:rPr>
        <w:t>)、</w:t>
      </w:r>
      <w:r>
        <w:rPr/>
        <w:t>3</w:t>
      </w:r>
      <w:r>
        <w:rPr>
          <w:spacing w:val="-4"/>
        </w:rPr>
        <w:t> 個月</w:t>
      </w:r>
      <w:r>
        <w:rPr>
          <w:color w:val="C00000"/>
          <w:spacing w:val="3"/>
        </w:rPr>
        <w:t>每天服用</w:t>
      </w:r>
      <w:r>
        <w:rPr>
          <w:spacing w:val="38"/>
        </w:rPr>
        <w:t>的</w:t>
      </w:r>
      <w:r>
        <w:rPr/>
        <w:t>INH</w:t>
      </w:r>
      <w:r>
        <w:rPr>
          <w:spacing w:val="10"/>
        </w:rPr>
        <w:t> 加</w:t>
      </w:r>
      <w:r>
        <w:rPr/>
        <w:t>RMP(簡</w:t>
      </w:r>
      <w:r>
        <w:rPr>
          <w:spacing w:val="3"/>
        </w:rPr>
        <w:t>稱 </w:t>
      </w:r>
      <w:r>
        <w:rPr/>
        <w:t>3HR</w:t>
      </w:r>
      <w:r>
        <w:rPr>
          <w:spacing w:val="2"/>
        </w:rPr>
        <w:t>)以及 </w:t>
      </w:r>
      <w:r>
        <w:rPr/>
        <w:t>1</w:t>
      </w:r>
      <w:r>
        <w:rPr>
          <w:spacing w:val="2"/>
        </w:rPr>
        <w:t> 個月(</w:t>
      </w:r>
      <w:r>
        <w:rPr/>
        <w:t>28</w:t>
      </w:r>
      <w:r>
        <w:rPr>
          <w:spacing w:val="1"/>
        </w:rPr>
        <w:t> 天)每天服用的 </w:t>
      </w:r>
      <w:r>
        <w:rPr/>
        <w:t>INH</w:t>
      </w:r>
      <w:r>
        <w:rPr>
          <w:spacing w:val="3"/>
        </w:rPr>
        <w:t> 加 </w:t>
      </w:r>
      <w:r>
        <w:rPr/>
        <w:t>RPT</w:t>
      </w:r>
      <w:r>
        <w:rPr>
          <w:spacing w:val="2"/>
        </w:rPr>
        <w:t>(簡稱 </w:t>
      </w:r>
      <w:r>
        <w:rPr>
          <w:spacing w:val="-9"/>
        </w:rPr>
        <w:t>1HP)</w:t>
      </w:r>
      <w:r>
        <w:rPr>
          <w:color w:val="C00000"/>
          <w:spacing w:val="-6"/>
        </w:rPr>
        <w:t>；並推薦複方劑型，以</w:t>
      </w:r>
      <w:r>
        <w:rPr>
          <w:color w:val="C00000"/>
          <w:spacing w:val="3"/>
        </w:rPr>
        <w:t>提升服藥順從性</w:t>
      </w:r>
      <w:r>
        <w:rPr/>
        <w:t>。</w:t>
      </w:r>
    </w:p>
    <w:p>
      <w:pPr>
        <w:pStyle w:val="BodyText"/>
        <w:spacing w:line="223" w:lineRule="auto" w:before="19"/>
        <w:ind w:left="1148" w:right="1301" w:firstLine="487"/>
        <w:jc w:val="both"/>
      </w:pPr>
      <w:r>
        <w:rPr>
          <w:spacing w:val="25"/>
        </w:rPr>
        <w:t>世界衛生組織為了蒐集相關的科學證據，一共完成 </w:t>
      </w:r>
      <w:r>
        <w:rPr/>
        <w:t>3</w:t>
      </w:r>
      <w:r>
        <w:rPr>
          <w:spacing w:val="22"/>
        </w:rPr>
        <w:t> 個系統性回顧分析(systematic </w:t>
      </w:r>
      <w:r>
        <w:rPr/>
        <w:t>review)，依照證據建議「常規」進行 LTBI</w:t>
      </w:r>
      <w:r>
        <w:rPr>
          <w:spacing w:val="3"/>
        </w:rPr>
        <w:t> 的診斷與治療的第一類優先</w:t>
      </w:r>
      <w:r>
        <w:rPr>
          <w:spacing w:val="-16"/>
        </w:rPr>
        <w:t>族群包括：愛滋感染者、全年齡層的結核病接觸者、接受抗腫瘤壞死因子治療的病人、</w:t>
      </w:r>
      <w:r>
        <w:rPr>
          <w:spacing w:val="-14"/>
        </w:rPr>
        <w:t>洗腎的病人、準備做器官或血液腫瘤移植的病人，以及矽肺症病人。第二類優先族群， </w:t>
      </w:r>
      <w:r>
        <w:rPr>
          <w:spacing w:val="2"/>
        </w:rPr>
        <w:t>支持其進行 </w:t>
      </w:r>
      <w:r>
        <w:rPr/>
        <w:t>LTBI</w:t>
      </w:r>
      <w:r>
        <w:rPr>
          <w:spacing w:val="-1"/>
        </w:rPr>
        <w:t> 治療的證據比較薄弱，但是診斷及治療 </w:t>
      </w:r>
      <w:r>
        <w:rPr/>
        <w:t>LTBI 的益處可能大於傷害。</w:t>
      </w:r>
      <w:r>
        <w:rPr>
          <w:spacing w:val="2"/>
        </w:rPr>
        <w:t>在資源充足的狀況下，若已經推動第一類優先族群的 </w:t>
      </w:r>
      <w:r>
        <w:rPr/>
        <w:t>LTBI</w:t>
      </w:r>
      <w:r>
        <w:rPr>
          <w:spacing w:val="3"/>
        </w:rPr>
        <w:t> 診斷與治療，可以將資源</w:t>
      </w:r>
      <w:r>
        <w:rPr>
          <w:spacing w:val="-5"/>
        </w:rPr>
        <w:t>投注在此類族群，這類優先族群包括：醫療從業人員、結核病高負擔國家來的移民、</w:t>
      </w:r>
    </w:p>
    <w:p>
      <w:pPr>
        <w:spacing w:after="0" w:line="223" w:lineRule="auto"/>
        <w:jc w:val="both"/>
        <w:sectPr>
          <w:pgSz w:w="12250" w:h="17190"/>
          <w:pgMar w:header="0" w:footer="748" w:top="1340" w:bottom="940" w:left="840" w:right="0"/>
        </w:sectPr>
      </w:pPr>
    </w:p>
    <w:p>
      <w:pPr>
        <w:pStyle w:val="BodyText"/>
        <w:spacing w:line="223" w:lineRule="auto" w:before="46"/>
        <w:ind w:left="1148" w:right="1301"/>
        <w:jc w:val="both"/>
      </w:pPr>
      <w:r>
        <w:rPr>
          <w:spacing w:val="-7"/>
        </w:rPr>
        <w:t>矯正機關收容人、遊民以及非法藥物使用者。第三類族群，世界衛生組織不推薦系統</w:t>
      </w:r>
      <w:r>
        <w:rPr>
          <w:spacing w:val="3"/>
        </w:rPr>
        <w:t>性的 </w:t>
      </w:r>
      <w:r>
        <w:rPr/>
        <w:t>LTBI</w:t>
      </w:r>
      <w:r>
        <w:rPr>
          <w:spacing w:val="-2"/>
        </w:rPr>
        <w:t> 診斷與治療。主要是缺乏證據支持 </w:t>
      </w:r>
      <w:r>
        <w:rPr/>
        <w:t>LTBI 治療的益處優於可能受到的傷害。</w:t>
      </w:r>
      <w:r>
        <w:rPr>
          <w:spacing w:val="-10"/>
        </w:rPr>
        <w:t>這些人包括糖尿病人、嚴重酒癮者、吸菸者以及體重過輕者。但各國在擬定各自 </w:t>
      </w:r>
      <w:r>
        <w:rPr/>
        <w:t>LTBI </w:t>
      </w:r>
      <w:r>
        <w:rPr>
          <w:spacing w:val="-6"/>
        </w:rPr>
        <w:t>診斷與治療的目標族群時，除了參考世界衛生組織的建議，也應考量該國的流行病學</w:t>
      </w:r>
      <w:r>
        <w:rPr>
          <w:spacing w:val="2"/>
        </w:rPr>
        <w:t>資料、各種高風險族群的 </w:t>
      </w:r>
      <w:r>
        <w:rPr/>
        <w:t>LTBI</w:t>
      </w:r>
      <w:r>
        <w:rPr>
          <w:spacing w:val="2"/>
        </w:rPr>
        <w:t> 診斷與治療的可行性與合理性。</w:t>
      </w:r>
    </w:p>
    <w:p>
      <w:pPr>
        <w:pStyle w:val="BodyText"/>
        <w:spacing w:line="223" w:lineRule="auto" w:before="8"/>
        <w:ind w:left="1148" w:right="1301" w:firstLine="487"/>
        <w:jc w:val="both"/>
      </w:pPr>
      <w:r>
        <w:rPr>
          <w:spacing w:val="2"/>
        </w:rPr>
        <w:t>臺灣在 </w:t>
      </w:r>
      <w:r>
        <w:rPr/>
        <w:t>2008</w:t>
      </w:r>
      <w:r>
        <w:rPr>
          <w:spacing w:val="-1"/>
        </w:rPr>
        <w:t> 年開始，針對傳染性結核病病人的 </w:t>
      </w:r>
      <w:r>
        <w:rPr/>
        <w:t>13</w:t>
      </w:r>
      <w:r>
        <w:rPr>
          <w:spacing w:val="-1"/>
        </w:rPr>
        <w:t> 歲以下接觸者，以 </w:t>
      </w:r>
      <w:r>
        <w:rPr/>
        <w:t>TST</w:t>
      </w:r>
      <w:r>
        <w:rPr>
          <w:spacing w:val="3"/>
        </w:rPr>
        <w:t> 為診</w:t>
      </w:r>
      <w:r>
        <w:rPr>
          <w:spacing w:val="4"/>
        </w:rPr>
        <w:t>斷工具，進行 </w:t>
      </w:r>
      <w:r>
        <w:rPr/>
        <w:t>LTBI</w:t>
      </w:r>
      <w:r>
        <w:rPr>
          <w:spacing w:val="2"/>
        </w:rPr>
        <w:t> 診斷與治療。由於實務執行狀況良好，在 </w:t>
      </w:r>
      <w:r>
        <w:rPr/>
        <w:t>2012</w:t>
      </w:r>
      <w:r>
        <w:rPr>
          <w:spacing w:val="3"/>
        </w:rPr>
        <w:t> 年進一步擴展到</w:t>
      </w:r>
      <w:r>
        <w:rPr/>
        <w:t>1986</w:t>
      </w:r>
      <w:r>
        <w:rPr>
          <w:spacing w:val="-2"/>
        </w:rPr>
        <w:t> 年及以後出生的接觸者：</w:t>
      </w:r>
      <w:r>
        <w:rPr>
          <w:spacing w:val="-13"/>
        </w:rPr>
        <w:t>13</w:t>
      </w:r>
      <w:r>
        <w:rPr>
          <w:spacing w:val="-9"/>
        </w:rPr>
        <w:t> 歲(含)以上接觸者，其指標個案限定為痰塗片陽性。</w:t>
      </w:r>
    </w:p>
    <w:p>
      <w:pPr>
        <w:pStyle w:val="BodyText"/>
        <w:spacing w:line="223" w:lineRule="auto" w:before="5"/>
        <w:ind w:left="1148" w:right="1301"/>
        <w:jc w:val="both"/>
      </w:pPr>
      <w:r>
        <w:rPr/>
        <w:t>2010-2012</w:t>
      </w:r>
      <w:r>
        <w:rPr>
          <w:spacing w:val="2"/>
        </w:rPr>
        <w:t> 年期間，推動 </w:t>
      </w:r>
      <w:r>
        <w:rPr/>
        <w:t>11</w:t>
      </w:r>
      <w:r>
        <w:rPr>
          <w:spacing w:val="2"/>
        </w:rPr>
        <w:t> 個鄉鎮，全年齡層接觸者 </w:t>
      </w:r>
      <w:r>
        <w:rPr/>
        <w:t>LTBI</w:t>
      </w:r>
      <w:r>
        <w:rPr>
          <w:spacing w:val="3"/>
        </w:rPr>
        <w:t> 先驅計畫，精緻化接觸</w:t>
      </w:r>
      <w:r>
        <w:rPr>
          <w:spacing w:val="2"/>
        </w:rPr>
        <w:t>者檢查，並建立公共衛生與醫療體系共同推動中高年齡層 </w:t>
      </w:r>
      <w:r>
        <w:rPr/>
        <w:t>LTBI</w:t>
      </w:r>
      <w:r>
        <w:rPr>
          <w:spacing w:val="3"/>
        </w:rPr>
        <w:t> 的治療模式。同一時</w:t>
      </w:r>
      <w:r>
        <w:rPr>
          <w:spacing w:val="2"/>
        </w:rPr>
        <w:t>間，彰化縣及臺中市率先推廣全年齡層接觸者的 </w:t>
      </w:r>
      <w:r>
        <w:rPr/>
        <w:t>LTBI</w:t>
      </w:r>
      <w:r>
        <w:rPr>
          <w:spacing w:val="3"/>
        </w:rPr>
        <w:t> 治療，提供成年人 </w:t>
      </w:r>
      <w:r>
        <w:rPr/>
        <w:t>9H</w:t>
      </w:r>
      <w:r>
        <w:rPr>
          <w:spacing w:val="5"/>
        </w:rPr>
        <w:t> 治療。</w:t>
      </w:r>
      <w:r>
        <w:rPr>
          <w:spacing w:val="2"/>
        </w:rPr>
        <w:t>在這些基礎上，</w:t>
      </w:r>
      <w:r>
        <w:rPr/>
        <w:t>2015</w:t>
      </w:r>
      <w:r>
        <w:rPr>
          <w:spacing w:val="7"/>
        </w:rPr>
        <w:t> 年徵求全國 </w:t>
      </w:r>
      <w:r>
        <w:rPr/>
        <w:t>6</w:t>
      </w:r>
      <w:r>
        <w:rPr>
          <w:spacing w:val="6"/>
        </w:rPr>
        <w:t> 個縣市，推動 </w:t>
      </w:r>
      <w:r>
        <w:rPr/>
        <w:t>LTBI</w:t>
      </w:r>
      <w:r>
        <w:rPr>
          <w:spacing w:val="2"/>
        </w:rPr>
        <w:t> 全年齡層都治先驅計畫，辨</w:t>
      </w:r>
      <w:r>
        <w:rPr>
          <w:spacing w:val="4"/>
        </w:rPr>
        <w:t>識各單位需要協調溝通磨合的部分。在 </w:t>
      </w:r>
      <w:r>
        <w:rPr/>
        <w:t>2016</w:t>
      </w:r>
      <w:r>
        <w:rPr>
          <w:spacing w:val="13"/>
        </w:rPr>
        <w:t> 年針對</w:t>
      </w:r>
      <w:r>
        <w:rPr>
          <w:color w:val="C00000"/>
          <w:spacing w:val="2"/>
        </w:rPr>
        <w:t>高傳染力(</w:t>
      </w:r>
      <w:r>
        <w:rPr>
          <w:spacing w:val="3"/>
        </w:rPr>
        <w:t>痰塗片陽性且培養細</w:t>
      </w:r>
      <w:r>
        <w:rPr>
          <w:spacing w:val="-7"/>
        </w:rPr>
        <w:t>菌學確診)的結核病人，拓展其全年齡層接觸者 </w:t>
      </w:r>
      <w:r>
        <w:rPr/>
        <w:t>LTBI</w:t>
      </w:r>
      <w:r>
        <w:rPr>
          <w:spacing w:val="-8"/>
        </w:rPr>
        <w:t> 診斷與治療；</w:t>
      </w:r>
      <w:r>
        <w:rPr>
          <w:spacing w:val="-21"/>
        </w:rPr>
        <w:t>5</w:t>
      </w:r>
      <w:r>
        <w:rPr>
          <w:spacing w:val="2"/>
        </w:rPr>
        <w:t> 歲以上提供 </w:t>
      </w:r>
      <w:r>
        <w:rPr/>
        <w:t>IGRA </w:t>
      </w:r>
      <w:r>
        <w:rPr>
          <w:spacing w:val="2"/>
        </w:rPr>
        <w:t>檢驗，以減少因接種卡介苗造成偽陽性之干擾；同年 </w:t>
      </w:r>
      <w:r>
        <w:rPr/>
        <w:t>4</w:t>
      </w:r>
      <w:r>
        <w:rPr>
          <w:spacing w:val="4"/>
        </w:rPr>
        <w:t> 月引進 </w:t>
      </w:r>
      <w:r>
        <w:rPr/>
        <w:t>3HP</w:t>
      </w:r>
      <w:r>
        <w:rPr>
          <w:spacing w:val="3"/>
        </w:rPr>
        <w:t> 處方搭配每週 </w:t>
      </w:r>
      <w:r>
        <w:rPr/>
        <w:t>1 </w:t>
      </w:r>
      <w:r>
        <w:rPr>
          <w:spacing w:val="2"/>
        </w:rPr>
        <w:t>次的都治計畫，與原本的 </w:t>
      </w:r>
      <w:r>
        <w:rPr/>
        <w:t>9H</w:t>
      </w:r>
      <w:r>
        <w:rPr>
          <w:spacing w:val="3"/>
        </w:rPr>
        <w:t> 處方並行。</w:t>
      </w:r>
      <w:r>
        <w:rPr/>
        <w:t>2017</w:t>
      </w:r>
      <w:r>
        <w:rPr>
          <w:spacing w:val="2"/>
        </w:rPr>
        <w:t> 年起，回溯納入過去高傳染性結核病</w:t>
      </w:r>
      <w:r>
        <w:rPr>
          <w:spacing w:val="-7"/>
        </w:rPr>
        <w:t>病人，未曾接受 </w:t>
      </w:r>
      <w:r>
        <w:rPr/>
        <w:t>LTBI</w:t>
      </w:r>
      <w:r>
        <w:rPr>
          <w:spacing w:val="-4"/>
        </w:rPr>
        <w:t> 診斷及治療的接觸者；針對指標具 </w:t>
      </w:r>
      <w:r>
        <w:rPr/>
        <w:t>INH</w:t>
      </w:r>
      <w:r>
        <w:rPr>
          <w:spacing w:val="-5"/>
        </w:rPr>
        <w:t> 抗藥的接觸者，提供 </w:t>
      </w:r>
      <w:r>
        <w:rPr/>
        <w:t>4R </w:t>
      </w:r>
      <w:r>
        <w:rPr>
          <w:spacing w:val="-4"/>
        </w:rPr>
        <w:t>的處方治療。</w:t>
      </w:r>
      <w:r>
        <w:rPr/>
        <w:t>2019</w:t>
      </w:r>
      <w:r>
        <w:rPr>
          <w:spacing w:val="-3"/>
        </w:rPr>
        <w:t> 年起，針對中傳染力</w:t>
      </w:r>
      <w:r>
        <w:rPr>
          <w:color w:val="C00000"/>
          <w:spacing w:val="1"/>
        </w:rPr>
        <w:t>(塗片陰性但培養鑑定為 </w:t>
      </w:r>
      <w:r>
        <w:rPr>
          <w:color w:val="C00000"/>
        </w:rPr>
        <w:t>MTBC</w:t>
      </w:r>
      <w:r>
        <w:rPr>
          <w:color w:val="C00000"/>
          <w:spacing w:val="3"/>
        </w:rPr>
        <w:t>) 的結核病人</w:t>
      </w:r>
      <w:r>
        <w:rPr>
          <w:spacing w:val="-9"/>
        </w:rPr>
        <w:t>之共同居住，或</w:t>
      </w:r>
      <w:r>
        <w:rPr>
          <w:color w:val="C00000"/>
          <w:spacing w:val="3"/>
        </w:rPr>
        <w:t>具有結核病發病風險之相關共病</w:t>
      </w:r>
      <w:r>
        <w:rPr>
          <w:spacing w:val="-7"/>
        </w:rPr>
        <w:t>的接觸者，也納入 </w:t>
      </w:r>
      <w:r>
        <w:rPr/>
        <w:t>LTBI</w:t>
      </w:r>
      <w:r>
        <w:rPr>
          <w:spacing w:val="-4"/>
        </w:rPr>
        <w:t> 診斷及治療。2020</w:t>
      </w:r>
      <w:r>
        <w:rPr>
          <w:spacing w:val="-7"/>
        </w:rPr>
        <w:t> 年起，鑒於 </w:t>
      </w:r>
      <w:r>
        <w:rPr/>
        <w:t>3HP</w:t>
      </w:r>
      <w:r>
        <w:rPr>
          <w:spacing w:val="-1"/>
        </w:rPr>
        <w:t> 仍有一定比例民眾無法耐受其服藥副作用，參考國際各國使用</w:t>
      </w:r>
      <w:r>
        <w:rPr>
          <w:spacing w:val="2"/>
        </w:rPr>
        <w:t>經驗及世界衛生組織推薦 </w:t>
      </w:r>
      <w:r>
        <w:rPr/>
        <w:t>3HR</w:t>
      </w:r>
      <w:r>
        <w:rPr>
          <w:spacing w:val="4"/>
        </w:rPr>
        <w:t> 及 </w:t>
      </w:r>
      <w:r>
        <w:rPr/>
        <w:t>4R</w:t>
      </w:r>
      <w:r>
        <w:rPr>
          <w:spacing w:val="2"/>
        </w:rPr>
        <w:t> 處方，故擴大 </w:t>
      </w:r>
      <w:r>
        <w:rPr/>
        <w:t>3HR</w:t>
      </w:r>
      <w:r>
        <w:rPr>
          <w:spacing w:val="5"/>
        </w:rPr>
        <w:t> 及 </w:t>
      </w:r>
      <w:r>
        <w:rPr/>
        <w:t>4R</w:t>
      </w:r>
      <w:r>
        <w:rPr>
          <w:spacing w:val="3"/>
        </w:rPr>
        <w:t> 處方予全年齡層接觸</w:t>
      </w:r>
      <w:r>
        <w:rPr>
          <w:spacing w:val="2"/>
        </w:rPr>
        <w:t>者使用，以增加 </w:t>
      </w:r>
      <w:r>
        <w:rPr/>
        <w:t>LTBI</w:t>
      </w:r>
      <w:r>
        <w:rPr>
          <w:spacing w:val="3"/>
        </w:rPr>
        <w:t> 治療處方的選擇性。</w:t>
      </w:r>
    </w:p>
    <w:p>
      <w:pPr>
        <w:pStyle w:val="BodyText"/>
        <w:spacing w:line="223" w:lineRule="auto" w:before="22"/>
        <w:ind w:left="1148" w:right="1387" w:firstLine="487"/>
        <w:jc w:val="both"/>
      </w:pPr>
      <w:r>
        <w:rPr>
          <w:color w:val="C00000"/>
        </w:rPr>
        <w:t>2021 年透過 Global Drug Facility (GDF)平臺採購複方劑型 HP FDC，初期提供體重 50 公斤(含)以上之 LTBI 接觸者使用，並監測藥物安全性無虞後，於 2022 年起，逐步推廣到所有已經提供 3HP 處方的醫療院所及擴大專案對象使用。</w:t>
      </w:r>
    </w:p>
    <w:p>
      <w:pPr>
        <w:pStyle w:val="BodyText"/>
        <w:spacing w:line="223" w:lineRule="auto" w:before="5"/>
        <w:ind w:left="1148" w:right="1328" w:firstLine="487"/>
        <w:jc w:val="both"/>
      </w:pPr>
      <w:r>
        <w:rPr>
          <w:color w:val="C00000"/>
        </w:rPr>
        <w:t>2020 年世界衛生組織指引新增 1HP 處方，依據 2019 年 HIV 感染者的隨機分派臨床試驗結果: 28 天每日一次 1HP 在治療的有效性上不比 9H 差，安全性也相當， 在藥物相關的肝炎，仍然比 9H 來得安全；但缺乏 12 歲以下使用資料，故建議使用年齡為 13 歲(含)以上，雖然尚未有大型的非 HIV 感染者臨床試驗，但因為 28 天超短程處方將增加開始治療與完治率，故推薦使用於矯正機關、遊民及需要快速完成治療的 anti-TNF 治療者及準備器官移植者。</w:t>
      </w:r>
    </w:p>
    <w:p>
      <w:pPr>
        <w:pStyle w:val="BodyText"/>
        <w:spacing w:line="223" w:lineRule="auto" w:before="9"/>
        <w:ind w:left="1148" w:right="1357" w:firstLine="487"/>
        <w:jc w:val="both"/>
      </w:pPr>
      <w:r>
        <w:rPr>
          <w:color w:val="C00000"/>
        </w:rPr>
        <w:t>台灣 2021 年依照世界衛生組織指引及國內科技計畫研究成果，開始提供 HIV 感染者 1HP</w:t>
      </w:r>
      <w:r>
        <w:rPr/>
        <w:t>，</w:t>
      </w:r>
      <w:r>
        <w:rPr>
          <w:color w:val="C00000"/>
        </w:rPr>
        <w:t>使用經驗充足後，於 2022 年依照世界衛生組織的建議，取其療程較短的優勢，提供矯正機關收容人 1HP 處方的選項，又參考國內科技計畫在非 HIV 感染者的研究成果，於 2023 年將 1HP 納入我國 LTBI 治療的建議處方之一。</w:t>
      </w:r>
    </w:p>
    <w:p>
      <w:pPr>
        <w:spacing w:after="0" w:line="223" w:lineRule="auto"/>
        <w:jc w:val="both"/>
        <w:sectPr>
          <w:pgSz w:w="12250" w:h="17190"/>
          <w:pgMar w:header="0" w:footer="748" w:top="1460" w:bottom="1020" w:left="840" w:right="0"/>
        </w:sectPr>
      </w:pPr>
    </w:p>
    <w:p>
      <w:pPr>
        <w:pStyle w:val="BodyText"/>
        <w:spacing w:line="223" w:lineRule="auto" w:before="46"/>
        <w:ind w:left="1148" w:right="1303" w:firstLine="487"/>
        <w:jc w:val="both"/>
      </w:pPr>
      <w:r>
        <w:rPr/>
        <w:pict>
          <v:group style="position:absolute;margin-left:573pt;margin-top:.463599pt;width:39.4pt;height:189.75pt;mso-position-horizontal-relative:page;mso-position-vertical-relative:paragraph;z-index:251847680" coordorigin="11460,9" coordsize="788,3795">
            <v:shape style="position:absolute;left:11460;top:9;width:788;height:3795" coordorigin="11460,9" coordsize="788,3795" path="m12247,9l11625,9,11561,22,11508,58,11473,110,11460,175,11460,3639,11473,3703,11508,3756,11561,3791,11625,3804,12247,3804,12247,9xe" filled="true" fillcolor="#a6a6a6" stroked="false">
              <v:path arrowok="t"/>
              <v:fill type="solid"/>
            </v:shape>
            <v:shape style="position:absolute;left:11460;top:9;width:788;height:3795" type="#_x0000_t202" filled="false" stroked="false">
              <v:textbox inset="0,0,0,0">
                <w:txbxContent>
                  <w:p>
                    <w:pPr>
                      <w:spacing w:line="146" w:lineRule="auto" w:before="126"/>
                      <w:ind w:left="136" w:right="428" w:firstLine="0"/>
                      <w:jc w:val="both"/>
                      <w:rPr>
                        <w:sz w:val="22"/>
                      </w:rPr>
                    </w:pPr>
                    <w:r>
                      <w:rPr>
                        <w:sz w:val="22"/>
                      </w:rPr>
                      <w:t>第十章</w:t>
                    </w:r>
                  </w:p>
                  <w:p>
                    <w:pPr>
                      <w:spacing w:line="141" w:lineRule="auto" w:before="235"/>
                      <w:ind w:left="136" w:right="428" w:firstLine="0"/>
                      <w:jc w:val="both"/>
                      <w:rPr>
                        <w:sz w:val="22"/>
                      </w:rPr>
                    </w:pPr>
                    <w:r>
                      <w:rPr>
                        <w:sz w:val="22"/>
                      </w:rPr>
                      <w:t>潛伏結核感染診斷與治療</w:t>
                    </w:r>
                  </w:p>
                </w:txbxContent>
              </v:textbox>
              <w10:wrap type="none"/>
            </v:shape>
            <w10:wrap type="none"/>
          </v:group>
        </w:pict>
      </w:r>
      <w:r>
        <w:rPr>
          <w:color w:val="C00000"/>
        </w:rPr>
        <w:t>考量仍有部分無法使用 rifamycin 類藥品的個案，須使用 INH 處方，為增加治療意願減少治療中斷, 故依照世界衛生組織、美國 CDC 及歐盟 LTBI 治療處方指引， 自 2023 年起，我國建議 6H 短程處方亦可使用，尤其是推薦給無法使用 rifamycin 類藥品的非 HIV 感染者。2022 年分析台灣本土資料 2008 至 2020 年期間接受6H(614 位)與 9H 治療(32,458 位)的治療個案，追蹤到 2021 年底每萬人年發病率分別為 3.08 及 2.14，調整其他可能影響的變項後，兩組的累積發病率並無統計顯著上的差異 (</w:t>
      </w:r>
      <w:r>
        <w:rPr>
          <w:i/>
          <w:color w:val="C00000"/>
          <w:sz w:val="25"/>
        </w:rPr>
        <w:t>p</w:t>
      </w:r>
      <w:r>
        <w:rPr>
          <w:color w:val="C00000"/>
        </w:rPr>
        <w:t>=0.738)。</w:t>
      </w:r>
    </w:p>
    <w:p>
      <w:pPr>
        <w:pStyle w:val="BodyText"/>
        <w:spacing w:line="223" w:lineRule="auto"/>
        <w:ind w:left="1183" w:right="1301" w:firstLine="487"/>
        <w:jc w:val="both"/>
      </w:pPr>
      <w:r>
        <w:rPr/>
        <w:t>依照結核病流行病學的數理模式推估，臺灣若只針對接觸者進行 LTBI</w:t>
      </w:r>
      <w:r>
        <w:rPr>
          <w:spacing w:val="-3"/>
        </w:rPr>
        <w:t> 治療，絕</w:t>
      </w:r>
      <w:r>
        <w:rPr>
          <w:spacing w:val="5"/>
        </w:rPr>
        <w:t>不可能在 </w:t>
      </w:r>
      <w:r>
        <w:rPr/>
        <w:t>2035</w:t>
      </w:r>
      <w:r>
        <w:rPr>
          <w:spacing w:val="3"/>
        </w:rPr>
        <w:t> 年將結核病發生率降到每 </w:t>
      </w:r>
      <w:r>
        <w:rPr/>
        <w:t>10</w:t>
      </w:r>
      <w:r>
        <w:rPr>
          <w:spacing w:val="7"/>
        </w:rPr>
        <w:t> 萬人口 </w:t>
      </w:r>
      <w:r>
        <w:rPr/>
        <w:t>10</w:t>
      </w:r>
      <w:r>
        <w:rPr>
          <w:spacing w:val="4"/>
        </w:rPr>
        <w:t> 例以下。故從 </w:t>
      </w:r>
      <w:r>
        <w:rPr/>
        <w:t>2008</w:t>
      </w:r>
      <w:r>
        <w:rPr>
          <w:spacing w:val="5"/>
        </w:rPr>
        <w:t> 年起， </w:t>
      </w:r>
      <w:r>
        <w:rPr>
          <w:spacing w:val="2"/>
        </w:rPr>
        <w:t>先針對矯正機關收容人、愛滋感染者等優先族群，同時提供 </w:t>
      </w:r>
      <w:r>
        <w:rPr/>
        <w:t>TST</w:t>
      </w:r>
      <w:r>
        <w:rPr>
          <w:spacing w:val="11"/>
        </w:rPr>
        <w:t> 以及 </w:t>
      </w:r>
      <w:r>
        <w:rPr/>
        <w:t>IGRA</w:t>
      </w:r>
      <w:r>
        <w:rPr>
          <w:spacing w:val="6"/>
        </w:rPr>
        <w:t> 檢驗， </w:t>
      </w:r>
      <w:r>
        <w:rPr>
          <w:spacing w:val="3"/>
        </w:rPr>
        <w:t>進行成人 </w:t>
      </w:r>
      <w:r>
        <w:rPr/>
        <w:t>LTBI</w:t>
      </w:r>
      <w:r>
        <w:rPr>
          <w:spacing w:val="-1"/>
        </w:rPr>
        <w:t> 診斷與治療之先驅計畫。之後陸續透過先驅計畫，針對結核病高風險</w:t>
      </w:r>
      <w:r>
        <w:rPr>
          <w:spacing w:val="-10"/>
        </w:rPr>
        <w:t>族群包括：慢性肺病、血液腫瘤疾病、慢性腎臟病、糖尿病、愛滋感染者、風濕免疫</w:t>
      </w:r>
      <w:r>
        <w:rPr>
          <w:spacing w:val="-11"/>
        </w:rPr>
        <w:t>病人、醫療從業人員、山地原鄉住民、密集機構住民及工作人員，及矯正機關收容人</w:t>
      </w:r>
      <w:r>
        <w:rPr>
          <w:spacing w:val="-3"/>
        </w:rPr>
        <w:t>等對象，進行結核病主動檢驗及 </w:t>
      </w:r>
      <w:r>
        <w:rPr/>
        <w:t>LTBI</w:t>
      </w:r>
      <w:r>
        <w:rPr>
          <w:spacing w:val="-2"/>
        </w:rPr>
        <w:t> 治療計畫。在考慮 </w:t>
      </w:r>
      <w:r>
        <w:rPr/>
        <w:t>LTBI 的檢驗及治療對象時， </w:t>
      </w:r>
      <w:r>
        <w:rPr>
          <w:spacing w:val="6"/>
        </w:rPr>
        <w:t>必須考慮該族群在國內執行面上是否具體可行且符合經濟效率，及盡量不造成傷害</w:t>
      </w:r>
      <w:r>
        <w:rPr/>
        <w:t>(do</w:t>
      </w:r>
      <w:r>
        <w:rPr>
          <w:spacing w:val="35"/>
        </w:rPr>
        <w:t> </w:t>
      </w:r>
      <w:r>
        <w:rPr/>
        <w:t>no harm)</w:t>
      </w:r>
      <w:r>
        <w:rPr>
          <w:spacing w:val="3"/>
        </w:rPr>
        <w:t>。我國在地特色的優先族群為山地原鄉，國內山地原鄉結核病發生率</w:t>
      </w:r>
      <w:r>
        <w:rPr>
          <w:spacing w:val="5"/>
        </w:rPr>
        <w:t>約為全國平均的 </w:t>
      </w:r>
      <w:r>
        <w:rPr/>
        <w:t>3-4</w:t>
      </w:r>
      <w:r>
        <w:rPr>
          <w:spacing w:val="3"/>
        </w:rPr>
        <w:t> 倍，結合相關醫療照護資源導入山地原鄉部落，於 </w:t>
      </w:r>
      <w:r>
        <w:rPr/>
        <w:t>2016</w:t>
      </w:r>
      <w:r>
        <w:rPr>
          <w:spacing w:val="12"/>
        </w:rPr>
        <w:t> 年起</w:t>
      </w:r>
      <w:r>
        <w:rPr/>
        <w:t>擇定地區進行以村落為單位，全面篩檢結核病及 LTBI 檢驗並銜接治療。考慮國內疫</w:t>
      </w:r>
      <w:r>
        <w:rPr>
          <w:spacing w:val="14"/>
        </w:rPr>
        <w:t>情以 </w:t>
      </w:r>
      <w:r>
        <w:rPr/>
        <w:t>65</w:t>
      </w:r>
      <w:r>
        <w:rPr>
          <w:spacing w:val="4"/>
        </w:rPr>
        <w:t> 歲以上病人占所有結核病人的比例近 </w:t>
      </w:r>
      <w:r>
        <w:rPr/>
        <w:t>60%</w:t>
      </w:r>
      <w:r>
        <w:rPr>
          <w:spacing w:val="2"/>
        </w:rPr>
        <w:t>，雖然該年齡層發生率已逐年下</w:t>
      </w:r>
      <w:r>
        <w:rPr>
          <w:spacing w:val="3"/>
        </w:rPr>
        <w:t>降到 </w:t>
      </w:r>
      <w:r>
        <w:rPr/>
        <w:t>2018</w:t>
      </w:r>
      <w:r>
        <w:rPr>
          <w:spacing w:val="2"/>
        </w:rPr>
        <w:t> 年低於每 </w:t>
      </w:r>
      <w:r>
        <w:rPr/>
        <w:t>10</w:t>
      </w:r>
      <w:r>
        <w:rPr>
          <w:spacing w:val="3"/>
        </w:rPr>
        <w:t> 萬人口 </w:t>
      </w:r>
      <w:r>
        <w:rPr/>
        <w:t>200</w:t>
      </w:r>
      <w:r>
        <w:rPr>
          <w:spacing w:val="-3"/>
        </w:rPr>
        <w:t> 例，但仍然是全國發生率 </w:t>
      </w:r>
      <w:r>
        <w:rPr/>
        <w:t>4</w:t>
      </w:r>
      <w:r>
        <w:rPr>
          <w:spacing w:val="-3"/>
        </w:rPr>
        <w:t> 倍之多，於 </w:t>
      </w:r>
      <w:r>
        <w:rPr/>
        <w:t>2018</w:t>
      </w:r>
      <w:r>
        <w:rPr>
          <w:spacing w:val="2"/>
        </w:rPr>
        <w:t> 年</w:t>
      </w:r>
      <w:r>
        <w:rPr>
          <w:spacing w:val="-1"/>
        </w:rPr>
        <w:t>配合國家長照機構優化政策，推動長照機構老人族群結核病主動發現暨 </w:t>
      </w:r>
      <w:r>
        <w:rPr/>
        <w:t>LTBI</w:t>
      </w:r>
      <w:r>
        <w:rPr>
          <w:spacing w:val="3"/>
        </w:rPr>
        <w:t> 治療整</w:t>
      </w:r>
      <w:r>
        <w:rPr>
          <w:spacing w:val="-10"/>
        </w:rPr>
        <w:t>合計畫；此計畫與提升室內空氣品質，人口密集機構感染管制等策略相互搭配，強化</w:t>
      </w:r>
      <w:r>
        <w:rPr>
          <w:spacing w:val="-7"/>
        </w:rPr>
        <w:t>主動發現，減少機構內群聚及再傳播發生，並同時降低結核病死亡率。又於 </w:t>
      </w:r>
      <w:r>
        <w:rPr/>
        <w:t>2019</w:t>
      </w:r>
      <w:r>
        <w:rPr>
          <w:spacing w:val="2"/>
        </w:rPr>
        <w:t> 年</w:t>
      </w:r>
      <w:r>
        <w:rPr>
          <w:spacing w:val="-1"/>
        </w:rPr>
        <w:t>開始，陸續針對矯正機關收容人、愛滋感染者</w:t>
      </w:r>
      <w:r>
        <w:rPr>
          <w:color w:val="C00000"/>
        </w:rPr>
        <w:t>相關醫院合作，擴大推動 LTBI</w:t>
      </w:r>
      <w:r>
        <w:rPr>
          <w:color w:val="C00000"/>
          <w:spacing w:val="1"/>
        </w:rPr>
        <w:t> 診斷與</w:t>
      </w:r>
      <w:r>
        <w:rPr>
          <w:color w:val="C00000"/>
          <w:spacing w:val="-1"/>
        </w:rPr>
        <w:t>治療；另經過 </w:t>
      </w:r>
      <w:r>
        <w:rPr>
          <w:color w:val="C00000"/>
        </w:rPr>
        <w:t>3 年的試辦計畫，於 2022</w:t>
      </w:r>
      <w:r>
        <w:rPr>
          <w:color w:val="C00000"/>
          <w:spacing w:val="3"/>
        </w:rPr>
        <w:t> 年將過去多重抗藥性結核病</w:t>
      </w:r>
      <w:r>
        <w:rPr>
          <w:color w:val="C00000"/>
        </w:rPr>
        <w:t>(MDR-TB)</w:t>
      </w:r>
      <w:r>
        <w:rPr>
          <w:color w:val="C00000"/>
          <w:spacing w:val="3"/>
        </w:rPr>
        <w:t>病人</w:t>
      </w:r>
      <w:r>
        <w:rPr>
          <w:color w:val="C00000"/>
          <w:spacing w:val="1"/>
        </w:rPr>
        <w:t>的接觸者由追蹤觀察方式，轉採積極主動轉介至抗藥性結核病醫療照護體系(</w:t>
      </w:r>
      <w:r>
        <w:rPr>
          <w:color w:val="C00000"/>
        </w:rPr>
        <w:t>TMTC </w:t>
      </w:r>
      <w:r>
        <w:rPr>
          <w:color w:val="C00000"/>
          <w:spacing w:val="2"/>
        </w:rPr>
        <w:t>團隊) 進行使用九個月 </w:t>
      </w:r>
      <w:r>
        <w:rPr>
          <w:color w:val="C00000"/>
        </w:rPr>
        <w:t>Fluoroquinolone</w:t>
      </w:r>
      <w:r>
        <w:rPr>
          <w:color w:val="C00000"/>
          <w:spacing w:val="-4"/>
        </w:rPr>
        <w:t> (</w:t>
      </w:r>
      <w:r>
        <w:rPr>
          <w:color w:val="C00000"/>
        </w:rPr>
        <w:t>9FQ</w:t>
      </w:r>
      <w:r>
        <w:rPr>
          <w:color w:val="C00000"/>
          <w:spacing w:val="-4"/>
        </w:rPr>
        <w:t>) (</w:t>
      </w:r>
      <w:r>
        <w:rPr>
          <w:color w:val="C00000"/>
        </w:rPr>
        <w:t>+/-EMB</w:t>
      </w:r>
      <w:r>
        <w:rPr>
          <w:color w:val="C00000"/>
          <w:spacing w:val="-3"/>
        </w:rPr>
        <w:t>、</w:t>
      </w:r>
      <w:r>
        <w:rPr>
          <w:color w:val="C00000"/>
        </w:rPr>
        <w:t>PTO or CS</w:t>
      </w:r>
      <w:r>
        <w:rPr>
          <w:color w:val="C00000"/>
          <w:spacing w:val="-7"/>
        </w:rPr>
        <w:t> ) </w:t>
      </w:r>
      <w:r>
        <w:rPr>
          <w:color w:val="C00000"/>
        </w:rPr>
        <w:t>LTBI</w:t>
      </w:r>
      <w:r>
        <w:rPr>
          <w:color w:val="C00000"/>
          <w:spacing w:val="3"/>
        </w:rPr>
        <w:t> 治療的可行性評估。</w:t>
      </w:r>
    </w:p>
    <w:p>
      <w:pPr>
        <w:pStyle w:val="BodyText"/>
        <w:spacing w:line="223" w:lineRule="auto" w:before="28"/>
        <w:ind w:left="1148" w:right="1357" w:firstLine="487"/>
        <w:jc w:val="both"/>
      </w:pPr>
      <w:r>
        <w:rPr/>
        <w:t>表 10-1 計算臺灣不同高危險族群的效益評估參數。臺灣的 LTBI 診斷與治療視資源逐步推展至非接觸者的結核病優先族群，在 2021-2025 年的第二期國家結核病計畫，將逐步擴展至來自結核病高負擔國家的新住民等優先族群，以提升 LTBI 診斷與治療涵蓋率。希望逐步達成發生率降到每 10 萬人口 10 例以下的 2035 國家消除結核防治計畫目標，讓臺灣正式進入低結核發生率國家之列。</w:t>
      </w:r>
    </w:p>
    <w:p>
      <w:pPr>
        <w:spacing w:after="0" w:line="223" w:lineRule="auto"/>
        <w:jc w:val="both"/>
        <w:sectPr>
          <w:pgSz w:w="12250" w:h="17190"/>
          <w:pgMar w:header="0" w:footer="748" w:top="1460" w:bottom="1020" w:left="840" w:right="0"/>
        </w:sectPr>
      </w:pPr>
    </w:p>
    <w:p>
      <w:pPr>
        <w:pStyle w:val="Heading6"/>
        <w:numPr>
          <w:ilvl w:val="1"/>
          <w:numId w:val="122"/>
        </w:numPr>
        <w:tabs>
          <w:tab w:pos="1156" w:val="left" w:leader="none"/>
        </w:tabs>
        <w:spacing w:line="240" w:lineRule="auto" w:before="16" w:after="0"/>
        <w:ind w:left="1155" w:right="0" w:hanging="636"/>
        <w:jc w:val="both"/>
      </w:pPr>
      <w:r>
        <w:rPr>
          <w:spacing w:val="4"/>
        </w:rPr>
        <w:t>建議</w:t>
      </w:r>
    </w:p>
    <w:p>
      <w:pPr>
        <w:pStyle w:val="Heading7"/>
        <w:numPr>
          <w:ilvl w:val="2"/>
          <w:numId w:val="122"/>
        </w:numPr>
        <w:tabs>
          <w:tab w:pos="1472" w:val="left" w:leader="none"/>
        </w:tabs>
        <w:spacing w:line="240" w:lineRule="auto" w:before="42" w:after="0"/>
        <w:ind w:left="1471" w:right="0" w:hanging="841"/>
        <w:jc w:val="both"/>
      </w:pPr>
      <w:bookmarkStart w:name="10.2.1 LTBI檢驗及治療對象" w:id="106"/>
      <w:bookmarkEnd w:id="106"/>
      <w:r>
        <w:rPr>
          <w:b w:val="0"/>
        </w:rPr>
      </w:r>
      <w:bookmarkStart w:name="10.2.1 LTBI檢驗及治療對象" w:id="107"/>
      <w:bookmarkEnd w:id="107"/>
      <w:r>
        <w:rPr/>
        <w:t>LT</w:t>
      </w:r>
      <w:r>
        <w:rPr/>
        <w:t>BI</w:t>
      </w:r>
      <w:r>
        <w:rPr>
          <w:spacing w:val="-1"/>
        </w:rPr>
        <w:t> </w:t>
      </w:r>
      <w:r>
        <w:rPr>
          <w:color w:val="C00000"/>
        </w:rPr>
        <w:t>檢驗及</w:t>
      </w:r>
      <w:r>
        <w:rPr/>
        <w:t>治療對象</w:t>
      </w:r>
    </w:p>
    <w:p>
      <w:pPr>
        <w:pStyle w:val="ListParagraph"/>
        <w:numPr>
          <w:ilvl w:val="3"/>
          <w:numId w:val="122"/>
        </w:numPr>
        <w:tabs>
          <w:tab w:pos="1486" w:val="left" w:leader="none"/>
        </w:tabs>
        <w:spacing w:line="225" w:lineRule="auto" w:before="27" w:after="0"/>
        <w:ind w:left="1485" w:right="1358" w:hanging="305"/>
        <w:jc w:val="both"/>
        <w:rPr>
          <w:sz w:val="24"/>
        </w:rPr>
      </w:pPr>
      <w:r>
        <w:rPr>
          <w:spacing w:val="3"/>
          <w:sz w:val="24"/>
        </w:rPr>
        <w:t>政策推動對象：結核病接觸者、山地原鄉居民、醫療從業人員、矯正機關收容人及工作人員、長照機構老人及工作人員、及具有以下情形病人：愛滋感染者、注射藥癮者、洗腎、</w:t>
      </w:r>
      <w:r>
        <w:rPr>
          <w:color w:val="C00000"/>
          <w:spacing w:val="3"/>
          <w:sz w:val="24"/>
        </w:rPr>
        <w:t>控制不佳的</w:t>
      </w:r>
      <w:r>
        <w:rPr>
          <w:spacing w:val="3"/>
          <w:sz w:val="24"/>
        </w:rPr>
        <w:t>糖尿病</w:t>
      </w:r>
      <w:r>
        <w:rPr>
          <w:color w:val="C00000"/>
          <w:sz w:val="24"/>
        </w:rPr>
        <w:t>(HbA1c&gt;9%)</w:t>
      </w:r>
      <w:r>
        <w:rPr>
          <w:spacing w:val="4"/>
          <w:sz w:val="24"/>
        </w:rPr>
        <w:t>、風濕免疫疾病接受抗腫瘤壞</w:t>
      </w:r>
      <w:r>
        <w:rPr>
          <w:spacing w:val="3"/>
          <w:sz w:val="24"/>
        </w:rPr>
        <w:t>死因子治療者</w:t>
      </w:r>
      <w:r>
        <w:rPr>
          <w:color w:val="C00000"/>
          <w:spacing w:val="2"/>
          <w:sz w:val="24"/>
        </w:rPr>
        <w:t>及來自結核病高負擔國家新住民、慢性阻塞性肺病(</w:t>
      </w:r>
      <w:r>
        <w:rPr>
          <w:color w:val="C00000"/>
          <w:sz w:val="24"/>
        </w:rPr>
        <w:t>60</w:t>
      </w:r>
      <w:r>
        <w:rPr>
          <w:color w:val="C00000"/>
          <w:spacing w:val="3"/>
          <w:sz w:val="24"/>
        </w:rPr>
        <w:t> 歲以上)、矽</w:t>
      </w:r>
      <w:r>
        <w:rPr>
          <w:color w:val="C00000"/>
          <w:spacing w:val="2"/>
          <w:sz w:val="24"/>
        </w:rPr>
        <w:t>肺症。</w:t>
      </w:r>
    </w:p>
    <w:p>
      <w:pPr>
        <w:pStyle w:val="ListParagraph"/>
        <w:numPr>
          <w:ilvl w:val="3"/>
          <w:numId w:val="122"/>
        </w:numPr>
        <w:tabs>
          <w:tab w:pos="1486" w:val="left" w:leader="none"/>
        </w:tabs>
        <w:spacing w:line="225" w:lineRule="auto" w:before="7" w:after="0"/>
        <w:ind w:left="1485" w:right="1363" w:hanging="305"/>
        <w:jc w:val="both"/>
        <w:rPr>
          <w:sz w:val="24"/>
        </w:rPr>
      </w:pPr>
      <w:r>
        <w:rPr>
          <w:spacing w:val="3"/>
          <w:sz w:val="24"/>
        </w:rPr>
        <w:t>未來推動對象：遊民、</w:t>
      </w:r>
      <w:r>
        <w:rPr>
          <w:color w:val="C00000"/>
          <w:spacing w:val="3"/>
          <w:sz w:val="24"/>
        </w:rPr>
        <w:t>準備做器官或骨髓移植的待移植者與捐贈者</w:t>
      </w:r>
      <w:r>
        <w:rPr>
          <w:spacing w:val="2"/>
          <w:sz w:val="24"/>
        </w:rPr>
        <w:t>及來自結核病</w:t>
      </w:r>
      <w:r>
        <w:rPr>
          <w:spacing w:val="3"/>
          <w:sz w:val="24"/>
        </w:rPr>
        <w:t>高負擔國家</w:t>
      </w:r>
      <w:r>
        <w:rPr>
          <w:color w:val="C00000"/>
          <w:spacing w:val="4"/>
          <w:sz w:val="24"/>
        </w:rPr>
        <w:t>的</w:t>
      </w:r>
      <w:r>
        <w:rPr>
          <w:spacing w:val="3"/>
          <w:sz w:val="24"/>
        </w:rPr>
        <w:t>移工。</w:t>
      </w:r>
    </w:p>
    <w:p>
      <w:pPr>
        <w:pStyle w:val="Heading7"/>
        <w:numPr>
          <w:ilvl w:val="2"/>
          <w:numId w:val="122"/>
        </w:numPr>
        <w:tabs>
          <w:tab w:pos="1472" w:val="left" w:leader="none"/>
        </w:tabs>
        <w:spacing w:line="240" w:lineRule="auto" w:before="217" w:after="0"/>
        <w:ind w:left="1471" w:right="0" w:hanging="841"/>
        <w:jc w:val="both"/>
      </w:pPr>
      <w:bookmarkStart w:name="10.2.2 臨床接觸者評估工作" w:id="108"/>
      <w:bookmarkEnd w:id="108"/>
      <w:r>
        <w:rPr>
          <w:b w:val="0"/>
        </w:rPr>
      </w:r>
      <w:bookmarkStart w:name="10.2.2 臨床接觸者評估工作" w:id="109"/>
      <w:bookmarkEnd w:id="109"/>
      <w:r>
        <w:rPr/>
        <w:t>臨床接觸者評估工作</w:t>
      </w:r>
    </w:p>
    <w:p>
      <w:pPr>
        <w:pStyle w:val="BodyText"/>
        <w:spacing w:line="225" w:lineRule="auto" w:before="24"/>
        <w:ind w:left="1455" w:right="1302" w:firstLine="483"/>
        <w:jc w:val="both"/>
      </w:pPr>
      <w:r>
        <w:rPr/>
        <w:t>開始治療 LTBI 之前，首要工作就是排除活動性結核病，若找出活動性結核病則</w:t>
      </w:r>
      <w:r>
        <w:rPr>
          <w:color w:val="C00000"/>
        </w:rPr>
        <w:t>應及時</w:t>
      </w:r>
      <w:r>
        <w:rPr/>
        <w:t>給予標準結核病治療處方。臺灣 2005 年通報確診的結核病人之接觸者， 沒有進行 LTBI 診斷，接觸者第 1 年的發病率約為 1%，在接觸者檢查的 3 個月內發病者約占第一年發病總數的 35%。第 5 年仍然有每 10 萬人 200 例的發生率， 雖然比歷史文獻的前 2 年發生率 5%來得低，但與全國發生率相較，接觸者的發生率還是較全國平均高，分別是 12 歲以下 206 倍，12-24 歲 30 倍，25-44 歲 22</w:t>
      </w:r>
    </w:p>
    <w:p>
      <w:pPr>
        <w:pStyle w:val="BodyText"/>
        <w:spacing w:line="225" w:lineRule="auto" w:before="6"/>
        <w:ind w:left="1455" w:right="1301"/>
        <w:jc w:val="both"/>
      </w:pPr>
      <w:r>
        <w:rPr/>
        <w:t>倍，45-64</w:t>
      </w:r>
      <w:r>
        <w:rPr>
          <w:spacing w:val="5"/>
        </w:rPr>
        <w:t> 歲 </w:t>
      </w:r>
      <w:r>
        <w:rPr/>
        <w:t>10</w:t>
      </w:r>
      <w:r>
        <w:rPr>
          <w:spacing w:val="3"/>
        </w:rPr>
        <w:t> 倍及 </w:t>
      </w:r>
      <w:r>
        <w:rPr/>
        <w:t>65</w:t>
      </w:r>
      <w:r>
        <w:rPr>
          <w:spacing w:val="2"/>
        </w:rPr>
        <w:t> 歲以上 </w:t>
      </w:r>
      <w:r>
        <w:rPr/>
        <w:t>8</w:t>
      </w:r>
      <w:r>
        <w:rPr>
          <w:spacing w:val="2"/>
        </w:rPr>
        <w:t> 倍。</w:t>
      </w:r>
      <w:r>
        <w:rPr>
          <w:color w:val="C00000"/>
        </w:rPr>
        <w:t>2016-2021</w:t>
      </w:r>
      <w:r>
        <w:rPr>
          <w:color w:val="C00000"/>
          <w:spacing w:val="4"/>
        </w:rPr>
        <w:t> 年 </w:t>
      </w:r>
      <w:r>
        <w:rPr>
          <w:color w:val="C00000"/>
        </w:rPr>
        <w:t>12 </w:t>
      </w:r>
      <w:r>
        <w:rPr/>
        <w:t>月間，全國指標個案塗</w:t>
      </w:r>
      <w:r>
        <w:rPr>
          <w:spacing w:val="1"/>
        </w:rPr>
        <w:t>片陽性且培養確定為 </w:t>
      </w:r>
      <w:r>
        <w:rPr/>
        <w:t>MTBC 的接觸者中，潛伏結核感染陽性若未進行 LTBI</w:t>
      </w:r>
      <w:r>
        <w:rPr>
          <w:spacing w:val="3"/>
        </w:rPr>
        <w:t> 治療， </w:t>
      </w:r>
      <w:r>
        <w:rPr>
          <w:spacing w:val="2"/>
        </w:rPr>
        <w:t>排除接觸者檢查即發現為活動性結核病(無法以 </w:t>
      </w:r>
      <w:r>
        <w:rPr/>
        <w:t>LTBI</w:t>
      </w:r>
      <w:r>
        <w:rPr>
          <w:spacing w:val="5"/>
        </w:rPr>
        <w:t> 治療來預防)，追蹤每 </w:t>
      </w:r>
      <w:r>
        <w:rPr/>
        <w:t>10</w:t>
      </w:r>
      <w:r>
        <w:rPr>
          <w:spacing w:val="18"/>
        </w:rPr>
        <w:t> 萬</w:t>
      </w:r>
      <w:r>
        <w:rPr/>
        <w:t>人年發生：5-12 歲為 </w:t>
      </w:r>
      <w:r>
        <w:rPr>
          <w:color w:val="C00000"/>
        </w:rPr>
        <w:t>1,210</w:t>
      </w:r>
      <w:r>
        <w:rPr>
          <w:color w:val="C00000"/>
          <w:spacing w:val="-4"/>
        </w:rPr>
        <w:t> 例</w:t>
      </w:r>
      <w:r>
        <w:rPr/>
        <w:t>，13-29 歲 </w:t>
      </w:r>
      <w:r>
        <w:rPr>
          <w:color w:val="C00000"/>
        </w:rPr>
        <w:t>1,550</w:t>
      </w:r>
      <w:r>
        <w:rPr>
          <w:color w:val="C00000"/>
          <w:spacing w:val="-4"/>
        </w:rPr>
        <w:t> 例</w:t>
      </w:r>
      <w:r>
        <w:rPr/>
        <w:t>，30-64 歲 880 </w:t>
      </w:r>
      <w:r>
        <w:rPr>
          <w:color w:val="C00000"/>
          <w:spacing w:val="-8"/>
        </w:rPr>
        <w:t>例</w:t>
      </w:r>
      <w:r>
        <w:rPr/>
        <w:t>，65-79 歲</w:t>
      </w:r>
      <w:r>
        <w:rPr>
          <w:color w:val="C00000"/>
        </w:rPr>
        <w:t>1,020</w:t>
      </w:r>
      <w:r>
        <w:rPr>
          <w:color w:val="C00000"/>
          <w:spacing w:val="-2"/>
        </w:rPr>
        <w:t> 例</w:t>
      </w:r>
      <w:r>
        <w:rPr>
          <w:spacing w:val="-3"/>
        </w:rPr>
        <w:t>，80</w:t>
      </w:r>
      <w:r>
        <w:rPr/>
        <w:t> 歲(含)以上可高達 </w:t>
      </w:r>
      <w:r>
        <w:rPr>
          <w:color w:val="C00000"/>
        </w:rPr>
        <w:t>1,710</w:t>
      </w:r>
      <w:r>
        <w:rPr>
          <w:color w:val="C00000"/>
          <w:spacing w:val="-1"/>
        </w:rPr>
        <w:t> 例</w:t>
      </w:r>
      <w:r>
        <w:rPr>
          <w:spacing w:val="-8"/>
        </w:rPr>
        <w:t>。</w:t>
      </w:r>
      <w:r>
        <w:rPr>
          <w:color w:val="C00000"/>
          <w:spacing w:val="-3"/>
        </w:rPr>
        <w:t>同一期間，全國中傳染力指標個案 (塗</w:t>
      </w:r>
      <w:r>
        <w:rPr>
          <w:color w:val="C00000"/>
          <w:spacing w:val="5"/>
        </w:rPr>
        <w:t>片陰性且培養確定為 </w:t>
      </w:r>
      <w:r>
        <w:rPr>
          <w:color w:val="C00000"/>
        </w:rPr>
        <w:t>MTBC</w:t>
      </w:r>
      <w:r>
        <w:rPr>
          <w:color w:val="C00000"/>
          <w:spacing w:val="3"/>
        </w:rPr>
        <w:t>)的接觸者中(家戶內接觸者或具有結核病相關的共病</w:t>
      </w:r>
      <w:r>
        <w:rPr>
          <w:color w:val="C00000"/>
          <w:spacing w:val="-5"/>
        </w:rPr>
        <w:t>接觸者)，潛伏結核感染陽性若未進行 </w:t>
      </w:r>
      <w:r>
        <w:rPr>
          <w:color w:val="C00000"/>
        </w:rPr>
        <w:t>LTBI</w:t>
      </w:r>
      <w:r>
        <w:rPr>
          <w:color w:val="C00000"/>
          <w:spacing w:val="-6"/>
        </w:rPr>
        <w:t> 治療，排除接觸者檢查即發現為活動性</w:t>
      </w:r>
      <w:r>
        <w:rPr>
          <w:color w:val="C00000"/>
          <w:spacing w:val="2"/>
        </w:rPr>
        <w:t>結核病(無法以 </w:t>
      </w:r>
      <w:r>
        <w:rPr>
          <w:color w:val="C00000"/>
        </w:rPr>
        <w:t>LTBI</w:t>
      </w:r>
      <w:r>
        <w:rPr>
          <w:color w:val="C00000"/>
          <w:spacing w:val="1"/>
        </w:rPr>
        <w:t> 治療來預防)，追蹤每 </w:t>
      </w:r>
      <w:r>
        <w:rPr>
          <w:color w:val="C00000"/>
        </w:rPr>
        <w:t>10</w:t>
      </w:r>
      <w:r>
        <w:rPr>
          <w:color w:val="C00000"/>
          <w:spacing w:val="2"/>
        </w:rPr>
        <w:t> 萬人年發生：</w:t>
      </w:r>
      <w:r>
        <w:rPr>
          <w:color w:val="C00000"/>
        </w:rPr>
        <w:t>5-12</w:t>
      </w:r>
      <w:r>
        <w:rPr>
          <w:color w:val="C00000"/>
          <w:spacing w:val="2"/>
        </w:rPr>
        <w:t> 歲為 </w:t>
      </w:r>
      <w:r>
        <w:rPr>
          <w:color w:val="C00000"/>
        </w:rPr>
        <w:t>2,310</w:t>
      </w:r>
      <w:r>
        <w:rPr>
          <w:color w:val="C00000"/>
          <w:spacing w:val="1"/>
        </w:rPr>
        <w:t> 例， 13-29</w:t>
      </w:r>
      <w:r>
        <w:rPr>
          <w:color w:val="C00000"/>
          <w:spacing w:val="2"/>
        </w:rPr>
        <w:t> 歲 </w:t>
      </w:r>
      <w:r>
        <w:rPr>
          <w:color w:val="C00000"/>
        </w:rPr>
        <w:t>690</w:t>
      </w:r>
      <w:r>
        <w:rPr>
          <w:color w:val="C00000"/>
          <w:spacing w:val="-15"/>
        </w:rPr>
        <w:t> 例，</w:t>
      </w:r>
      <w:r>
        <w:rPr>
          <w:color w:val="C00000"/>
          <w:spacing w:val="-7"/>
        </w:rPr>
        <w:t>30-64</w:t>
      </w:r>
      <w:r>
        <w:rPr>
          <w:color w:val="C00000"/>
          <w:spacing w:val="2"/>
        </w:rPr>
        <w:t> 歲 </w:t>
      </w:r>
      <w:r>
        <w:rPr>
          <w:color w:val="C00000"/>
        </w:rPr>
        <w:t>380</w:t>
      </w:r>
      <w:r>
        <w:rPr>
          <w:color w:val="C00000"/>
          <w:spacing w:val="-15"/>
        </w:rPr>
        <w:t> 例，</w:t>
      </w:r>
      <w:r>
        <w:rPr>
          <w:color w:val="C00000"/>
          <w:spacing w:val="-7"/>
        </w:rPr>
        <w:t>65-79</w:t>
      </w:r>
      <w:r>
        <w:rPr>
          <w:color w:val="C00000"/>
          <w:spacing w:val="3"/>
        </w:rPr>
        <w:t> 歲 </w:t>
      </w:r>
      <w:r>
        <w:rPr>
          <w:color w:val="C00000"/>
        </w:rPr>
        <w:t>680</w:t>
      </w:r>
      <w:r>
        <w:rPr>
          <w:color w:val="C00000"/>
          <w:spacing w:val="-18"/>
        </w:rPr>
        <w:t> 例，</w:t>
      </w:r>
      <w:r>
        <w:rPr>
          <w:color w:val="C00000"/>
          <w:spacing w:val="-14"/>
        </w:rPr>
        <w:t>80</w:t>
      </w:r>
      <w:r>
        <w:rPr>
          <w:color w:val="C00000"/>
        </w:rPr>
        <w:t> 歲(含)以上可高達 1,170 例。</w:t>
      </w:r>
      <w:r>
        <w:rPr/>
        <w:t>接觸者發病的風險，會受到下列因素影響：(1)指標個案的傳染性，(2)接觸者</w:t>
      </w:r>
      <w:r>
        <w:rPr>
          <w:spacing w:val="2"/>
        </w:rPr>
        <w:t>的易感受性，</w:t>
      </w:r>
      <w:r>
        <w:rPr/>
        <w:t>(3)接觸者與病人密切接觸的時間長短和接觸空間結核分枝桿菌的密度。所以依照指標個案和接觸者的特性，訂定出不同的接觸者檢查</w:t>
      </w:r>
      <w:r>
        <w:rPr>
          <w:color w:val="C00000"/>
          <w:spacing w:val="1"/>
        </w:rPr>
        <w:t>時間及</w:t>
      </w:r>
      <w:r>
        <w:rPr>
          <w:spacing w:val="1"/>
        </w:rPr>
        <w:t>方式(表10-2)，詳細內容說明請參考結核病防治工作手冊「結核病接觸者追蹤</w:t>
      </w:r>
      <w:r>
        <w:rPr>
          <w:color w:val="C00000"/>
          <w:spacing w:val="1"/>
        </w:rPr>
        <w:t>管理</w:t>
      </w:r>
      <w:r>
        <w:rPr>
          <w:spacing w:val="1"/>
        </w:rPr>
        <w:t>｣與｢潛伏結核感染</w:t>
      </w:r>
      <w:r>
        <w:rPr>
          <w:color w:val="C00000"/>
          <w:spacing w:val="1"/>
        </w:rPr>
        <w:t>之</w:t>
      </w:r>
      <w:r>
        <w:rPr>
          <w:spacing w:val="1"/>
        </w:rPr>
        <w:t>診斷及治療」等章節。</w:t>
      </w:r>
    </w:p>
    <w:p>
      <w:pPr>
        <w:pStyle w:val="BodyText"/>
        <w:spacing w:line="225" w:lineRule="auto" w:before="16"/>
        <w:ind w:left="1455" w:right="1357" w:firstLine="483"/>
        <w:jc w:val="both"/>
      </w:pPr>
      <w:r>
        <w:rPr>
          <w:spacing w:val="10"/>
        </w:rPr>
        <w:t>表 </w:t>
      </w:r>
      <w:r>
        <w:rPr/>
        <w:t>10-2</w:t>
      </w:r>
      <w:r>
        <w:rPr>
          <w:spacing w:val="3"/>
        </w:rPr>
        <w:t> 歸類為要完成 </w:t>
      </w:r>
      <w:r>
        <w:rPr/>
        <w:t>LTBI</w:t>
      </w:r>
      <w:r>
        <w:rPr>
          <w:spacing w:val="1"/>
        </w:rPr>
        <w:t> 評估的接觸者，指標個案確診 </w:t>
      </w:r>
      <w:r>
        <w:rPr/>
        <w:t>1 個月內，接觸者</w:t>
      </w:r>
      <w:r>
        <w:rPr>
          <w:spacing w:val="-10"/>
        </w:rPr>
        <w:t>由公共衛生轉介至醫療院所，此時醫師先進行臨床症狀詢問、身體評估及胸部 </w:t>
      </w:r>
      <w:r>
        <w:rPr/>
        <w:t>X</w:t>
      </w:r>
      <w:r>
        <w:rPr>
          <w:spacing w:val="11"/>
        </w:rPr>
        <w:t> 光</w:t>
      </w:r>
      <w:r>
        <w:rPr>
          <w:spacing w:val="-6"/>
        </w:rPr>
        <w:t>檢查，主要目的是</w:t>
      </w:r>
      <w:r>
        <w:rPr>
          <w:color w:val="C00000"/>
        </w:rPr>
        <w:t>藉由</w:t>
      </w:r>
      <w:r>
        <w:rPr/>
        <w:t>接觸者</w:t>
      </w:r>
      <w:r>
        <w:rPr>
          <w:color w:val="C00000"/>
        </w:rPr>
        <w:t>檢查</w:t>
      </w:r>
      <w:r>
        <w:rPr/>
        <w:t>找出</w:t>
      </w:r>
      <w:r>
        <w:rPr>
          <w:color w:val="C00000"/>
        </w:rPr>
        <w:t>潛在已發病的</w:t>
      </w:r>
      <w:r>
        <w:rPr>
          <w:spacing w:val="2"/>
        </w:rPr>
        <w:t>結核病病人(圖 </w:t>
      </w:r>
      <w:r>
        <w:rPr>
          <w:spacing w:val="-4"/>
        </w:rPr>
        <w:t>10-1</w:t>
      </w:r>
      <w:r>
        <w:rPr>
          <w:spacing w:val="-13"/>
        </w:rPr>
        <w:t>)。</w:t>
      </w:r>
      <w:r>
        <w:rPr/>
        <w:t>5</w:t>
      </w:r>
      <w:r>
        <w:rPr>
          <w:spacing w:val="8"/>
        </w:rPr>
        <w:t> 歲以</w:t>
      </w:r>
      <w:r>
        <w:rPr/>
        <w:t>上接觸者與指標個案終止有效暴露滿 8</w:t>
      </w:r>
      <w:r>
        <w:rPr>
          <w:spacing w:val="1"/>
        </w:rPr>
        <w:t> 週後，再進行 </w:t>
      </w:r>
      <w:r>
        <w:rPr/>
        <w:t>LTBI 診斷及治療評估。若轉</w:t>
      </w:r>
    </w:p>
    <w:p>
      <w:pPr>
        <w:spacing w:after="0" w:line="225" w:lineRule="auto"/>
        <w:jc w:val="both"/>
        <w:sectPr>
          <w:pgSz w:w="12250" w:h="17190"/>
          <w:pgMar w:header="0" w:footer="748" w:top="1460" w:bottom="1020" w:left="840" w:right="0"/>
        </w:sectPr>
      </w:pPr>
    </w:p>
    <w:p>
      <w:pPr>
        <w:pStyle w:val="BodyText"/>
        <w:spacing w:line="225" w:lineRule="auto" w:before="46"/>
        <w:ind w:left="1455" w:right="1301"/>
        <w:jc w:val="both"/>
      </w:pPr>
      <w:r>
        <w:rPr/>
        <w:pict>
          <v:group style="position:absolute;margin-left:573pt;margin-top:.443154pt;width:39.4pt;height:189.75pt;mso-position-horizontal-relative:page;mso-position-vertical-relative:paragraph;z-index:251849728" coordorigin="11460,9" coordsize="788,3795">
            <v:shape style="position:absolute;left:11460;top:8;width:788;height:3795" coordorigin="11460,9" coordsize="788,3795" path="m12247,9l11625,9,11561,22,11508,57,11473,110,11460,174,11460,3639,11473,3703,11508,3755,11561,3791,11625,3804,12247,3804,12247,9xe" filled="true" fillcolor="#a6a6a6" stroked="false">
              <v:path arrowok="t"/>
              <v:fill type="solid"/>
            </v:shape>
            <v:shape style="position:absolute;left:11460;top:8;width:788;height:3795" type="#_x0000_t202" filled="false" stroked="false">
              <v:textbox inset="0,0,0,0">
                <w:txbxContent>
                  <w:p>
                    <w:pPr>
                      <w:spacing w:line="146" w:lineRule="auto" w:before="126"/>
                      <w:ind w:left="136" w:right="428" w:firstLine="0"/>
                      <w:jc w:val="both"/>
                      <w:rPr>
                        <w:sz w:val="22"/>
                      </w:rPr>
                    </w:pPr>
                    <w:r>
                      <w:rPr>
                        <w:sz w:val="22"/>
                      </w:rPr>
                      <w:t>第十章</w:t>
                    </w:r>
                  </w:p>
                  <w:p>
                    <w:pPr>
                      <w:spacing w:line="141" w:lineRule="auto" w:before="235"/>
                      <w:ind w:left="136" w:right="428" w:firstLine="0"/>
                      <w:jc w:val="both"/>
                      <w:rPr>
                        <w:sz w:val="22"/>
                      </w:rPr>
                    </w:pPr>
                    <w:r>
                      <w:rPr>
                        <w:sz w:val="22"/>
                      </w:rPr>
                      <w:t>潛伏結核感染診斷與治療</w:t>
                    </w:r>
                  </w:p>
                </w:txbxContent>
              </v:textbox>
              <w10:wrap type="none"/>
            </v:shape>
            <w10:wrap type="none"/>
          </v:group>
        </w:pict>
      </w:r>
      <w:r>
        <w:rPr>
          <w:spacing w:val="-7"/>
        </w:rPr>
        <w:t>介至醫療院所前，公共衛生已經完成 </w:t>
      </w:r>
      <w:r>
        <w:rPr/>
        <w:t>LTBI</w:t>
      </w:r>
      <w:r>
        <w:rPr>
          <w:spacing w:val="-9"/>
        </w:rPr>
        <w:t> 檢驗且結果為陽性者，轉介至醫療院所， </w:t>
      </w:r>
      <w:r>
        <w:rPr>
          <w:spacing w:val="-10"/>
        </w:rPr>
        <w:t>進行臨床症狀詢問及身體評估後，依照圖 </w:t>
      </w:r>
      <w:r>
        <w:rPr/>
        <w:t>10-1</w:t>
      </w:r>
      <w:r>
        <w:rPr>
          <w:spacing w:val="1"/>
        </w:rPr>
        <w:t> 的流程進行胸部 </w:t>
      </w:r>
      <w:r>
        <w:rPr/>
        <w:t>X</w:t>
      </w:r>
      <w:r>
        <w:rPr>
          <w:spacing w:val="-5"/>
        </w:rPr>
        <w:t> 光檢查，於排除</w:t>
      </w:r>
      <w:r>
        <w:rPr>
          <w:spacing w:val="-12"/>
        </w:rPr>
        <w:t>活動性結核病後，依照不同年齡不同風險，提供諮詢與治療。如果轉介到醫療院所</w:t>
      </w:r>
      <w:r>
        <w:rPr>
          <w:spacing w:val="-10"/>
        </w:rPr>
        <w:t>之前，接觸者還沒做 </w:t>
      </w:r>
      <w:r>
        <w:rPr/>
        <w:t>LTBI 檢驗，則請醫療院所同時進行 LTBI</w:t>
      </w:r>
      <w:r>
        <w:rPr>
          <w:spacing w:val="1"/>
        </w:rPr>
        <w:t> 診斷，再依 </w:t>
      </w:r>
      <w:r>
        <w:rPr/>
        <w:t>LTBI</w:t>
      </w:r>
      <w:r>
        <w:rPr>
          <w:spacing w:val="6"/>
        </w:rPr>
        <w:t> 檢驗結果提供治療。</w:t>
      </w:r>
    </w:p>
    <w:p>
      <w:pPr>
        <w:pStyle w:val="Heading7"/>
        <w:numPr>
          <w:ilvl w:val="2"/>
          <w:numId w:val="122"/>
        </w:numPr>
        <w:tabs>
          <w:tab w:pos="1472" w:val="left" w:leader="none"/>
        </w:tabs>
        <w:spacing w:line="240" w:lineRule="auto" w:before="223" w:after="0"/>
        <w:ind w:left="1471" w:right="0" w:hanging="841"/>
        <w:jc w:val="both"/>
      </w:pPr>
      <w:bookmarkStart w:name="10.2.3 LTBI 診斷工具及其限制" w:id="110"/>
      <w:bookmarkEnd w:id="110"/>
      <w:r>
        <w:rPr>
          <w:b w:val="0"/>
        </w:rPr>
      </w:r>
      <w:bookmarkStart w:name="10.2.3 LTBI 診斷工具及其限制" w:id="111"/>
      <w:bookmarkEnd w:id="111"/>
      <w:r>
        <w:rPr/>
        <w:t>LT</w:t>
      </w:r>
      <w:r>
        <w:rPr/>
        <w:t>BI</w:t>
      </w:r>
      <w:r>
        <w:rPr>
          <w:spacing w:val="5"/>
        </w:rPr>
        <w:t> 診斷工具及其限制</w:t>
      </w:r>
    </w:p>
    <w:p>
      <w:pPr>
        <w:pStyle w:val="BodyText"/>
        <w:spacing w:line="225" w:lineRule="auto" w:before="22"/>
        <w:ind w:left="1455" w:right="1358" w:firstLine="480"/>
        <w:jc w:val="both"/>
      </w:pPr>
      <w:r>
        <w:rPr>
          <w:spacing w:val="-2"/>
        </w:rPr>
        <w:t>目前的 </w:t>
      </w:r>
      <w:r>
        <w:rPr/>
        <w:t>2</w:t>
      </w:r>
      <w:r>
        <w:rPr>
          <w:spacing w:val="5"/>
        </w:rPr>
        <w:t> 種診斷工具，為</w:t>
      </w:r>
      <w:r>
        <w:rPr/>
        <w:t>TST</w:t>
      </w:r>
      <w:r>
        <w:rPr>
          <w:spacing w:val="24"/>
        </w:rPr>
        <w:t> 與</w:t>
      </w:r>
      <w:r>
        <w:rPr/>
        <w:t>IGRA，</w:t>
      </w:r>
      <w:r>
        <w:rPr>
          <w:spacing w:val="-1"/>
        </w:rPr>
        <w:t>陰性預測值都不錯，但陽性者發病的</w:t>
      </w:r>
      <w:r>
        <w:rPr/>
        <w:t>預測值偏低 (positive</w:t>
      </w:r>
      <w:r>
        <w:rPr>
          <w:spacing w:val="29"/>
        </w:rPr>
        <w:t> </w:t>
      </w:r>
      <w:r>
        <w:rPr/>
        <w:t>predictive</w:t>
      </w:r>
      <w:r>
        <w:rPr>
          <w:spacing w:val="29"/>
        </w:rPr>
        <w:t> </w:t>
      </w:r>
      <w:r>
        <w:rPr/>
        <w:t>value</w:t>
      </w:r>
      <w:r>
        <w:rPr>
          <w:spacing w:val="30"/>
        </w:rPr>
        <w:t> </w:t>
      </w:r>
      <w:r>
        <w:rPr/>
        <w:t>of</w:t>
      </w:r>
      <w:r>
        <w:rPr>
          <w:spacing w:val="30"/>
        </w:rPr>
        <w:t> </w:t>
      </w:r>
      <w:r>
        <w:rPr/>
        <w:t>active</w:t>
      </w:r>
      <w:r>
        <w:rPr>
          <w:spacing w:val="30"/>
        </w:rPr>
        <w:t> </w:t>
      </w:r>
      <w:r>
        <w:rPr/>
        <w:t>TB)，故應選擇結核病高風險族群來進行檢驗。臺灣過去廣泛採用的結核菌素，為丹麥製 PPD</w:t>
      </w:r>
      <w:r>
        <w:rPr>
          <w:spacing w:val="32"/>
        </w:rPr>
        <w:t> </w:t>
      </w:r>
      <w:r>
        <w:rPr/>
        <w:t>RT23</w:t>
      </w:r>
      <w:r>
        <w:rPr>
          <w:spacing w:val="31"/>
        </w:rPr>
        <w:t> </w:t>
      </w:r>
      <w:r>
        <w:rPr/>
        <w:t>with</w:t>
      </w:r>
      <w:r>
        <w:rPr>
          <w:spacing w:val="31"/>
        </w:rPr>
        <w:t> </w:t>
      </w:r>
      <w:r>
        <w:rPr>
          <w:spacing w:val="-4"/>
        </w:rPr>
        <w:t>Tween </w:t>
      </w:r>
      <w:r>
        <w:rPr/>
        <w:t>80，</w:t>
      </w:r>
      <w:r>
        <w:rPr>
          <w:spacing w:val="-2"/>
        </w:rPr>
        <w:t>劑量 </w:t>
      </w:r>
      <w:r>
        <w:rPr/>
        <w:t>2</w:t>
      </w:r>
      <w:r>
        <w:rPr>
          <w:spacing w:val="-16"/>
        </w:rPr>
        <w:t> </w:t>
      </w:r>
      <w:r>
        <w:rPr>
          <w:spacing w:val="-5"/>
        </w:rPr>
        <w:t>tuberculin</w:t>
      </w:r>
      <w:r>
        <w:rPr>
          <w:spacing w:val="-22"/>
        </w:rPr>
        <w:t> </w:t>
      </w:r>
      <w:r>
        <w:rPr>
          <w:spacing w:val="-4"/>
        </w:rPr>
        <w:t>unit</w:t>
      </w:r>
      <w:r>
        <w:rPr>
          <w:spacing w:val="-13"/>
        </w:rPr>
        <w:t> (</w:t>
      </w:r>
      <w:r>
        <w:rPr>
          <w:spacing w:val="-4"/>
        </w:rPr>
        <w:t>TU)/0.1</w:t>
      </w:r>
      <w:r>
        <w:rPr>
          <w:spacing w:val="-21"/>
        </w:rPr>
        <w:t> </w:t>
      </w:r>
      <w:r>
        <w:rPr>
          <w:spacing w:val="-12"/>
        </w:rPr>
        <w:t>mL</w:t>
      </w:r>
      <w:r>
        <w:rPr>
          <w:spacing w:val="-8"/>
        </w:rPr>
        <w:t>，以 </w:t>
      </w:r>
      <w:r>
        <w:rPr>
          <w:spacing w:val="-4"/>
        </w:rPr>
        <w:t>Mantoux</w:t>
      </w:r>
      <w:r>
        <w:rPr>
          <w:spacing w:val="-22"/>
        </w:rPr>
        <w:t> </w:t>
      </w:r>
      <w:r>
        <w:rPr>
          <w:spacing w:val="-4"/>
        </w:rPr>
        <w:t>test</w:t>
      </w:r>
      <w:r>
        <w:rPr>
          <w:spacing w:val="-7"/>
        </w:rPr>
        <w:t> 之方法，於 </w:t>
      </w:r>
      <w:r>
        <w:rPr/>
        <w:t>48~72 小時</w:t>
      </w:r>
      <w:r>
        <w:rPr>
          <w:spacing w:val="-3"/>
        </w:rPr>
        <w:t>判讀反應硬結。結核菌素測驗受結核菌素製劑</w:t>
      </w:r>
      <w:r>
        <w:rPr/>
        <w:t>（菌株</w:t>
      </w:r>
      <w:r>
        <w:rPr>
          <w:spacing w:val="-15"/>
        </w:rPr>
        <w:t>）</w:t>
      </w:r>
      <w:r>
        <w:rPr>
          <w:spacing w:val="-5"/>
        </w:rPr>
        <w:t>、測驗與判讀技術、使用劑</w:t>
      </w:r>
      <w:r>
        <w:rPr>
          <w:spacing w:val="3"/>
        </w:rPr>
        <w:t>量、宿主因素、卡介苗接種、環境中的非結核分枝桿菌等因素影響。在 </w:t>
      </w:r>
      <w:r>
        <w:rPr/>
        <w:t>1954</w:t>
      </w:r>
      <w:r>
        <w:rPr>
          <w:spacing w:val="26"/>
        </w:rPr>
        <w:t> 到</w:t>
      </w:r>
    </w:p>
    <w:p>
      <w:pPr>
        <w:pStyle w:val="BodyText"/>
        <w:spacing w:line="225" w:lineRule="auto" w:before="7"/>
        <w:ind w:left="1455" w:right="1301"/>
        <w:jc w:val="both"/>
      </w:pPr>
      <w:r>
        <w:rPr/>
        <w:t>1986 年之間出生的世代，幾乎都有接種過 1</w:t>
      </w:r>
      <w:r>
        <w:rPr>
          <w:spacing w:val="-8"/>
        </w:rPr>
        <w:t> 劑卡介苗，其中超過 </w:t>
      </w:r>
      <w:r>
        <w:rPr/>
        <w:t>6</w:t>
      </w:r>
      <w:r>
        <w:rPr>
          <w:spacing w:val="3"/>
        </w:rPr>
        <w:t> 成接種過 </w:t>
      </w:r>
      <w:r>
        <w:rPr/>
        <w:t>2</w:t>
      </w:r>
      <w:r>
        <w:rPr>
          <w:spacing w:val="6"/>
        </w:rPr>
        <w:t> 劑</w:t>
      </w:r>
      <w:r>
        <w:rPr>
          <w:spacing w:val="-18"/>
        </w:rPr>
        <w:t>的卡介苗，且多半不是在新生兒時期接種，故結核菌素皮膚測驗的結果，常會有偽陽</w:t>
      </w:r>
      <w:r>
        <w:rPr>
          <w:spacing w:val="-12"/>
        </w:rPr>
        <w:t>性的疑慮，以及是否需使用較大的臨界值判讀的問題。由於 </w:t>
      </w:r>
      <w:r>
        <w:rPr/>
        <w:t>TST</w:t>
      </w:r>
      <w:r>
        <w:rPr>
          <w:spacing w:val="-1"/>
        </w:rPr>
        <w:t> 是依賴健全的 </w:t>
      </w:r>
      <w:r>
        <w:rPr/>
        <w:t>T</w:t>
      </w:r>
      <w:r>
        <w:rPr>
          <w:spacing w:val="-1"/>
        </w:rPr>
        <w:t> 細胞免疫功能之體內(in </w:t>
      </w:r>
      <w:r>
        <w:rPr/>
        <w:t>vivo)</w:t>
      </w:r>
      <w:r>
        <w:rPr>
          <w:spacing w:val="-12"/>
        </w:rPr>
        <w:t>測試，年長者或 </w:t>
      </w:r>
      <w:r>
        <w:rPr/>
        <w:t>T</w:t>
      </w:r>
      <w:r>
        <w:rPr>
          <w:spacing w:val="-10"/>
        </w:rPr>
        <w:t> 細胞免疫功能低下者，容易發生偽陰性</w:t>
      </w:r>
      <w:r>
        <w:rPr>
          <w:spacing w:val="-13"/>
        </w:rPr>
        <w:t>的問題。所以，若用在感染率較高的族群，例如近期接觸者，感染率可達 </w:t>
      </w:r>
      <w:r>
        <w:rPr/>
        <w:t>10~40% </w:t>
      </w:r>
      <w:r>
        <w:rPr>
          <w:spacing w:val="-11"/>
        </w:rPr>
        <w:t>不等，陽性預測值可達</w:t>
      </w:r>
      <w:r>
        <w:rPr/>
        <w:t>8</w:t>
      </w:r>
      <w:r>
        <w:rPr>
          <w:spacing w:val="-17"/>
        </w:rPr>
        <w:t> 成以上。臺灣未滿 </w:t>
      </w:r>
      <w:r>
        <w:rPr/>
        <w:t>13</w:t>
      </w:r>
      <w:r>
        <w:rPr>
          <w:spacing w:val="-5"/>
        </w:rPr>
        <w:t> 歲的兒童接觸者，若是未接受 </w:t>
      </w:r>
      <w:r>
        <w:rPr>
          <w:spacing w:val="-4"/>
        </w:rPr>
        <w:t>LTBI 治</w:t>
      </w:r>
      <w:r>
        <w:rPr>
          <w:spacing w:val="1"/>
        </w:rPr>
        <w:t>療，接觸者檢查時 </w:t>
      </w:r>
      <w:r>
        <w:rPr/>
        <w:t>TST</w:t>
      </w:r>
      <w:r>
        <w:rPr>
          <w:spacing w:val="6"/>
        </w:rPr>
        <w:t> 的反應大小，是 </w:t>
      </w:r>
      <w:r>
        <w:rPr/>
        <w:t>3</w:t>
      </w:r>
      <w:r>
        <w:rPr>
          <w:spacing w:val="-5"/>
        </w:rPr>
        <w:t> 年內發病風險相關最可靠的預測因子。2016</w:t>
      </w:r>
      <w:r>
        <w:rPr/>
        <w:t> 年起，</w:t>
      </w:r>
      <w:r>
        <w:rPr>
          <w:spacing w:val="-3"/>
        </w:rPr>
        <w:t>TST</w:t>
      </w:r>
      <w:r>
        <w:rPr>
          <w:spacing w:val="1"/>
        </w:rPr>
        <w:t> 僅用在未滿 </w:t>
      </w:r>
      <w:r>
        <w:rPr/>
        <w:t>5</w:t>
      </w:r>
      <w:r>
        <w:rPr>
          <w:spacing w:val="-1"/>
        </w:rPr>
        <w:t> 歲的接觸者或極少數無法完成 </w:t>
      </w:r>
      <w:r>
        <w:rPr/>
        <w:t>IGRA</w:t>
      </w:r>
      <w:r>
        <w:rPr>
          <w:spacing w:val="2"/>
        </w:rPr>
        <w:t> 檢驗的民眾， </w:t>
      </w:r>
      <w:r>
        <w:rPr>
          <w:color w:val="C00000"/>
          <w:spacing w:val="3"/>
        </w:rPr>
        <w:t>且 </w:t>
      </w:r>
      <w:r>
        <w:rPr>
          <w:color w:val="C00000"/>
        </w:rPr>
        <w:t>2021 年下修到未滿 2</w:t>
      </w:r>
      <w:r>
        <w:rPr>
          <w:color w:val="C00000"/>
          <w:spacing w:val="-17"/>
        </w:rPr>
        <w:t> 歲，</w:t>
      </w:r>
      <w:r>
        <w:rPr>
          <w:spacing w:val="2"/>
        </w:rPr>
        <w:t>其陽性判讀標準維持在 </w:t>
      </w:r>
      <w:r>
        <w:rPr/>
        <w:t>10mm(</w:t>
      </w:r>
      <w:r>
        <w:rPr>
          <w:spacing w:val="-6"/>
        </w:rPr>
        <w:t>接種過卡介苗者)。未</w:t>
      </w:r>
      <w:r>
        <w:rPr>
          <w:spacing w:val="-2"/>
        </w:rPr>
        <w:t>接種過卡介苗者、愛滋感染者、接受 </w:t>
      </w:r>
      <w:r>
        <w:rPr/>
        <w:t>anti-lymphokines</w:t>
      </w:r>
      <w:r>
        <w:rPr>
          <w:spacing w:val="1"/>
        </w:rPr>
        <w:t> 或其他免疫抑制治療者， </w:t>
      </w:r>
      <w:r>
        <w:rPr>
          <w:spacing w:val="3"/>
        </w:rPr>
        <w:t>以 </w:t>
      </w:r>
      <w:r>
        <w:rPr/>
        <w:t>5mm</w:t>
      </w:r>
      <w:r>
        <w:rPr>
          <w:spacing w:val="3"/>
        </w:rPr>
        <w:t> 為陽性臨界值。</w:t>
      </w:r>
    </w:p>
    <w:p>
      <w:pPr>
        <w:pStyle w:val="BodyText"/>
        <w:spacing w:line="225" w:lineRule="auto" w:before="12"/>
        <w:ind w:left="1455" w:right="1355" w:firstLine="488"/>
        <w:jc w:val="both"/>
      </w:pPr>
      <w:r>
        <w:rPr/>
        <w:t>IGRA</w:t>
      </w:r>
      <w:r>
        <w:rPr>
          <w:spacing w:val="2"/>
        </w:rPr>
        <w:t>  檢驗是利用結核分枝桿菌特異抗原在體外刺激淋巴球產生丙型干擾素</w:t>
      </w:r>
      <w:r>
        <w:rPr>
          <w:spacing w:val="-22"/>
        </w:rPr>
        <w:t>( </w:t>
      </w:r>
      <w:r>
        <w:rPr>
          <w:i/>
          <w:sz w:val="25"/>
        </w:rPr>
        <w:t>M</w:t>
      </w:r>
      <w:r>
        <w:rPr>
          <w:i/>
          <w:spacing w:val="-9"/>
          <w:sz w:val="25"/>
        </w:rPr>
        <w:t>. </w:t>
      </w:r>
      <w:r>
        <w:rPr>
          <w:i/>
          <w:sz w:val="25"/>
        </w:rPr>
        <w:t>tuberculosis </w:t>
      </w:r>
      <w:r>
        <w:rPr/>
        <w:t>specific Interferone-γ</w:t>
      </w:r>
      <w:r>
        <w:rPr>
          <w:spacing w:val="-5"/>
        </w:rPr>
        <w:t>)，以定量來判定是否有 </w:t>
      </w:r>
      <w:r>
        <w:rPr>
          <w:spacing w:val="-4"/>
        </w:rPr>
        <w:t>LTBI</w:t>
      </w:r>
      <w:r>
        <w:rPr>
          <w:spacing w:val="-8"/>
        </w:rPr>
        <w:t>。</w:t>
      </w:r>
      <w:r>
        <w:rPr/>
        <w:t>IGRA</w:t>
      </w:r>
      <w:r>
        <w:rPr>
          <w:spacing w:val="-6"/>
        </w:rPr>
        <w:t> 較不</w:t>
      </w:r>
      <w:r>
        <w:rPr>
          <w:spacing w:val="-16"/>
        </w:rPr>
        <w:t>易受卡介苗接種或環境中非結核分枝桿菌所帶來的偽陽性影響，</w:t>
      </w:r>
      <w:r>
        <w:rPr>
          <w:color w:val="C00000"/>
          <w:spacing w:val="1"/>
        </w:rPr>
        <w:t>無須空腹且</w:t>
      </w:r>
      <w:r>
        <w:rPr>
          <w:spacing w:val="-1"/>
        </w:rPr>
        <w:t>只要抽血</w:t>
      </w:r>
      <w:r>
        <w:rPr>
          <w:spacing w:val="-5"/>
        </w:rPr>
        <w:t>檢驗，</w:t>
      </w:r>
      <w:r>
        <w:rPr>
          <w:color w:val="C00000"/>
          <w:spacing w:val="3"/>
        </w:rPr>
        <w:t>若為 </w:t>
      </w:r>
      <w:r>
        <w:rPr>
          <w:color w:val="C00000"/>
        </w:rPr>
        <w:t>LTBI</w:t>
      </w:r>
      <w:r>
        <w:rPr>
          <w:color w:val="C00000"/>
          <w:spacing w:val="2"/>
        </w:rPr>
        <w:t> 診斷及治療建議對象可在其相關之共病回診時一併抽血</w:t>
      </w:r>
      <w:r>
        <w:rPr>
          <w:spacing w:val="-1"/>
        </w:rPr>
        <w:t>，較 </w:t>
      </w:r>
      <w:r>
        <w:rPr>
          <w:spacing w:val="2"/>
        </w:rPr>
        <w:t>TST </w:t>
      </w:r>
      <w:r>
        <w:rPr>
          <w:spacing w:val="3"/>
        </w:rPr>
        <w:t>測試須回診接受醫療人員判讀結果</w:t>
      </w:r>
      <w:r>
        <w:rPr>
          <w:color w:val="C00000"/>
          <w:spacing w:val="4"/>
        </w:rPr>
        <w:t>更</w:t>
      </w:r>
      <w:r>
        <w:rPr>
          <w:spacing w:val="3"/>
        </w:rPr>
        <w:t>方便。</w:t>
      </w:r>
      <w:r>
        <w:rPr/>
        <w:t>IGRA</w:t>
      </w:r>
      <w:r>
        <w:rPr>
          <w:spacing w:val="25"/>
        </w:rPr>
        <w:t> 和 </w:t>
      </w:r>
      <w:r>
        <w:rPr/>
        <w:t>TST</w:t>
      </w:r>
      <w:r>
        <w:rPr>
          <w:spacing w:val="3"/>
        </w:rPr>
        <w:t> 對活動性結核病的發病風險</w:t>
      </w:r>
      <w:r>
        <w:rPr>
          <w:color w:val="C00000"/>
          <w:spacing w:val="3"/>
        </w:rPr>
        <w:t>均</w:t>
      </w:r>
      <w:r>
        <w:rPr>
          <w:spacing w:val="-5"/>
        </w:rPr>
        <w:t>預測不佳。此外，</w:t>
      </w:r>
      <w:r>
        <w:rPr>
          <w:color w:val="C00000"/>
        </w:rPr>
        <w:t>IGRA </w:t>
      </w:r>
      <w:r>
        <w:rPr/>
        <w:t>採血管必須均勻混合血液與抗凝劑，採檢後必須注</w:t>
      </w:r>
      <w:r>
        <w:rPr>
          <w:spacing w:val="-18"/>
        </w:rPr>
        <w:t>意保存及運送時效，且價格比較昂貴，是過去沒有被普遍使用的主要原因。自 </w:t>
      </w:r>
      <w:r>
        <w:rPr/>
        <w:t>2016 年起，我國依照美國 CDC</w:t>
      </w:r>
      <w:r>
        <w:rPr>
          <w:spacing w:val="2"/>
        </w:rPr>
        <w:t> 的建議，</w:t>
      </w:r>
      <w:r>
        <w:rPr/>
        <w:t>5</w:t>
      </w:r>
      <w:r>
        <w:rPr>
          <w:spacing w:val="2"/>
        </w:rPr>
        <w:t> 歲以上接觸者使用 </w:t>
      </w:r>
      <w:r>
        <w:rPr/>
        <w:t>IGRA 檢驗，以減少因接</w:t>
      </w:r>
      <w:r>
        <w:rPr>
          <w:spacing w:val="2"/>
        </w:rPr>
        <w:t>種卡介苗引起的偽陽性和不必要的 </w:t>
      </w:r>
      <w:r>
        <w:rPr/>
        <w:t>LTBI 治療。又於 2021</w:t>
      </w:r>
      <w:r>
        <w:rPr>
          <w:spacing w:val="2"/>
        </w:rPr>
        <w:t> 年接受國內臨床醫師建</w:t>
      </w:r>
      <w:r>
        <w:rPr>
          <w:spacing w:val="4"/>
        </w:rPr>
        <w:t>議及參考世界衛生組織與美國兒科醫學會指引，並考量國內公衛醫療量能，調整</w:t>
      </w:r>
    </w:p>
    <w:p>
      <w:pPr>
        <w:spacing w:after="0" w:line="225" w:lineRule="auto"/>
        <w:jc w:val="both"/>
        <w:sectPr>
          <w:pgSz w:w="12250" w:h="17190"/>
          <w:pgMar w:header="0" w:footer="748" w:top="1460" w:bottom="1020" w:left="840" w:right="0"/>
        </w:sectPr>
      </w:pPr>
    </w:p>
    <w:p>
      <w:pPr>
        <w:pStyle w:val="BodyText"/>
        <w:spacing w:line="225" w:lineRule="auto" w:before="46"/>
        <w:ind w:left="1455" w:right="1362"/>
        <w:jc w:val="both"/>
      </w:pPr>
      <w:r>
        <w:rPr/>
        <w:t>IGRA 使用年齡至 2 歲(含)以上對象，2 歲(含)至 5 歲接觸者，如無法執行 IGRA 檢驗，得維持使用 TST 方式檢測，以提供更彈性檢驗方式。</w:t>
      </w:r>
    </w:p>
    <w:p>
      <w:pPr>
        <w:pStyle w:val="BodyText"/>
        <w:spacing w:line="225" w:lineRule="auto" w:before="2"/>
        <w:ind w:left="1455" w:right="1302" w:firstLine="488"/>
        <w:jc w:val="both"/>
      </w:pPr>
      <w:r>
        <w:rPr/>
        <w:t>由於仍然有為數不少的細菌學確診結核病個案，其 LTBI 檢驗結果是陰性，故許多指引都指出，當病人出現疑似結核病的症狀，就算 LTBI 檢驗結果是陰性，也不能排除病人有結核病的可能，應積極採取進一步確定診斷</w:t>
      </w:r>
      <w:r>
        <w:rPr>
          <w:color w:val="C00000"/>
        </w:rPr>
        <w:t>。臨床上在使用此類檢查時，需注意其限制性。IGRA 檢驗也有無法判定(indeterminate)的情況產生， 分析國內近年使用 </w:t>
      </w:r>
      <w:r>
        <w:rPr>
          <w:sz w:val="22"/>
        </w:rPr>
        <w:t>QuantiFERON-TB Gold Plus，</w:t>
      </w:r>
      <w:r>
        <w:rPr>
          <w:color w:val="C00000"/>
        </w:rPr>
        <w:t>indeterminate 檢驗結果比率</w:t>
      </w:r>
    </w:p>
    <w:p>
      <w:pPr>
        <w:pStyle w:val="BodyText"/>
        <w:spacing w:line="225" w:lineRule="auto" w:before="7"/>
        <w:ind w:left="1455" w:right="1301"/>
        <w:jc w:val="both"/>
      </w:pPr>
      <w:r>
        <w:rPr>
          <w:color w:val="C00000"/>
        </w:rPr>
        <w:t>&lt;2%，檢驗結果無法判定的可能原因來自(1)病人的免疫力不足以達到足夠的mitogen 反應 (年紀過大、癌症、HIV、白血球或淋巴球過低、營養不良或使用免疫抑制劑治療等)，或者(2)因為抽血、培養時間不當亦或是上機有什麼意外，導致mitogen 沒有反應，或者(3)Nil (沒有給什麼抗原刺激)反應強烈到超過 8 IU/ml 之判定有效檢驗的閾值。故臨床使用 IGRA 檢查時， 需注意其限制性。當indeterminate 結果是 Nil 值&gt;8 (不論 TB 抗原及 mitogen 值高低)通常為人為操作不當，建議重新採檢；但如果 Nil</w:t>
      </w:r>
      <w:r>
        <w:rPr>
          <w:rFonts w:ascii="Arial" w:hAnsi="Arial" w:eastAsia="Arial"/>
          <w:color w:val="C00000"/>
        </w:rPr>
        <w:t>≤</w:t>
      </w:r>
      <w:r>
        <w:rPr>
          <w:color w:val="C00000"/>
        </w:rPr>
        <w:t>8 且 mitogen-nil&lt;0.5 可能是個人免疫力不佳，考量接觸者發病風險高，建議合作醫師排除結核病發病後，提供 LTBI 治療， 以避免接觸者發病，如有疑義可以重新採檢。倘有出現不確定性比率偏高情形或團體檢驗出現異常情事，除應向採檢及檢驗單位釐清處理，並請通知衛生單位， 以提升 LTBI 診斷品質。</w:t>
      </w:r>
    </w:p>
    <w:p>
      <w:pPr>
        <w:pStyle w:val="Heading7"/>
        <w:numPr>
          <w:ilvl w:val="2"/>
          <w:numId w:val="122"/>
        </w:numPr>
        <w:tabs>
          <w:tab w:pos="1472" w:val="left" w:leader="none"/>
        </w:tabs>
        <w:spacing w:line="240" w:lineRule="auto" w:before="228" w:after="0"/>
        <w:ind w:left="1471" w:right="0" w:hanging="841"/>
        <w:jc w:val="left"/>
      </w:pPr>
      <w:bookmarkStart w:name="10.2.4 LTBI治療的建議處方" w:id="112"/>
      <w:bookmarkEnd w:id="112"/>
      <w:r>
        <w:rPr>
          <w:b w:val="0"/>
        </w:rPr>
      </w:r>
      <w:bookmarkStart w:name="10.2.4 LTBI治療的建議處方" w:id="113"/>
      <w:bookmarkEnd w:id="113"/>
      <w:r>
        <w:rPr/>
        <w:t>LT</w:t>
      </w:r>
      <w:r>
        <w:rPr/>
        <w:t>BI</w:t>
      </w:r>
      <w:r>
        <w:rPr>
          <w:spacing w:val="-1"/>
        </w:rPr>
        <w:t> </w:t>
      </w:r>
      <w:r>
        <w:rPr>
          <w:color w:val="C00000"/>
        </w:rPr>
        <w:t>治療</w:t>
      </w:r>
      <w:r>
        <w:rPr/>
        <w:t>的建議處方</w:t>
      </w:r>
    </w:p>
    <w:p>
      <w:pPr>
        <w:pStyle w:val="BodyText"/>
        <w:spacing w:line="428" w:lineRule="exact" w:before="4"/>
        <w:ind w:left="1939"/>
        <w:jc w:val="both"/>
      </w:pPr>
      <w:r>
        <w:rPr/>
        <w:t>目前我國建議的 LTBI 治療處方有 </w:t>
      </w:r>
      <w:r>
        <w:rPr>
          <w:color w:val="C00000"/>
        </w:rPr>
        <w:t>7 </w:t>
      </w:r>
      <w:r>
        <w:rPr/>
        <w:t>種，分別是 3HP、3HR、4R、</w:t>
      </w:r>
      <w:r>
        <w:rPr>
          <w:color w:val="C00000"/>
        </w:rPr>
        <w:t>1HP、6H</w:t>
      </w:r>
    </w:p>
    <w:p>
      <w:pPr>
        <w:pStyle w:val="BodyText"/>
        <w:spacing w:line="225" w:lineRule="auto" w:before="6"/>
        <w:ind w:left="1455" w:right="1357"/>
        <w:jc w:val="both"/>
      </w:pPr>
      <w:r>
        <w:rPr/>
        <w:t>/9H</w:t>
      </w:r>
      <w:r>
        <w:rPr>
          <w:spacing w:val="3"/>
        </w:rPr>
        <w:t> 及 </w:t>
      </w:r>
      <w:r>
        <w:rPr>
          <w:color w:val="C00000"/>
        </w:rPr>
        <w:t>9FQ</w:t>
      </w:r>
      <w:r>
        <w:rPr>
          <w:color w:val="C00000"/>
          <w:spacing w:val="10"/>
        </w:rPr>
        <w:t> (</w:t>
      </w:r>
      <w:r>
        <w:rPr>
          <w:color w:val="C00000"/>
        </w:rPr>
        <w:t>+/- EMB、PTO or CS</w:t>
      </w:r>
      <w:r>
        <w:rPr>
          <w:color w:val="C00000"/>
          <w:spacing w:val="9"/>
        </w:rPr>
        <w:t> )</w:t>
      </w:r>
      <w:r>
        <w:rPr/>
        <w:t>。依文獻，3HP/3HR/4R 的有效性不低於傳</w:t>
      </w:r>
      <w:r>
        <w:rPr>
          <w:spacing w:val="7"/>
        </w:rPr>
        <w:t>統的 </w:t>
      </w:r>
      <w:r>
        <w:rPr/>
        <w:t>9H</w:t>
      </w:r>
      <w:r>
        <w:rPr>
          <w:spacing w:val="2"/>
        </w:rPr>
        <w:t>。且治療期程較傳統 </w:t>
      </w:r>
      <w:r>
        <w:rPr/>
        <w:t>9H 處方短，方便都治關懷落實服藥的完整性，使得治療完成率顯著上升。跨國的 PREVENT TB</w:t>
      </w:r>
      <w:r>
        <w:rPr>
          <w:spacing w:val="1"/>
        </w:rPr>
        <w:t> 臨床試驗</w:t>
      </w:r>
      <w:r>
        <w:rPr/>
        <w:t>，3HP</w:t>
      </w:r>
      <w:r>
        <w:rPr>
          <w:spacing w:val="6"/>
        </w:rPr>
        <w:t> 與 </w:t>
      </w:r>
      <w:r>
        <w:rPr/>
        <w:t>9H 治療完成率分</w:t>
      </w:r>
      <w:r>
        <w:rPr>
          <w:spacing w:val="3"/>
        </w:rPr>
        <w:t>別為 </w:t>
      </w:r>
      <w:r>
        <w:rPr/>
        <w:t>82</w:t>
      </w:r>
      <w:r>
        <w:rPr>
          <w:spacing w:val="-4"/>
        </w:rPr>
        <w:t>% </w:t>
      </w:r>
      <w:r>
        <w:rPr/>
        <w:t>vs. </w:t>
      </w:r>
      <w:r>
        <w:rPr>
          <w:spacing w:val="-5"/>
        </w:rPr>
        <w:t>69%，3HP</w:t>
      </w:r>
      <w:r>
        <w:rPr/>
        <w:t> 治療完成率明顯較 9H</w:t>
      </w:r>
      <w:r>
        <w:rPr>
          <w:spacing w:val="-7"/>
        </w:rPr>
        <w:t> 高。同一個臨床試驗中，兒童的資</w:t>
      </w:r>
      <w:r>
        <w:rPr>
          <w:spacing w:val="-4"/>
        </w:rPr>
        <w:t>料顯示，個別的完成率可以高達 </w:t>
      </w:r>
      <w:r>
        <w:rPr/>
        <w:t>88</w:t>
      </w:r>
      <w:r>
        <w:rPr>
          <w:spacing w:val="-4"/>
        </w:rPr>
        <w:t>% </w:t>
      </w:r>
      <w:r>
        <w:rPr/>
        <w:t>vs. </w:t>
      </w:r>
      <w:r>
        <w:rPr>
          <w:spacing w:val="-3"/>
        </w:rPr>
        <w:t>80</w:t>
      </w:r>
      <w:r>
        <w:rPr>
          <w:spacing w:val="-1"/>
        </w:rPr>
        <w:t>%，一般來說兒童的 </w:t>
      </w:r>
      <w:r>
        <w:rPr/>
        <w:t>LTBI 治療完成率</w:t>
      </w:r>
      <w:r>
        <w:rPr>
          <w:spacing w:val="-3"/>
        </w:rPr>
        <w:t>較成人高，</w:t>
      </w:r>
      <w:r>
        <w:rPr/>
        <w:t>3HP</w:t>
      </w:r>
      <w:r>
        <w:rPr>
          <w:spacing w:val="-2"/>
        </w:rPr>
        <w:t> 有統計上的意義提升完治率。</w:t>
      </w:r>
      <w:r>
        <w:rPr/>
        <w:t>4R 處方先在英美國家推動多年且世界衛生組織亦列為推薦處方後，Dick Menzies</w:t>
      </w:r>
      <w:r>
        <w:rPr>
          <w:spacing w:val="7"/>
        </w:rPr>
        <w:t> 等人於 </w:t>
      </w:r>
      <w:r>
        <w:rPr/>
        <w:t>2018 年，發表跨國隨機分</w:t>
      </w:r>
      <w:r>
        <w:rPr>
          <w:spacing w:val="-3"/>
        </w:rPr>
        <w:t>派臨床試驗，4R</w:t>
      </w:r>
      <w:r>
        <w:rPr>
          <w:spacing w:val="3"/>
        </w:rPr>
        <w:t> 與 </w:t>
      </w:r>
      <w:r>
        <w:rPr/>
        <w:t>9H 在成人的治療完成率分別為 79% vs. </w:t>
      </w:r>
      <w:r>
        <w:rPr>
          <w:spacing w:val="-3"/>
        </w:rPr>
        <w:t>63%，4R</w:t>
      </w:r>
      <w:r>
        <w:rPr/>
        <w:t> 治療完成率</w:t>
      </w:r>
      <w:r>
        <w:rPr>
          <w:spacing w:val="-7"/>
        </w:rPr>
        <w:t>明顯較高。我國臨床試驗亦顯示，</w:t>
      </w:r>
      <w:r>
        <w:rPr>
          <w:spacing w:val="-4"/>
        </w:rPr>
        <w:t>3HP</w:t>
      </w:r>
      <w:r>
        <w:rPr>
          <w:spacing w:val="2"/>
        </w:rPr>
        <w:t> 治療完成率高於 </w:t>
      </w:r>
      <w:r>
        <w:rPr/>
        <w:t>9H(90</w:t>
      </w:r>
      <w:r>
        <w:rPr>
          <w:spacing w:val="-2"/>
        </w:rPr>
        <w:t>% </w:t>
      </w:r>
      <w:r>
        <w:rPr>
          <w:spacing w:val="-4"/>
        </w:rPr>
        <w:t>vs.78%</w:t>
      </w:r>
      <w:r>
        <w:rPr>
          <w:spacing w:val="-3"/>
        </w:rPr>
        <w:t>)，矯正機</w:t>
      </w:r>
      <w:r>
        <w:rPr/>
        <w:t>關的 4R 治療完成率高於 6H(86% vs. 78%</w:t>
      </w:r>
      <w:r>
        <w:rPr>
          <w:spacing w:val="2"/>
        </w:rPr>
        <w:t>)。在 </w:t>
      </w:r>
      <w:r>
        <w:rPr/>
        <w:t>2017 年系統性回顧及統合分析資</w:t>
      </w:r>
      <w:r>
        <w:rPr>
          <w:spacing w:val="5"/>
        </w:rPr>
        <w:t>料顯示 </w:t>
      </w:r>
      <w:r>
        <w:rPr/>
        <w:t>3HR</w:t>
      </w:r>
      <w:r>
        <w:rPr>
          <w:spacing w:val="2"/>
        </w:rPr>
        <w:t> 與安慰劑組比起來有 </w:t>
      </w:r>
      <w:r>
        <w:rPr/>
        <w:t>47%</w:t>
      </w:r>
      <w:r>
        <w:rPr>
          <w:spacing w:val="2"/>
        </w:rPr>
        <w:t>的預防效果，在兒童顯示 </w:t>
      </w:r>
      <w:r>
        <w:rPr/>
        <w:t>3HR</w:t>
      </w:r>
      <w:r>
        <w:rPr>
          <w:spacing w:val="2"/>
        </w:rPr>
        <w:t> 效果可能比9H</w:t>
      </w:r>
      <w:r>
        <w:rPr/>
        <w:t> 還要好，而 3HR 與 4R 則沒有顯著差異。</w:t>
      </w:r>
    </w:p>
    <w:p>
      <w:pPr>
        <w:pStyle w:val="BodyText"/>
        <w:spacing w:line="225" w:lineRule="auto" w:before="14"/>
        <w:ind w:left="1455" w:right="1361" w:firstLine="480"/>
        <w:jc w:val="both"/>
      </w:pPr>
      <w:r>
        <w:rPr>
          <w:color w:val="C00000"/>
          <w:spacing w:val="-4"/>
        </w:rPr>
        <w:t>6H/</w:t>
      </w:r>
      <w:r>
        <w:rPr>
          <w:spacing w:val="-4"/>
        </w:rPr>
        <w:t>9H</w:t>
      </w:r>
      <w:r>
        <w:rPr>
          <w:spacing w:val="-16"/>
        </w:rPr>
        <w:t>、</w:t>
      </w:r>
      <w:r>
        <w:rPr/>
        <w:t>4R</w:t>
      </w:r>
      <w:r>
        <w:rPr>
          <w:spacing w:val="-1"/>
        </w:rPr>
        <w:t> 與 </w:t>
      </w:r>
      <w:r>
        <w:rPr/>
        <w:t>3HR</w:t>
      </w:r>
      <w:r>
        <w:rPr>
          <w:spacing w:val="-4"/>
        </w:rPr>
        <w:t> 都是在國外使用數十年以上的處方，且在兒童與成人的有效性無虞，故建議的年齡層並無限制；</w:t>
      </w:r>
      <w:r>
        <w:rPr/>
        <w:t>3HP</w:t>
      </w:r>
      <w:r>
        <w:rPr>
          <w:spacing w:val="-2"/>
        </w:rPr>
        <w:t> 建議使用年齡為 </w:t>
      </w:r>
      <w:r>
        <w:rPr/>
        <w:t>2</w:t>
      </w:r>
      <w:r>
        <w:rPr>
          <w:spacing w:val="-5"/>
        </w:rPr>
        <w:t> 歲(含)以上；在臨床</w:t>
      </w:r>
    </w:p>
    <w:p>
      <w:pPr>
        <w:spacing w:after="0" w:line="225" w:lineRule="auto"/>
        <w:jc w:val="both"/>
        <w:sectPr>
          <w:pgSz w:w="12250" w:h="17190"/>
          <w:pgMar w:header="0" w:footer="748" w:top="1460" w:bottom="1020" w:left="840" w:right="0"/>
        </w:sectPr>
      </w:pPr>
    </w:p>
    <w:p>
      <w:pPr>
        <w:pStyle w:val="BodyText"/>
        <w:spacing w:line="225" w:lineRule="auto" w:before="46"/>
        <w:ind w:left="1455" w:right="1358"/>
        <w:jc w:val="both"/>
      </w:pPr>
      <w:r>
        <w:rPr/>
        <w:pict>
          <v:group style="position:absolute;margin-left:573pt;margin-top:.443154pt;width:39.4pt;height:189.75pt;mso-position-horizontal-relative:page;mso-position-vertical-relative:paragraph;z-index:251851776" coordorigin="11460,9" coordsize="788,3795">
            <v:shape style="position:absolute;left:11460;top:8;width:788;height:3795" coordorigin="11460,9" coordsize="788,3795" path="m12247,9l11625,9,11561,22,11508,57,11473,110,11460,174,11460,3639,11473,3703,11508,3755,11561,3791,11625,3804,12247,3804,12247,9xe" filled="true" fillcolor="#a6a6a6" stroked="false">
              <v:path arrowok="t"/>
              <v:fill type="solid"/>
            </v:shape>
            <v:shape style="position:absolute;left:11460;top:8;width:788;height:3795" type="#_x0000_t202" filled="false" stroked="false">
              <v:textbox inset="0,0,0,0">
                <w:txbxContent>
                  <w:p>
                    <w:pPr>
                      <w:spacing w:line="146" w:lineRule="auto" w:before="126"/>
                      <w:ind w:left="136" w:right="428" w:firstLine="0"/>
                      <w:jc w:val="both"/>
                      <w:rPr>
                        <w:sz w:val="22"/>
                      </w:rPr>
                    </w:pPr>
                    <w:r>
                      <w:rPr>
                        <w:sz w:val="22"/>
                      </w:rPr>
                      <w:t>第十章</w:t>
                    </w:r>
                  </w:p>
                  <w:p>
                    <w:pPr>
                      <w:spacing w:line="141" w:lineRule="auto" w:before="235"/>
                      <w:ind w:left="136" w:right="428" w:firstLine="0"/>
                      <w:jc w:val="both"/>
                      <w:rPr>
                        <w:sz w:val="22"/>
                      </w:rPr>
                    </w:pPr>
                    <w:r>
                      <w:rPr>
                        <w:sz w:val="22"/>
                      </w:rPr>
                      <w:t>潛伏結核感染診斷與治療</w:t>
                    </w:r>
                  </w:p>
                </w:txbxContent>
              </v:textbox>
              <w10:wrap type="none"/>
            </v:shape>
            <w10:wrap type="none"/>
          </v:group>
        </w:pict>
      </w:r>
      <w:r>
        <w:rPr>
          <w:spacing w:val="-2"/>
        </w:rPr>
        <w:t>試驗已證實兒童使用速克伏的安全性及有效性，未滿 </w:t>
      </w:r>
      <w:r>
        <w:rPr/>
        <w:t>2</w:t>
      </w:r>
      <w:r>
        <w:rPr>
          <w:spacing w:val="-7"/>
        </w:rPr>
        <w:t> 歲兒童，因缺乏臨床試驗數</w:t>
      </w:r>
      <w:r>
        <w:rPr>
          <w:spacing w:val="11"/>
        </w:rPr>
        <w:t>據，故不予建議使用。另外愛滋感染者使用速克伏已累積相當經驗，除了使用proteases </w:t>
      </w:r>
      <w:r>
        <w:rPr/>
        <w:t>inhibitors</w:t>
      </w:r>
      <w:r>
        <w:rPr>
          <w:spacing w:val="-2"/>
        </w:rPr>
        <w:t> 的感染者會因與 </w:t>
      </w:r>
      <w:r>
        <w:rPr/>
        <w:t>RPT</w:t>
      </w:r>
      <w:r>
        <w:rPr>
          <w:spacing w:val="-2"/>
        </w:rPr>
        <w:t> 交互作用而影響愛滋治療，已有文獻發</w:t>
      </w:r>
      <w:r>
        <w:rPr>
          <w:spacing w:val="-3"/>
        </w:rPr>
        <w:t>表使用 </w:t>
      </w:r>
      <w:r>
        <w:rPr/>
        <w:t>efavirenz、raltegravir</w:t>
      </w:r>
      <w:r>
        <w:rPr>
          <w:spacing w:val="-4"/>
        </w:rPr>
        <w:t> 或 </w:t>
      </w:r>
      <w:r>
        <w:rPr/>
        <w:t>dolutegravir</w:t>
      </w:r>
      <w:r>
        <w:rPr>
          <w:spacing w:val="-2"/>
        </w:rPr>
        <w:t> 等抗病毒藥物治療時，雖然仍然與3HP</w:t>
      </w:r>
      <w:r>
        <w:rPr>
          <w:spacing w:val="10"/>
        </w:rPr>
        <w:t> 中的 </w:t>
      </w:r>
      <w:r>
        <w:rPr/>
        <w:t>RPT</w:t>
      </w:r>
      <w:r>
        <w:rPr>
          <w:spacing w:val="-1"/>
        </w:rPr>
        <w:t> 有藥物交互作用，但不影響潛伏結核感染治療期間對愛滋病毒抑制</w:t>
      </w:r>
      <w:r>
        <w:rPr/>
        <w:t>的效果。</w:t>
      </w:r>
    </w:p>
    <w:p>
      <w:pPr>
        <w:pStyle w:val="BodyText"/>
        <w:spacing w:line="225" w:lineRule="auto" w:before="7"/>
        <w:ind w:left="1455" w:right="1361" w:firstLine="480"/>
        <w:jc w:val="both"/>
      </w:pPr>
      <w:r>
        <w:rPr>
          <w:spacing w:val="1"/>
        </w:rPr>
        <w:t>在指標個案具抗藥性的情況下，可依照以下原則決定 </w:t>
      </w:r>
      <w:r>
        <w:rPr/>
        <w:t>LTBI</w:t>
      </w:r>
      <w:r>
        <w:rPr>
          <w:spacing w:val="12"/>
        </w:rPr>
        <w:t> 治療</w:t>
      </w:r>
      <w:r>
        <w:rPr>
          <w:color w:val="C00000"/>
        </w:rPr>
        <w:t>處方</w:t>
      </w:r>
      <w:r>
        <w:rPr>
          <w:spacing w:val="-4"/>
        </w:rPr>
        <w:t>：若指標</w:t>
      </w:r>
      <w:r>
        <w:rPr>
          <w:spacing w:val="5"/>
        </w:rPr>
        <w:t>為 </w:t>
      </w:r>
      <w:r>
        <w:rPr/>
        <w:t>INH</w:t>
      </w:r>
      <w:r>
        <w:rPr>
          <w:spacing w:val="1"/>
        </w:rPr>
        <w:t> 抗藥，建議選擇 </w:t>
      </w:r>
      <w:r>
        <w:rPr/>
        <w:t>4R</w:t>
      </w:r>
      <w:r>
        <w:rPr>
          <w:spacing w:val="2"/>
        </w:rPr>
        <w:t> 處方；</w:t>
      </w:r>
      <w:r>
        <w:rPr/>
        <w:t>RMP</w:t>
      </w:r>
      <w:r>
        <w:rPr>
          <w:spacing w:val="1"/>
        </w:rPr>
        <w:t> 抗藥則選擇 </w:t>
      </w:r>
      <w:r>
        <w:rPr>
          <w:color w:val="C00000"/>
        </w:rPr>
        <w:t>6H/</w:t>
      </w:r>
      <w:r>
        <w:rPr/>
        <w:t>9H</w:t>
      </w:r>
      <w:r>
        <w:rPr>
          <w:spacing w:val="2"/>
        </w:rPr>
        <w:t> 處方；</w:t>
      </w:r>
      <w:r>
        <w:rPr/>
        <w:t>MDR-TB</w:t>
      </w:r>
      <w:r>
        <w:rPr>
          <w:spacing w:val="4"/>
        </w:rPr>
        <w:t> 個案</w:t>
      </w:r>
      <w:r>
        <w:rPr>
          <w:spacing w:val="6"/>
        </w:rPr>
        <w:t>之接觸者，為預防接觸者感染 </w:t>
      </w:r>
      <w:r>
        <w:rPr/>
        <w:t>MDR-TB</w:t>
      </w:r>
      <w:r>
        <w:rPr>
          <w:spacing w:val="12"/>
        </w:rPr>
        <w:t> 發病</w:t>
      </w:r>
      <w:r>
        <w:rPr>
          <w:color w:val="C00000"/>
          <w:spacing w:val="-1"/>
        </w:rPr>
        <w:t>更難治療，應轉介至同指標個案治療</w:t>
      </w:r>
      <w:r>
        <w:rPr>
          <w:color w:val="C00000"/>
        </w:rPr>
        <w:t>的 </w:t>
      </w:r>
      <w:r>
        <w:rPr/>
        <w:t>TMTC </w:t>
      </w:r>
      <w:r>
        <w:rPr>
          <w:color w:val="C00000"/>
        </w:rPr>
        <w:t>團隊，使用 9FQ(+/- EMB、PTO or CS</w:t>
      </w:r>
      <w:r>
        <w:rPr>
          <w:color w:val="C00000"/>
          <w:spacing w:val="8"/>
        </w:rPr>
        <w:t> )</w:t>
      </w:r>
      <w:r>
        <w:rPr/>
        <w:t>作為 LTBI 治療</w:t>
      </w:r>
      <w:r>
        <w:rPr>
          <w:color w:val="C00000"/>
        </w:rPr>
        <w:t>處方</w:t>
      </w:r>
      <w:r>
        <w:rPr/>
        <w:t>；至於接觸</w:t>
      </w:r>
      <w:r>
        <w:rPr>
          <w:spacing w:val="-1"/>
        </w:rPr>
        <w:t>者已使用 </w:t>
      </w:r>
      <w:r>
        <w:rPr/>
        <w:t>LTBI</w:t>
      </w:r>
      <w:r>
        <w:rPr>
          <w:spacing w:val="-5"/>
        </w:rPr>
        <w:t> 治療後，才得知指標個案為 </w:t>
      </w:r>
      <w:r>
        <w:rPr>
          <w:spacing w:val="-4"/>
        </w:rPr>
        <w:t>MDR-TB，</w:t>
      </w:r>
      <w:r>
        <w:rPr>
          <w:color w:val="C00000"/>
        </w:rPr>
        <w:t>亦應</w:t>
      </w:r>
      <w:r>
        <w:rPr/>
        <w:t>轉介至 TMTC </w:t>
      </w:r>
      <w:r>
        <w:rPr>
          <w:color w:val="C00000"/>
        </w:rPr>
        <w:t>依指標個案藥敏情形重新治療，以確保</w:t>
      </w:r>
      <w:r>
        <w:rPr/>
        <w:t>治療</w:t>
      </w:r>
      <w:r>
        <w:rPr>
          <w:color w:val="C00000"/>
        </w:rPr>
        <w:t>效果</w:t>
      </w:r>
      <w:r>
        <w:rPr/>
        <w:t>。</w:t>
      </w:r>
    </w:p>
    <w:p>
      <w:pPr>
        <w:pStyle w:val="BodyText"/>
        <w:spacing w:line="225" w:lineRule="auto" w:before="7"/>
        <w:ind w:left="1455" w:right="1358" w:firstLine="480"/>
        <w:jc w:val="both"/>
      </w:pPr>
      <w:r>
        <w:rPr>
          <w:color w:val="C00000"/>
        </w:rPr>
        <w:t>MDR-TB</w:t>
      </w:r>
      <w:r>
        <w:rPr>
          <w:color w:val="C00000"/>
          <w:spacing w:val="-2"/>
        </w:rPr>
        <w:t> 接觸者的 </w:t>
      </w:r>
      <w:r>
        <w:rPr>
          <w:color w:val="C00000"/>
        </w:rPr>
        <w:t>LTBI</w:t>
      </w:r>
      <w:r>
        <w:rPr>
          <w:color w:val="C00000"/>
          <w:spacing w:val="-2"/>
        </w:rPr>
        <w:t> 治療之所以要保留給 </w:t>
      </w:r>
      <w:r>
        <w:rPr>
          <w:color w:val="C00000"/>
        </w:rPr>
        <w:t>TMTC</w:t>
      </w:r>
      <w:r>
        <w:rPr>
          <w:color w:val="C00000"/>
          <w:spacing w:val="-6"/>
        </w:rPr>
        <w:t> 團隊，主要是台灣目前在MDR-TB</w:t>
      </w:r>
      <w:r>
        <w:rPr>
          <w:color w:val="C00000"/>
        </w:rPr>
        <w:t> 疫情控制良好，應積極面對接觸者的 LTBI</w:t>
      </w:r>
      <w:r>
        <w:rPr>
          <w:color w:val="C00000"/>
          <w:spacing w:val="-1"/>
        </w:rPr>
        <w:t> 治療以預防社區傳播。依照美</w:t>
      </w:r>
      <w:r>
        <w:rPr>
          <w:color w:val="C00000"/>
          <w:spacing w:val="8"/>
        </w:rPr>
        <w:t>國 </w:t>
      </w:r>
      <w:r>
        <w:rPr>
          <w:color w:val="C00000"/>
        </w:rPr>
        <w:t>CDC</w:t>
      </w:r>
      <w:r>
        <w:rPr>
          <w:color w:val="C00000"/>
          <w:spacing w:val="10"/>
        </w:rPr>
        <w:t> 及 </w:t>
      </w:r>
      <w:r>
        <w:rPr>
          <w:color w:val="C00000"/>
        </w:rPr>
        <w:t>WHO</w:t>
      </w:r>
      <w:r>
        <w:rPr>
          <w:color w:val="C00000"/>
          <w:spacing w:val="2"/>
        </w:rPr>
        <w:t> 的建議，使用 </w:t>
      </w:r>
      <w:r>
        <w:rPr>
          <w:color w:val="C00000"/>
        </w:rPr>
        <w:t>9FQ</w:t>
      </w:r>
      <w:r>
        <w:rPr>
          <w:color w:val="C00000"/>
          <w:spacing w:val="8"/>
        </w:rPr>
        <w:t> 照顧 </w:t>
      </w:r>
      <w:r>
        <w:rPr>
          <w:color w:val="C00000"/>
        </w:rPr>
        <w:t>FQ</w:t>
      </w:r>
      <w:r>
        <w:rPr>
          <w:color w:val="C00000"/>
          <w:spacing w:val="5"/>
        </w:rPr>
        <w:t> 敏感的 </w:t>
      </w:r>
      <w:r>
        <w:rPr>
          <w:color w:val="C00000"/>
        </w:rPr>
        <w:t>MDR-TB</w:t>
      </w:r>
      <w:r>
        <w:rPr>
          <w:color w:val="C00000"/>
          <w:spacing w:val="6"/>
        </w:rPr>
        <w:t> 指標之 </w:t>
      </w:r>
      <w:r>
        <w:rPr>
          <w:color w:val="C00000"/>
        </w:rPr>
        <w:t>LTBI</w:t>
      </w:r>
      <w:r>
        <w:rPr>
          <w:color w:val="C00000"/>
          <w:spacing w:val="5"/>
        </w:rPr>
        <w:t> 接觸</w:t>
      </w:r>
      <w:r>
        <w:rPr>
          <w:color w:val="C00000"/>
          <w:spacing w:val="-10"/>
        </w:rPr>
        <w:t>者，在計畫性的治療團隊照顧下，病人服藥的耐受性與治療的有效性較好，能減少</w:t>
      </w:r>
      <w:r>
        <w:rPr>
          <w:color w:val="C00000"/>
          <w:spacing w:val="-14"/>
        </w:rPr>
        <w:t>未來抗藥性結核病的發病風險，且對使用 </w:t>
      </w:r>
      <w:r>
        <w:rPr>
          <w:color w:val="C00000"/>
        </w:rPr>
        <w:t>9FQ</w:t>
      </w:r>
      <w:r>
        <w:rPr>
          <w:color w:val="C00000"/>
          <w:spacing w:val="5"/>
        </w:rPr>
        <w:t> 作為 </w:t>
      </w:r>
      <w:r>
        <w:rPr>
          <w:color w:val="C00000"/>
        </w:rPr>
        <w:t>LTBI 治療時可能發生的不良反應，亦可提供較及時的監測和處置。</w:t>
      </w:r>
    </w:p>
    <w:p>
      <w:pPr>
        <w:pStyle w:val="BodyText"/>
        <w:spacing w:line="228" w:lineRule="auto" w:before="6"/>
        <w:ind w:left="1455" w:right="1355" w:firstLine="480"/>
        <w:jc w:val="both"/>
      </w:pPr>
      <w:r>
        <w:rPr>
          <w:spacing w:val="-5"/>
        </w:rPr>
        <w:t>特別提醒臨床醫師注意，「</w:t>
      </w:r>
      <w:r>
        <w:rPr/>
        <w:t>3HP </w:t>
      </w:r>
      <w:r>
        <w:rPr>
          <w:color w:val="C00000"/>
        </w:rPr>
        <w:t>與 1HP</w:t>
      </w:r>
      <w:r>
        <w:rPr>
          <w:color w:val="C00000"/>
          <w:spacing w:val="-9"/>
        </w:rPr>
        <w:t>」有年齡</w:t>
      </w:r>
      <w:r>
        <w:rPr>
          <w:spacing w:val="-3"/>
        </w:rPr>
        <w:t>、孕婦(</w:t>
      </w:r>
      <w:r>
        <w:rPr>
          <w:color w:val="C00000"/>
        </w:rPr>
        <w:t>雖然</w:t>
      </w:r>
      <w:r>
        <w:rPr>
          <w:spacing w:val="-1"/>
        </w:rPr>
        <w:t>目前 </w:t>
      </w:r>
      <w:r>
        <w:rPr>
          <w:color w:val="C00000"/>
        </w:rPr>
        <w:t>3HP </w:t>
      </w:r>
      <w:r>
        <w:rPr/>
        <w:t>兩大臨</w:t>
      </w:r>
      <w:r>
        <w:rPr>
          <w:spacing w:val="-3"/>
        </w:rPr>
        <w:t>床試驗已證實未對寶寶產生影響，但仍需更大量的經驗累積</w:t>
      </w:r>
      <w:r>
        <w:rPr>
          <w:spacing w:val="-33"/>
        </w:rPr>
        <w:t>）</w:t>
      </w:r>
      <w:r>
        <w:rPr>
          <w:color w:val="C00000"/>
          <w:spacing w:val="-1"/>
        </w:rPr>
        <w:t>及 </w:t>
      </w:r>
      <w:r>
        <w:rPr/>
        <w:t>INH</w:t>
      </w:r>
      <w:r>
        <w:rPr>
          <w:spacing w:val="-1"/>
        </w:rPr>
        <w:t> 或 </w:t>
      </w:r>
      <w:r>
        <w:rPr/>
        <w:t>RMP</w:t>
      </w:r>
      <w:r>
        <w:rPr>
          <w:spacing w:val="-1"/>
        </w:rPr>
        <w:t> 抗藥指標個案</w:t>
      </w:r>
      <w:r>
        <w:rPr>
          <w:color w:val="C00000"/>
          <w:spacing w:val="-4"/>
        </w:rPr>
        <w:t>的使用限制</w:t>
      </w:r>
      <w:r>
        <w:rPr>
          <w:spacing w:val="-7"/>
        </w:rPr>
        <w:t>。此外，若潛伏結核感染者同時服用其他易與 </w:t>
      </w:r>
      <w:r>
        <w:rPr/>
        <w:t>RMP</w:t>
      </w:r>
      <w:r>
        <w:rPr>
          <w:spacing w:val="-1"/>
        </w:rPr>
        <w:t> 或 </w:t>
      </w:r>
      <w:r>
        <w:rPr/>
        <w:t>RPT</w:t>
      </w:r>
      <w:r>
        <w:rPr>
          <w:spacing w:val="-1"/>
        </w:rPr>
        <w:t> 產</w:t>
      </w:r>
      <w:r>
        <w:rPr>
          <w:spacing w:val="-3"/>
        </w:rPr>
        <w:t>生藥物交互作用之藥物</w:t>
      </w:r>
      <w:r>
        <w:rPr/>
        <w:t>（</w:t>
      </w:r>
      <w:r>
        <w:rPr>
          <w:spacing w:val="-6"/>
        </w:rPr>
        <w:t>如：</w:t>
      </w:r>
      <w:r>
        <w:rPr>
          <w:spacing w:val="-3"/>
        </w:rPr>
        <w:t>coumadin</w:t>
      </w:r>
      <w:r>
        <w:rPr>
          <w:spacing w:val="-9"/>
        </w:rPr>
        <w:t>、</w:t>
      </w:r>
      <w:r>
        <w:rPr/>
        <w:t>methadone</w:t>
      </w:r>
      <w:r>
        <w:rPr>
          <w:spacing w:val="-9"/>
        </w:rPr>
        <w:t>、</w:t>
      </w:r>
      <w:r>
        <w:rPr/>
        <w:t>phenytoin</w:t>
      </w:r>
      <w:r>
        <w:rPr>
          <w:spacing w:val="-3"/>
        </w:rPr>
        <w:t> 等，附件 </w:t>
      </w:r>
      <w:r>
        <w:rPr/>
        <w:t>10- </w:t>
      </w:r>
      <w:r>
        <w:rPr>
          <w:spacing w:val="2"/>
        </w:rPr>
        <w:t>1)</w:t>
      </w:r>
      <w:r>
        <w:rPr>
          <w:spacing w:val="5"/>
        </w:rPr>
        <w:t>，亦須評估是否適用 </w:t>
      </w:r>
      <w:r>
        <w:rPr/>
        <w:t>3HP</w:t>
      </w:r>
      <w:r>
        <w:rPr>
          <w:color w:val="C00000"/>
        </w:rPr>
        <w:t>/1HP/4R/3HR </w:t>
      </w:r>
      <w:r>
        <w:rPr>
          <w:spacing w:val="3"/>
        </w:rPr>
        <w:t>處方。</w:t>
      </w:r>
      <w:r>
        <w:rPr/>
        <w:t>RMP</w:t>
      </w:r>
      <w:r>
        <w:rPr>
          <w:spacing w:val="29"/>
        </w:rPr>
        <w:t> 及 </w:t>
      </w:r>
      <w:r>
        <w:rPr/>
        <w:t>RPT</w:t>
      </w:r>
      <w:r>
        <w:rPr>
          <w:spacing w:val="7"/>
        </w:rPr>
        <w:t> 皆因為透過活化</w:t>
      </w:r>
      <w:r>
        <w:rPr/>
        <w:t>CYP450</w:t>
      </w:r>
      <w:r>
        <w:rPr>
          <w:spacing w:val="-4"/>
        </w:rPr>
        <w:t> 酵素的活動，影響其他藥物的體內濃度(通常導致偏低)，若病人併用的藥</w:t>
      </w:r>
      <w:r>
        <w:rPr>
          <w:spacing w:val="4"/>
        </w:rPr>
        <w:t>物療效不足可能危及生命時，要格外謹慎；若需要潛伏結核感染治療的對象是愛</w:t>
      </w:r>
      <w:r>
        <w:rPr>
          <w:spacing w:val="-4"/>
        </w:rPr>
        <w:t>滋病毒感染者，建議參考本指引第九章表 </w:t>
      </w:r>
      <w:r>
        <w:rPr>
          <w:spacing w:val="-11"/>
        </w:rPr>
        <w:t>9-1</w:t>
      </w:r>
      <w:r>
        <w:rPr>
          <w:spacing w:val="-5"/>
        </w:rPr>
        <w:t>，選擇最適合感染者的治療選項，以</w:t>
      </w:r>
      <w:r>
        <w:rPr>
          <w:spacing w:val="2"/>
        </w:rPr>
        <w:t>避免抗愛滋病毒藥物治療失敗。</w:t>
      </w:r>
    </w:p>
    <w:p>
      <w:pPr>
        <w:pStyle w:val="BodyText"/>
        <w:spacing w:line="225" w:lineRule="auto" w:before="8"/>
        <w:ind w:left="1455" w:right="1301" w:firstLine="480"/>
        <w:jc w:val="both"/>
      </w:pPr>
      <w:r>
        <w:rPr>
          <w:color w:val="C00000"/>
        </w:rPr>
        <w:t>過去懷孕婦女</w:t>
      </w:r>
      <w:r>
        <w:rPr>
          <w:spacing w:val="-5"/>
        </w:rPr>
        <w:t>為避免孕期中服藥，</w:t>
      </w:r>
      <w:r>
        <w:rPr>
          <w:spacing w:val="-6"/>
        </w:rPr>
        <w:t>LTBI</w:t>
      </w:r>
      <w:r>
        <w:rPr>
          <w:spacing w:val="-4"/>
        </w:rPr>
        <w:t> 治療通常被延遲到產後才進行，但結核病接觸者</w:t>
      </w:r>
      <w:r>
        <w:rPr>
          <w:color w:val="C00000"/>
          <w:spacing w:val="-4"/>
        </w:rPr>
        <w:t>發病風險</w:t>
      </w:r>
      <w:r>
        <w:rPr>
          <w:spacing w:val="-7"/>
        </w:rPr>
        <w:t>高，尤其是近期接觸到傳染性結核病病人，因此懷孕不應該視為延遲治療</w:t>
      </w:r>
      <w:r>
        <w:rPr>
          <w:color w:val="C00000"/>
          <w:spacing w:val="-12"/>
        </w:rPr>
        <w:t>的原因</w:t>
      </w:r>
      <w:r>
        <w:rPr>
          <w:spacing w:val="-7"/>
        </w:rPr>
        <w:t>，對於 </w:t>
      </w:r>
      <w:r>
        <w:rPr/>
        <w:t>LTBI</w:t>
      </w:r>
      <w:r>
        <w:rPr>
          <w:spacing w:val="-1"/>
        </w:rPr>
        <w:t> 檢驗陽性孕婦應儘速</w:t>
      </w:r>
      <w:r>
        <w:rPr>
          <w:color w:val="C00000"/>
        </w:rPr>
        <w:t>進行</w:t>
      </w:r>
      <w:r>
        <w:rPr>
          <w:spacing w:val="-10"/>
        </w:rPr>
        <w:t>治療，除可保護孕婦發病外， </w:t>
      </w:r>
      <w:r>
        <w:rPr>
          <w:spacing w:val="-2"/>
        </w:rPr>
        <w:t>也可以預防新生兒先天性結核病的發生，處方可選擇 </w:t>
      </w:r>
      <w:r>
        <w:rPr>
          <w:spacing w:val="-6"/>
        </w:rPr>
        <w:t>4R</w:t>
      </w:r>
      <w:r>
        <w:rPr>
          <w:spacing w:val="-11"/>
        </w:rPr>
        <w:t>、</w:t>
      </w:r>
      <w:r>
        <w:rPr/>
        <w:t>3HR 或 </w:t>
      </w:r>
      <w:r>
        <w:rPr>
          <w:color w:val="C00000"/>
          <w:spacing w:val="-3"/>
        </w:rPr>
        <w:t>6H/9H。孕婦及哺乳婦女 </w:t>
      </w:r>
      <w:r>
        <w:rPr>
          <w:color w:val="C00000"/>
        </w:rPr>
        <w:t>LTBI</w:t>
      </w:r>
      <w:r>
        <w:rPr>
          <w:color w:val="C00000"/>
          <w:spacing w:val="-1"/>
        </w:rPr>
        <w:t> 治療如使用 </w:t>
      </w:r>
      <w:r>
        <w:rPr>
          <w:color w:val="C00000"/>
        </w:rPr>
        <w:t>INH</w:t>
      </w:r>
      <w:r>
        <w:rPr>
          <w:color w:val="C00000"/>
          <w:spacing w:val="-1"/>
        </w:rPr>
        <w:t> 者可同時補充 </w:t>
      </w:r>
      <w:r>
        <w:rPr>
          <w:color w:val="C00000"/>
        </w:rPr>
        <w:t>pyridoxine(vitaminB6)。</w:t>
      </w:r>
    </w:p>
    <w:p>
      <w:pPr>
        <w:pStyle w:val="BodyText"/>
        <w:spacing w:line="225" w:lineRule="auto" w:before="5"/>
        <w:ind w:left="1489" w:right="1298" w:firstLine="480"/>
        <w:jc w:val="both"/>
      </w:pPr>
      <w:r>
        <w:rPr>
          <w:color w:val="C00000"/>
        </w:rPr>
        <w:t>對於未滿 5</w:t>
      </w:r>
      <w:r>
        <w:rPr>
          <w:color w:val="C00000"/>
          <w:spacing w:val="-6"/>
        </w:rPr>
        <w:t> 歲幼童接觸者發病風險高，應儘速執行 </w:t>
      </w:r>
      <w:r>
        <w:rPr>
          <w:color w:val="C00000"/>
        </w:rPr>
        <w:t>LTBI</w:t>
      </w:r>
      <w:r>
        <w:rPr>
          <w:color w:val="C00000"/>
          <w:spacing w:val="-12"/>
        </w:rPr>
        <w:t> 檢驗，不管結果如何， </w:t>
      </w:r>
      <w:r>
        <w:rPr>
          <w:color w:val="C00000"/>
        </w:rPr>
        <w:t>先給予預防性治療(window </w:t>
      </w:r>
      <w:r>
        <w:rPr>
          <w:color w:val="C00000"/>
          <w:spacing w:val="-6"/>
        </w:rPr>
        <w:t>prophylaxis</w:t>
      </w:r>
      <w:r>
        <w:rPr>
          <w:color w:val="C00000"/>
          <w:spacing w:val="-3"/>
        </w:rPr>
        <w:t>)，檢驗陰性者俟與指標個案終止有效暴露</w:t>
      </w:r>
    </w:p>
    <w:p>
      <w:pPr>
        <w:spacing w:after="0" w:line="225" w:lineRule="auto"/>
        <w:jc w:val="both"/>
        <w:sectPr>
          <w:pgSz w:w="12250" w:h="17190"/>
          <w:pgMar w:header="0" w:footer="748" w:top="1460" w:bottom="1020" w:left="840" w:right="0"/>
        </w:sectPr>
      </w:pPr>
    </w:p>
    <w:p>
      <w:pPr>
        <w:pStyle w:val="BodyText"/>
        <w:spacing w:line="225" w:lineRule="auto" w:before="46"/>
        <w:ind w:left="1489" w:right="1358"/>
        <w:jc w:val="both"/>
      </w:pPr>
      <w:r>
        <w:rPr>
          <w:color w:val="C00000"/>
        </w:rPr>
        <w:t>滿 8 週後 LTBI 檢驗結果，再決定是否完成治療，處方選擇除特別提醒未滿 2 歲不使用 3HP，未滿 13 歲不使用 1HP，其他都建議優先使用短程處方，以提升完治率。</w:t>
      </w:r>
    </w:p>
    <w:p>
      <w:pPr>
        <w:pStyle w:val="BodyText"/>
        <w:spacing w:line="225" w:lineRule="auto" w:before="4"/>
        <w:ind w:left="1455" w:right="1297" w:firstLine="480"/>
        <w:jc w:val="both"/>
      </w:pPr>
      <w:r>
        <w:rPr/>
        <w:t>就藥物使用的劑量來說，</w:t>
      </w:r>
      <w:r>
        <w:rPr>
          <w:color w:val="C00000"/>
        </w:rPr>
        <w:t>6H/</w:t>
      </w:r>
      <w:r>
        <w:rPr/>
        <w:t>9H/4R/3HR 是按照體重來計算，INH 在兒童的劑量是成人的 2 倍為 10mg/kg，成人則為 5mg/kg，每日最大劑量 INH 300mg。RMP 在兒童的劑量是成人的 1.5 倍為 15mg/kg，成人為 10mg/kg，每日最大劑量 RMP 600mg。</w:t>
      </w:r>
    </w:p>
    <w:p>
      <w:pPr>
        <w:pStyle w:val="Heading7"/>
        <w:numPr>
          <w:ilvl w:val="2"/>
          <w:numId w:val="122"/>
        </w:numPr>
        <w:tabs>
          <w:tab w:pos="1472" w:val="left" w:leader="none"/>
        </w:tabs>
        <w:spacing w:line="240" w:lineRule="auto" w:before="261" w:after="0"/>
        <w:ind w:left="1471" w:right="0" w:hanging="841"/>
        <w:jc w:val="left"/>
      </w:pPr>
      <w:bookmarkStart w:name="10.2.5 不良反應的發生" w:id="114"/>
      <w:bookmarkEnd w:id="114"/>
      <w:r>
        <w:rPr>
          <w:b w:val="0"/>
        </w:rPr>
      </w:r>
      <w:bookmarkStart w:name="10.2.5 不良反應的發生" w:id="115"/>
      <w:bookmarkEnd w:id="115"/>
      <w:r>
        <w:rPr/>
        <w:t>不良反應的發生</w:t>
      </w:r>
    </w:p>
    <w:p>
      <w:pPr>
        <w:pStyle w:val="BodyText"/>
        <w:spacing w:line="428" w:lineRule="exact" w:before="5"/>
        <w:ind w:right="1356"/>
        <w:jc w:val="right"/>
      </w:pPr>
      <w:r>
        <w:rPr/>
        <w:t>使用 9H 處方，發生不良反應的風險隨年齡增加，自 2008 年 4 月 1 日起到</w:t>
      </w:r>
    </w:p>
    <w:p>
      <w:pPr>
        <w:pStyle w:val="BodyText"/>
        <w:spacing w:line="225" w:lineRule="auto" w:before="5"/>
        <w:ind w:left="1455" w:right="1301"/>
        <w:jc w:val="right"/>
      </w:pPr>
      <w:r>
        <w:rPr/>
        <w:t>2014</w:t>
      </w:r>
      <w:r>
        <w:rPr>
          <w:spacing w:val="15"/>
        </w:rPr>
        <w:t> 年 </w:t>
      </w:r>
      <w:r>
        <w:rPr/>
        <w:t>9</w:t>
      </w:r>
      <w:r>
        <w:rPr>
          <w:spacing w:val="14"/>
        </w:rPr>
        <w:t> 月 </w:t>
      </w:r>
      <w:r>
        <w:rPr/>
        <w:t>30 日期間，由結核病追蹤管理系統中，下載在這段時間登記並開始</w:t>
      </w:r>
      <w:r>
        <w:rPr>
          <w:spacing w:val="5"/>
        </w:rPr>
        <w:t>接受 </w:t>
      </w:r>
      <w:r>
        <w:rPr/>
        <w:t>LTBI</w:t>
      </w:r>
      <w:r>
        <w:rPr>
          <w:spacing w:val="5"/>
        </w:rPr>
        <w:t> 治療的 </w:t>
      </w:r>
      <w:r>
        <w:rPr/>
        <w:t>28,353</w:t>
      </w:r>
      <w:r>
        <w:rPr>
          <w:spacing w:val="3"/>
        </w:rPr>
        <w:t> 位個案。約有 </w:t>
      </w:r>
      <w:r>
        <w:rPr/>
        <w:t>2%</w:t>
      </w:r>
      <w:r>
        <w:rPr>
          <w:spacing w:val="8"/>
        </w:rPr>
        <w:t>的 </w:t>
      </w:r>
      <w:r>
        <w:rPr/>
        <w:t>LTBI 治療個案因為不良反應而永久中斷，其中 40-69 歲的中高齡族群，有超過 6%的發生率。肝炎(ALT</w:t>
      </w:r>
      <w:r>
        <w:rPr>
          <w:spacing w:val="14"/>
        </w:rPr>
        <w:t> [</w:t>
      </w:r>
      <w:r>
        <w:rPr/>
        <w:t>GPT]&gt;正常</w:t>
      </w:r>
      <w:r>
        <w:rPr>
          <w:spacing w:val="1"/>
        </w:rPr>
        <w:t>值 </w:t>
      </w:r>
      <w:r>
        <w:rPr/>
        <w:t>5</w:t>
      </w:r>
      <w:r>
        <w:rPr>
          <w:spacing w:val="2"/>
        </w:rPr>
        <w:t> 倍或臨床有肝炎症狀且 </w:t>
      </w:r>
      <w:r>
        <w:rPr/>
        <w:t>ALT[GPT</w:t>
      </w:r>
      <w:r>
        <w:rPr>
          <w:spacing w:val="1"/>
        </w:rPr>
        <w:t>]&gt;正常值 </w:t>
      </w:r>
      <w:r>
        <w:rPr/>
        <w:t>3</w:t>
      </w:r>
      <w:r>
        <w:rPr>
          <w:spacing w:val="1"/>
        </w:rPr>
        <w:t> 倍)造成永久停藥有 </w:t>
      </w:r>
      <w:r>
        <w:rPr>
          <w:spacing w:val="-13"/>
        </w:rPr>
        <w:t>1</w:t>
      </w:r>
      <w:r>
        <w:rPr>
          <w:spacing w:val="-8"/>
        </w:rPr>
        <w:t>%。以年齡</w:t>
      </w:r>
      <w:r>
        <w:rPr>
          <w:spacing w:val="-4"/>
        </w:rPr>
        <w:t>層分析，</w:t>
      </w:r>
      <w:r>
        <w:rPr>
          <w:spacing w:val="-6"/>
        </w:rPr>
        <w:t>20</w:t>
      </w:r>
      <w:r>
        <w:rPr>
          <w:spacing w:val="-4"/>
        </w:rPr>
        <w:t> 歲以下發生率非常低，小於 </w:t>
      </w:r>
      <w:r>
        <w:rPr>
          <w:spacing w:val="-7"/>
        </w:rPr>
        <w:t>0.3</w:t>
      </w:r>
      <w:r>
        <w:rPr>
          <w:spacing w:val="-3"/>
        </w:rPr>
        <w:t>%；超過 </w:t>
      </w:r>
      <w:r>
        <w:rPr/>
        <w:t>30 歲發生比例超過 </w:t>
      </w:r>
      <w:r>
        <w:rPr>
          <w:spacing w:val="-12"/>
        </w:rPr>
        <w:t>2</w:t>
      </w:r>
      <w:r>
        <w:rPr>
          <w:spacing w:val="-6"/>
        </w:rPr>
        <w:t>%，主要</w:t>
      </w:r>
      <w:r>
        <w:rPr>
          <w:spacing w:val="13"/>
        </w:rPr>
        <w:t>是 </w:t>
      </w:r>
      <w:r>
        <w:rPr/>
        <w:t>60-69</w:t>
      </w:r>
      <w:r>
        <w:rPr>
          <w:spacing w:val="33"/>
        </w:rPr>
        <w:t> 歲年齡層的發生率最高達 </w:t>
      </w:r>
      <w:r>
        <w:rPr/>
        <w:t>4%</w:t>
      </w:r>
      <w:r>
        <w:rPr>
          <w:spacing w:val="27"/>
        </w:rPr>
        <w:t> 。因肝炎導致住院比例為 </w:t>
      </w:r>
      <w:r>
        <w:rPr/>
        <w:t>0.6‰ </w:t>
      </w:r>
      <w:r>
        <w:rPr>
          <w:spacing w:val="-3"/>
        </w:rPr>
        <w:t>(16/28,353</w:t>
      </w:r>
      <w:r>
        <w:rPr>
          <w:spacing w:val="-9"/>
        </w:rPr>
        <w:t>)，沒有觀察到死亡個案。不良反應的種類，依年齡有所不同，若依&lt;</w:t>
      </w:r>
      <w:r>
        <w:rPr/>
        <w:t>13</w:t>
      </w:r>
      <w:r>
        <w:rPr>
          <w:spacing w:val="-15"/>
        </w:rPr>
        <w:t>歲、</w:t>
      </w:r>
      <w:r>
        <w:rPr/>
        <w:t>13-29</w:t>
      </w:r>
      <w:r>
        <w:rPr>
          <w:spacing w:val="-1"/>
        </w:rPr>
        <w:t> 歲及 </w:t>
      </w:r>
      <w:r>
        <w:rPr/>
        <w:t>30</w:t>
      </w:r>
      <w:r>
        <w:rPr>
          <w:spacing w:val="-5"/>
        </w:rPr>
        <w:t> 歲以上分層來看，導致永遠停藥的不良反應，13</w:t>
      </w:r>
      <w:r>
        <w:rPr/>
        <w:t> 歲以上 2 個年齡層最常見都是肝炎及嚴重肝炎(分別為 </w:t>
      </w:r>
      <w:r>
        <w:rPr>
          <w:spacing w:val="-11"/>
        </w:rPr>
        <w:t>56</w:t>
      </w:r>
      <w:r>
        <w:rPr>
          <w:spacing w:val="-21"/>
        </w:rPr>
        <w:t>%、</w:t>
      </w:r>
      <w:r>
        <w:rPr>
          <w:spacing w:val="-13"/>
        </w:rPr>
        <w:t>68%</w:t>
      </w:r>
      <w:r>
        <w:rPr>
          <w:spacing w:val="-5"/>
        </w:rPr>
        <w:t>)，其次是皮膚癢或起疹子(分別</w:t>
      </w:r>
      <w:r>
        <w:rPr>
          <w:spacing w:val="-2"/>
        </w:rPr>
        <w:t>為 </w:t>
      </w:r>
      <w:r>
        <w:rPr>
          <w:spacing w:val="-14"/>
        </w:rPr>
        <w:t>13</w:t>
      </w:r>
      <w:r>
        <w:rPr>
          <w:spacing w:val="-27"/>
        </w:rPr>
        <w:t>%、</w:t>
      </w:r>
      <w:r>
        <w:rPr>
          <w:spacing w:val="-20"/>
        </w:rPr>
        <w:t>9%</w:t>
      </w:r>
      <w:r>
        <w:rPr>
          <w:spacing w:val="-14"/>
        </w:rPr>
        <w:t>)；而</w:t>
      </w:r>
      <w:r>
        <w:rPr/>
        <w:t>&lt;13</w:t>
      </w:r>
      <w:r>
        <w:rPr>
          <w:spacing w:val="-1"/>
        </w:rPr>
        <w:t> 歲則以皮膚相關癢疹為最多(</w:t>
      </w:r>
      <w:r>
        <w:rPr>
          <w:spacing w:val="-14"/>
        </w:rPr>
        <w:t>53%</w:t>
      </w:r>
      <w:r>
        <w:rPr>
          <w:spacing w:val="-6"/>
        </w:rPr>
        <w:t>)，肝炎及嚴重肝炎占 </w:t>
      </w:r>
      <w:r>
        <w:rPr>
          <w:spacing w:val="-13"/>
        </w:rPr>
        <w:t>20%。</w:t>
      </w:r>
      <w:r>
        <w:rPr/>
        <w:t> Dick Menzies 等人於 2018 年，發表跨國隨機分派臨床試驗，4R</w:t>
      </w:r>
      <w:r>
        <w:rPr>
          <w:spacing w:val="1"/>
        </w:rPr>
        <w:t> 與 </w:t>
      </w:r>
      <w:r>
        <w:rPr/>
        <w:t>9H</w:t>
      </w:r>
      <w:r>
        <w:rPr>
          <w:spacing w:val="1"/>
        </w:rPr>
        <w:t> 的治</w:t>
      </w:r>
    </w:p>
    <w:p>
      <w:pPr>
        <w:pStyle w:val="BodyText"/>
        <w:spacing w:line="228" w:lineRule="auto"/>
        <w:ind w:left="1455" w:right="1358"/>
        <w:jc w:val="both"/>
      </w:pPr>
      <w:r>
        <w:rPr>
          <w:spacing w:val="-1"/>
        </w:rPr>
        <w:t>療發生非懷孕的第 </w:t>
      </w:r>
      <w:r>
        <w:rPr/>
        <w:t>3 至 5 級不良反應比例，分別為  0.8% vs</w:t>
      </w:r>
      <w:r>
        <w:rPr>
          <w:spacing w:val="-7"/>
        </w:rPr>
        <w:t>. </w:t>
      </w:r>
      <w:r>
        <w:rPr/>
        <w:t>2.2%，</w:t>
      </w:r>
      <w:r>
        <w:rPr>
          <w:spacing w:val="-3"/>
        </w:rPr>
        <w:t>而嚴重肝炎的</w:t>
      </w:r>
      <w:r>
        <w:rPr>
          <w:spacing w:val="2"/>
        </w:rPr>
        <w:t>發生情形，分別為 </w:t>
      </w:r>
      <w:r>
        <w:rPr/>
        <w:t>0.3</w:t>
      </w:r>
      <w:r>
        <w:rPr>
          <w:spacing w:val="13"/>
        </w:rPr>
        <w:t>% </w:t>
      </w:r>
      <w:r>
        <w:rPr/>
        <w:t>vs</w:t>
      </w:r>
      <w:r>
        <w:rPr>
          <w:spacing w:val="13"/>
        </w:rPr>
        <w:t>. </w:t>
      </w:r>
      <w:r>
        <w:rPr/>
        <w:t>1.8</w:t>
      </w:r>
      <w:r>
        <w:rPr>
          <w:spacing w:val="1"/>
        </w:rPr>
        <w:t>%，皆以 </w:t>
      </w:r>
      <w:r>
        <w:rPr/>
        <w:t>4R</w:t>
      </w:r>
      <w:r>
        <w:rPr>
          <w:spacing w:val="2"/>
        </w:rPr>
        <w:t> 較安全。兒童的部分亦顯示，</w:t>
      </w:r>
      <w:r>
        <w:rPr/>
        <w:t>2</w:t>
      </w:r>
      <w:r>
        <w:rPr>
          <w:spacing w:val="3"/>
        </w:rPr>
        <w:t> 種處</w:t>
      </w:r>
      <w:r>
        <w:rPr>
          <w:spacing w:val="2"/>
        </w:rPr>
        <w:t>方整體不良反應&lt;</w:t>
      </w:r>
      <w:r>
        <w:rPr/>
        <w:t>5</w:t>
      </w:r>
      <w:r>
        <w:rPr>
          <w:spacing w:val="3"/>
        </w:rPr>
        <w:t>%且皆為 </w:t>
      </w:r>
      <w:r>
        <w:rPr/>
        <w:t>1</w:t>
      </w:r>
      <w:r>
        <w:rPr>
          <w:spacing w:val="9"/>
        </w:rPr>
        <w:t> 至 </w:t>
      </w:r>
      <w:r>
        <w:rPr/>
        <w:t>2</w:t>
      </w:r>
      <w:r>
        <w:rPr>
          <w:spacing w:val="2"/>
        </w:rPr>
        <w:t> 級不良反應。臺灣矯正機關執行 </w:t>
      </w:r>
      <w:r>
        <w:rPr/>
        <w:t>4R</w:t>
      </w:r>
      <w:r>
        <w:rPr>
          <w:spacing w:val="9"/>
        </w:rPr>
        <w:t> 與 </w:t>
      </w:r>
      <w:r>
        <w:rPr/>
        <w:t>6H</w:t>
      </w:r>
      <w:r>
        <w:rPr>
          <w:spacing w:val="6"/>
        </w:rPr>
        <w:t> 的</w:t>
      </w:r>
      <w:r>
        <w:rPr>
          <w:spacing w:val="-1"/>
        </w:rPr>
        <w:t>安全性比較也顯示，因為副作用停藥的比例 </w:t>
      </w:r>
      <w:r>
        <w:rPr/>
        <w:t>4R</w:t>
      </w:r>
      <w:r>
        <w:rPr>
          <w:spacing w:val="-2"/>
        </w:rPr>
        <w:t> 明顯較低(</w:t>
      </w:r>
      <w:r>
        <w:rPr/>
        <w:t>2% vs</w:t>
      </w:r>
      <w:r>
        <w:rPr>
          <w:spacing w:val="10"/>
        </w:rPr>
        <w:t>. </w:t>
      </w:r>
      <w:r>
        <w:rPr/>
        <w:t>12%)，且因為肝</w:t>
      </w:r>
      <w:r>
        <w:rPr>
          <w:spacing w:val="3"/>
        </w:rPr>
        <w:t>炎造成的永久停藥更是懸殊 (</w:t>
      </w:r>
      <w:r>
        <w:rPr/>
        <w:t>0% vs</w:t>
      </w:r>
      <w:r>
        <w:rPr>
          <w:spacing w:val="12"/>
        </w:rPr>
        <w:t>. </w:t>
      </w:r>
      <w:r>
        <w:rPr/>
        <w:t>8%</w:t>
      </w:r>
      <w:r>
        <w:rPr>
          <w:spacing w:val="-1"/>
        </w:rPr>
        <w:t>)。在 </w:t>
      </w:r>
      <w:r>
        <w:rPr/>
        <w:t>2017</w:t>
      </w:r>
      <w:r>
        <w:rPr>
          <w:spacing w:val="-1"/>
        </w:rPr>
        <w:t> 年系統性回顧及統合分析也顯</w:t>
      </w:r>
      <w:r>
        <w:rPr/>
        <w:t>示，不論是只有 RMP 的處方或者是 3HP，肝毒性都比 6H</w:t>
      </w:r>
      <w:r>
        <w:rPr>
          <w:spacing w:val="4"/>
        </w:rPr>
        <w:t> 或 </w:t>
      </w:r>
      <w:r>
        <w:rPr/>
        <w:t>9H 的肝毒性，統計顯著來得低。3HR</w:t>
      </w:r>
      <w:r>
        <w:rPr>
          <w:spacing w:val="3"/>
        </w:rPr>
        <w:t> 沒有直接與 </w:t>
      </w:r>
      <w:r>
        <w:rPr/>
        <w:t>6H</w:t>
      </w:r>
      <w:r>
        <w:rPr>
          <w:spacing w:val="10"/>
        </w:rPr>
        <w:t> 或 </w:t>
      </w:r>
      <w:r>
        <w:rPr/>
        <w:t>9H</w:t>
      </w:r>
      <w:r>
        <w:rPr>
          <w:spacing w:val="1"/>
        </w:rPr>
        <w:t> 比較的資料，但知道肝毒性比 </w:t>
      </w:r>
      <w:r>
        <w:rPr/>
        <w:t>12H 要來得低。</w:t>
      </w:r>
    </w:p>
    <w:p>
      <w:pPr>
        <w:pStyle w:val="BodyText"/>
        <w:spacing w:line="225" w:lineRule="auto" w:before="5"/>
        <w:ind w:left="1455" w:right="1358" w:firstLine="480"/>
        <w:jc w:val="both"/>
      </w:pPr>
      <w:r>
        <w:rPr>
          <w:color w:val="C00000"/>
          <w:spacing w:val="1"/>
        </w:rPr>
        <w:t>由於僅一篇於 </w:t>
      </w:r>
      <w:r>
        <w:rPr>
          <w:color w:val="C00000"/>
        </w:rPr>
        <w:t>2019 年發表的隨機分派臨床試驗報告，愛滋感染孕婦在產後 </w:t>
      </w:r>
      <w:r>
        <w:rPr>
          <w:color w:val="C00000"/>
          <w:spacing w:val="-16"/>
        </w:rPr>
        <w:t>3 </w:t>
      </w:r>
      <w:r>
        <w:rPr>
          <w:color w:val="C00000"/>
          <w:spacing w:val="-1"/>
        </w:rPr>
        <w:t>個月內使用 </w:t>
      </w:r>
      <w:r>
        <w:rPr>
          <w:color w:val="C00000"/>
        </w:rPr>
        <w:t>INH</w:t>
      </w:r>
      <w:r>
        <w:rPr>
          <w:color w:val="C00000"/>
          <w:spacing w:val="-7"/>
        </w:rPr>
        <w:t> 治療，有較高的肝炎風險(6.6%</w:t>
      </w:r>
      <w:r>
        <w:rPr>
          <w:color w:val="C00000"/>
          <w:spacing w:val="-8"/>
        </w:rPr>
        <w:t>)，本指引建議，產婦在產後 </w:t>
      </w:r>
      <w:r>
        <w:rPr>
          <w:color w:val="C00000"/>
        </w:rPr>
        <w:t>3 個月</w:t>
      </w:r>
      <w:r>
        <w:rPr>
          <w:color w:val="C00000"/>
          <w:spacing w:val="12"/>
        </w:rPr>
        <w:t>接受 </w:t>
      </w:r>
      <w:r>
        <w:rPr>
          <w:color w:val="C00000"/>
        </w:rPr>
        <w:t>LTBI</w:t>
      </w:r>
      <w:r>
        <w:rPr>
          <w:color w:val="C00000"/>
          <w:spacing w:val="-1"/>
        </w:rPr>
        <w:t> 治療期間，請特別注意肝功能變化。基於前篇報告，世界衛生組織進行</w:t>
      </w:r>
      <w:r>
        <w:rPr>
          <w:color w:val="C00000"/>
          <w:spacing w:val="-8"/>
        </w:rPr>
        <w:t>系統性文獻回顧，在 </w:t>
      </w:r>
      <w:r>
        <w:rPr>
          <w:color w:val="C00000"/>
        </w:rPr>
        <w:t>2020</w:t>
      </w:r>
      <w:r>
        <w:rPr>
          <w:color w:val="C00000"/>
          <w:spacing w:val="-8"/>
        </w:rPr>
        <w:t> 年指引中指出，懷孕期間接受 </w:t>
      </w:r>
      <w:r>
        <w:rPr>
          <w:color w:val="C00000"/>
        </w:rPr>
        <w:t>LTBI</w:t>
      </w:r>
      <w:r>
        <w:rPr>
          <w:color w:val="C00000"/>
          <w:spacing w:val="-2"/>
        </w:rPr>
        <w:t> 治療並不會造成胎兒</w:t>
      </w:r>
      <w:r>
        <w:rPr>
          <w:color w:val="C00000"/>
          <w:spacing w:val="1"/>
        </w:rPr>
        <w:t>或新生兒死亡、早產、低出生體重或先天畸形等不良的結果，且孕期間 </w:t>
      </w:r>
      <w:r>
        <w:rPr>
          <w:color w:val="C00000"/>
        </w:rPr>
        <w:t>LTBI</w:t>
      </w:r>
      <w:r>
        <w:rPr>
          <w:color w:val="C00000"/>
          <w:spacing w:val="12"/>
        </w:rPr>
        <w:t> 治療</w:t>
      </w:r>
    </w:p>
    <w:p>
      <w:pPr>
        <w:spacing w:after="0" w:line="225" w:lineRule="auto"/>
        <w:jc w:val="both"/>
        <w:sectPr>
          <w:pgSz w:w="12250" w:h="17190"/>
          <w:pgMar w:header="0" w:footer="748" w:top="1460" w:bottom="1020" w:left="840" w:right="0"/>
        </w:sectPr>
      </w:pPr>
    </w:p>
    <w:p>
      <w:pPr>
        <w:pStyle w:val="BodyText"/>
        <w:spacing w:line="225" w:lineRule="auto" w:before="46"/>
        <w:ind w:left="1455" w:right="1298"/>
      </w:pPr>
      <w:r>
        <w:rPr/>
        <w:pict>
          <v:group style="position:absolute;margin-left:573pt;margin-top:.443154pt;width:39.4pt;height:189.75pt;mso-position-horizontal-relative:page;mso-position-vertical-relative:paragraph;z-index:251853824" coordorigin="11460,9" coordsize="788,3795">
            <v:shape style="position:absolute;left:11460;top:8;width:788;height:3795" coordorigin="11460,9" coordsize="788,3795" path="m12247,9l11625,9,11561,22,11508,57,11473,110,11460,174,11460,3639,11473,3703,11508,3755,11561,3791,11625,3804,12247,3804,12247,9xe" filled="true" fillcolor="#a6a6a6" stroked="false">
              <v:path arrowok="t"/>
              <v:fill type="solid"/>
            </v:shape>
            <v:shape style="position:absolute;left:11460;top:8;width:788;height:3795" type="#_x0000_t202" filled="false" stroked="false">
              <v:textbox inset="0,0,0,0">
                <w:txbxContent>
                  <w:p>
                    <w:pPr>
                      <w:spacing w:line="146" w:lineRule="auto" w:before="126"/>
                      <w:ind w:left="136" w:right="428" w:firstLine="0"/>
                      <w:jc w:val="both"/>
                      <w:rPr>
                        <w:sz w:val="22"/>
                      </w:rPr>
                    </w:pPr>
                    <w:r>
                      <w:rPr>
                        <w:sz w:val="22"/>
                      </w:rPr>
                      <w:t>第十章</w:t>
                    </w:r>
                  </w:p>
                  <w:p>
                    <w:pPr>
                      <w:spacing w:line="141" w:lineRule="auto" w:before="235"/>
                      <w:ind w:left="136" w:right="428" w:firstLine="0"/>
                      <w:jc w:val="both"/>
                      <w:rPr>
                        <w:sz w:val="22"/>
                      </w:rPr>
                    </w:pPr>
                    <w:r>
                      <w:rPr>
                        <w:sz w:val="22"/>
                      </w:rPr>
                      <w:t>潛伏結核感染診斷與治療</w:t>
                    </w:r>
                  </w:p>
                </w:txbxContent>
              </v:textbox>
              <w10:wrap type="none"/>
            </v:shape>
            <w10:wrap type="none"/>
          </v:group>
        </w:pict>
      </w:r>
      <w:r>
        <w:rPr>
          <w:color w:val="C00000"/>
        </w:rPr>
        <w:t>導致第三級或第四級肝毒性並沒有顯著差異，除非有特殊狀況，無須定期檢驗肝功能。</w:t>
      </w:r>
    </w:p>
    <w:p>
      <w:pPr>
        <w:pStyle w:val="BodyText"/>
        <w:spacing w:line="228" w:lineRule="auto" w:before="3"/>
        <w:ind w:left="1455" w:right="1357" w:firstLine="480"/>
        <w:jc w:val="both"/>
      </w:pPr>
      <w:r>
        <w:rPr>
          <w:spacing w:val="-1"/>
        </w:rPr>
        <w:t>美國 </w:t>
      </w:r>
      <w:r>
        <w:rPr/>
        <w:t>CDC</w:t>
      </w:r>
      <w:r>
        <w:rPr>
          <w:spacing w:val="-1"/>
        </w:rPr>
        <w:t> 的臨床試驗 </w:t>
      </w:r>
      <w:r>
        <w:rPr/>
        <w:t>TBTC</w:t>
      </w:r>
      <w:r>
        <w:rPr>
          <w:spacing w:val="-14"/>
        </w:rPr>
        <w:t> </w:t>
      </w:r>
      <w:r>
        <w:rPr/>
        <w:t>26</w:t>
      </w:r>
      <w:r>
        <w:rPr>
          <w:spacing w:val="-11"/>
        </w:rPr>
        <w:t> 顯示，</w:t>
      </w:r>
      <w:r>
        <w:rPr>
          <w:spacing w:val="-8"/>
        </w:rPr>
        <w:t>3HP</w:t>
      </w:r>
      <w:r>
        <w:rPr>
          <w:spacing w:val="-1"/>
        </w:rPr>
        <w:t> 與藥物相關的肝炎發生比例明顯較9H 低(0.4%</w:t>
      </w:r>
      <w:r>
        <w:rPr>
          <w:spacing w:val="-15"/>
        </w:rPr>
        <w:t> </w:t>
      </w:r>
      <w:r>
        <w:rPr/>
        <w:t>vs</w:t>
      </w:r>
      <w:r>
        <w:rPr>
          <w:spacing w:val="-15"/>
        </w:rPr>
        <w:t> </w:t>
      </w:r>
      <w:r>
        <w:rPr>
          <w:spacing w:val="-9"/>
        </w:rPr>
        <w:t>2.7%</w:t>
      </w:r>
      <w:r>
        <w:rPr>
          <w:spacing w:val="-5"/>
        </w:rPr>
        <w:t>)；臺灣 </w:t>
      </w:r>
      <w:r>
        <w:rPr/>
        <w:t>2014 年至 2016 年收案 263 人的研究也顯示同樣的結果(3HP</w:t>
      </w:r>
      <w:r>
        <w:rPr>
          <w:spacing w:val="21"/>
        </w:rPr>
        <w:t> </w:t>
      </w:r>
      <w:r>
        <w:rPr/>
        <w:t>1.5%</w:t>
      </w:r>
      <w:r>
        <w:rPr>
          <w:spacing w:val="23"/>
        </w:rPr>
        <w:t> </w:t>
      </w:r>
      <w:r>
        <w:rPr/>
        <w:t>vs</w:t>
      </w:r>
      <w:r>
        <w:rPr>
          <w:spacing w:val="11"/>
        </w:rPr>
        <w:t>. </w:t>
      </w:r>
      <w:r>
        <w:rPr/>
        <w:t>9H</w:t>
      </w:r>
      <w:r>
        <w:rPr>
          <w:spacing w:val="23"/>
        </w:rPr>
        <w:t> </w:t>
      </w:r>
      <w:r>
        <w:rPr/>
        <w:t>5.3%)</w:t>
      </w:r>
      <w:r>
        <w:rPr>
          <w:spacing w:val="-1"/>
        </w:rPr>
        <w:t>。另依據全國監測資料(表 </w:t>
      </w:r>
      <w:r>
        <w:rPr/>
        <w:t>10-3</w:t>
      </w:r>
      <w:r>
        <w:rPr>
          <w:spacing w:val="11"/>
        </w:rPr>
        <w:t>)，使用 </w:t>
      </w:r>
      <w:r>
        <w:rPr/>
        <w:t>3HP</w:t>
      </w:r>
      <w:r>
        <w:rPr>
          <w:spacing w:val="19"/>
        </w:rPr>
        <w:t> 及 </w:t>
      </w:r>
      <w:r>
        <w:rPr/>
        <w:t>4R</w:t>
      </w:r>
      <w:r>
        <w:rPr>
          <w:spacing w:val="-1"/>
        </w:rPr>
        <w:t> 個</w:t>
      </w:r>
      <w:r>
        <w:rPr>
          <w:spacing w:val="1"/>
        </w:rPr>
        <w:t>案因為肝炎達 </w:t>
      </w:r>
      <w:r>
        <w:rPr/>
        <w:t>5</w:t>
      </w:r>
      <w:r>
        <w:rPr>
          <w:spacing w:val="11"/>
        </w:rPr>
        <w:t> 倍 </w:t>
      </w:r>
      <w:r>
        <w:rPr/>
        <w:t>GPT</w:t>
      </w:r>
      <w:r>
        <w:rPr>
          <w:spacing w:val="1"/>
        </w:rPr>
        <w:t> 上升而導致永久停藥的情況，與 </w:t>
      </w:r>
      <w:r>
        <w:rPr/>
        <w:t>9H</w:t>
      </w:r>
      <w:r>
        <w:rPr>
          <w:spacing w:val="-2"/>
        </w:rPr>
        <w:t> 比起來，不論哪個年</w:t>
      </w:r>
      <w:r>
        <w:rPr/>
        <w:t>齡層都是顯著較低。TBTC</w:t>
      </w:r>
      <w:r>
        <w:rPr>
          <w:spacing w:val="25"/>
        </w:rPr>
        <w:t> </w:t>
      </w:r>
      <w:r>
        <w:rPr/>
        <w:t>26 試驗中，3HP</w:t>
      </w:r>
      <w:r>
        <w:rPr>
          <w:spacing w:val="-1"/>
        </w:rPr>
        <w:t> 和 </w:t>
      </w:r>
      <w:r>
        <w:rPr/>
        <w:t>9H</w:t>
      </w:r>
      <w:r>
        <w:rPr>
          <w:spacing w:val="-1"/>
        </w:rPr>
        <w:t> 分別有 </w:t>
      </w:r>
      <w:r>
        <w:rPr/>
        <w:t>21%</w:t>
      </w:r>
      <w:r>
        <w:rPr>
          <w:spacing w:val="-1"/>
        </w:rPr>
        <w:t>和 </w:t>
      </w:r>
      <w:r>
        <w:rPr/>
        <w:t>14%個案有副作</w:t>
      </w:r>
      <w:r>
        <w:rPr>
          <w:spacing w:val="-10"/>
        </w:rPr>
        <w:t>用的問題，多在短時間內可緩解，不影響服藥。最終因為副作用造成永久停藥分別</w:t>
      </w:r>
      <w:r>
        <w:rPr>
          <w:spacing w:val="4"/>
        </w:rPr>
        <w:t>為 </w:t>
      </w:r>
      <w:r>
        <w:rPr/>
        <w:t>4.9</w:t>
      </w:r>
      <w:r>
        <w:rPr>
          <w:spacing w:val="2"/>
        </w:rPr>
        <w:t>%和 </w:t>
      </w:r>
      <w:r>
        <w:rPr/>
        <w:t>3.7%，完成治療的比例則為 82</w:t>
      </w:r>
      <w:r>
        <w:rPr>
          <w:spacing w:val="16"/>
        </w:rPr>
        <w:t>% 和 </w:t>
      </w:r>
      <w:r>
        <w:rPr/>
        <w:t>69%。值得注意的是，在 3HP</w:t>
      </w:r>
      <w:r>
        <w:rPr>
          <w:spacing w:val="4"/>
        </w:rPr>
        <w:t> 分組中有 </w:t>
      </w:r>
      <w:r>
        <w:rPr/>
        <w:t>3.5%</w:t>
      </w:r>
      <w:r>
        <w:rPr>
          <w:spacing w:val="-1"/>
        </w:rPr>
        <w:t>的病人有全身性藥物反應，在這些全身性藥物反應的病人中，最常遇</w:t>
      </w:r>
      <w:r>
        <w:rPr/>
        <w:t>到的不良反應(63%)為類似流感相關症狀（flu-like</w:t>
      </w:r>
      <w:r>
        <w:rPr>
          <w:spacing w:val="-30"/>
        </w:rPr>
        <w:t> </w:t>
      </w:r>
      <w:r>
        <w:rPr/>
        <w:t>syndrome），例如：頭暈、頭</w:t>
      </w:r>
      <w:r>
        <w:rPr>
          <w:spacing w:val="-4"/>
        </w:rPr>
        <w:t>痛、噁心或嘔吐、肌肉痠痛、無力、疲倦、發燒、盜汗、呼吸急促、臉紅及寒顫等症狀(本文全身性藥物反應 </w:t>
      </w:r>
      <w:r>
        <w:rPr/>
        <w:t>flu-like</w:t>
      </w:r>
      <w:r>
        <w:rPr>
          <w:spacing w:val="-17"/>
        </w:rPr>
        <w:t> </w:t>
      </w:r>
      <w:r>
        <w:rPr/>
        <w:t>syndrome</w:t>
      </w:r>
      <w:r>
        <w:rPr>
          <w:spacing w:val="-3"/>
        </w:rPr>
        <w:t> </w:t>
      </w:r>
      <w:r>
        <w:rPr>
          <w:color w:val="C00000"/>
        </w:rPr>
        <w:t>之</w:t>
      </w:r>
      <w:r>
        <w:rPr>
          <w:spacing w:val="-12"/>
        </w:rPr>
        <w:t>定義是，</w:t>
      </w:r>
      <w:r>
        <w:rPr>
          <w:color w:val="C00000"/>
        </w:rPr>
        <w:t>有四種症狀</w:t>
      </w:r>
      <w:r>
        <w:rPr/>
        <w:t>嚴重程度</w:t>
      </w:r>
      <w:r>
        <w:rPr>
          <w:color w:val="C00000"/>
        </w:rPr>
        <w:t>達到</w:t>
      </w:r>
      <w:r>
        <w:rPr/>
        <w:t>二級以上)；這種情況在 9H 處方的發生率相當低（</w:t>
      </w:r>
      <w:r>
        <w:rPr>
          <w:spacing w:val="4"/>
        </w:rPr>
        <w:t>僅 </w:t>
      </w:r>
      <w:r>
        <w:rPr/>
        <w:t>0.4%</w:t>
      </w:r>
      <w:r>
        <w:rPr>
          <w:spacing w:val="-2"/>
        </w:rPr>
        <w:t>有全身性藥物反應，其</w:t>
      </w:r>
      <w:r>
        <w:rPr>
          <w:spacing w:val="1"/>
        </w:rPr>
        <w:t>中 </w:t>
      </w:r>
      <w:r>
        <w:rPr/>
        <w:t>13%為類似流感之症狀</w:t>
      </w:r>
      <w:r>
        <w:rPr>
          <w:spacing w:val="-41"/>
        </w:rPr>
        <w:t>）</w:t>
      </w:r>
      <w:r>
        <w:rPr>
          <w:spacing w:val="-10"/>
        </w:rPr>
        <w:t>，其他較少見的全身性藥物反應不良反應，包括有急性</w:t>
      </w:r>
      <w:r>
        <w:rPr>
          <w:spacing w:val="-8"/>
        </w:rPr>
        <w:t>過敏性休克反應，例如皮疹類，腸胃道和呼吸道等分類。較嚴重的全身性反應絕大</w:t>
      </w:r>
      <w:r>
        <w:rPr>
          <w:spacing w:val="-1"/>
        </w:rPr>
        <w:t>多數發生在第 </w:t>
      </w:r>
      <w:r>
        <w:rPr/>
        <w:t>3</w:t>
      </w:r>
      <w:r>
        <w:rPr>
          <w:spacing w:val="-1"/>
        </w:rPr>
        <w:t> 個到第 </w:t>
      </w:r>
      <w:r>
        <w:rPr/>
        <w:t>4</w:t>
      </w:r>
      <w:r>
        <w:rPr>
          <w:spacing w:val="-7"/>
        </w:rPr>
        <w:t> 個劑量。在 </w:t>
      </w:r>
      <w:r>
        <w:rPr/>
        <w:t>PREVENT</w:t>
      </w:r>
      <w:r>
        <w:rPr>
          <w:spacing w:val="-15"/>
        </w:rPr>
        <w:t> </w:t>
      </w:r>
      <w:r>
        <w:rPr/>
        <w:t>TB</w:t>
      </w:r>
      <w:r>
        <w:rPr>
          <w:spacing w:val="-1"/>
        </w:rPr>
        <w:t> 臨床試驗(將近 </w:t>
      </w:r>
      <w:r>
        <w:rPr/>
        <w:t>4,000</w:t>
      </w:r>
      <w:r>
        <w:rPr>
          <w:spacing w:val="-7"/>
        </w:rPr>
        <w:t> 人)，紐約市(300</w:t>
      </w:r>
      <w:r>
        <w:rPr>
          <w:spacing w:val="-10"/>
        </w:rPr>
        <w:t> 多人)，以及美國 </w:t>
      </w:r>
      <w:r>
        <w:rPr/>
        <w:t>CDC</w:t>
      </w:r>
      <w:r>
        <w:rPr>
          <w:spacing w:val="-1"/>
        </w:rPr>
        <w:t> 主導的上市後監測(約 </w:t>
      </w:r>
      <w:r>
        <w:rPr/>
        <w:t>3,500</w:t>
      </w:r>
      <w:r>
        <w:rPr>
          <w:spacing w:val="-10"/>
        </w:rPr>
        <w:t> 人)，並沒有因為 </w:t>
      </w:r>
      <w:r>
        <w:rPr/>
        <w:t>3HP</w:t>
      </w:r>
      <w:r>
        <w:rPr>
          <w:spacing w:val="-1"/>
        </w:rPr>
        <w:t> 死亡或因嚴重不良反應導致殘疾的狀況發生。</w:t>
      </w:r>
    </w:p>
    <w:p>
      <w:pPr>
        <w:pStyle w:val="BodyText"/>
        <w:spacing w:line="228" w:lineRule="auto" w:before="12"/>
        <w:ind w:left="1455" w:right="1357" w:firstLine="480"/>
        <w:jc w:val="both"/>
      </w:pPr>
      <w:r>
        <w:rPr/>
        <w:t>3HP</w:t>
      </w:r>
      <w:r>
        <w:rPr>
          <w:spacing w:val="-8"/>
        </w:rPr>
        <w:t> 的弱點在於「非」肝炎之副作用，我國 </w:t>
      </w:r>
      <w:r>
        <w:rPr/>
        <w:t>2014-2016 年收案 263</w:t>
      </w:r>
      <w:r>
        <w:rPr>
          <w:spacing w:val="-3"/>
        </w:rPr>
        <w:t> 人的臨床</w:t>
      </w:r>
      <w:r>
        <w:rPr/>
        <w:t>試驗結果顯示，服用 3HP 約有 41%的病人抱怨有任何一種類流感症狀，皮疹約有</w:t>
      </w:r>
      <w:r>
        <w:rPr>
          <w:spacing w:val="-3"/>
        </w:rPr>
        <w:t>11</w:t>
      </w:r>
      <w:r>
        <w:rPr>
          <w:spacing w:val="-2"/>
        </w:rPr>
        <w:t>%，相較於 </w:t>
      </w:r>
      <w:r>
        <w:rPr/>
        <w:t>9H</w:t>
      </w:r>
      <w:r>
        <w:rPr>
          <w:spacing w:val="-1"/>
        </w:rPr>
        <w:t> 此兩項不良反應的比例為 </w:t>
      </w:r>
      <w:r>
        <w:rPr/>
        <w:t>17%</w:t>
      </w:r>
      <w:r>
        <w:rPr>
          <w:spacing w:val="-1"/>
        </w:rPr>
        <w:t>和 </w:t>
      </w:r>
      <w:r>
        <w:rPr>
          <w:spacing w:val="-4"/>
        </w:rPr>
        <w:t>7</w:t>
      </w:r>
      <w:r>
        <w:rPr>
          <w:spacing w:val="-3"/>
        </w:rPr>
        <w:t>%，雖然藥物不良反應而停藥的比例 </w:t>
      </w:r>
      <w:r>
        <w:rPr/>
        <w:t>3HP</w:t>
      </w:r>
      <w:r>
        <w:rPr>
          <w:spacing w:val="-1"/>
        </w:rPr>
        <w:t> 高於 </w:t>
      </w:r>
      <w:r>
        <w:rPr/>
        <w:t>9H (9% vs</w:t>
      </w:r>
      <w:r>
        <w:rPr>
          <w:spacing w:val="-1"/>
        </w:rPr>
        <w:t>. </w:t>
      </w:r>
      <w:r>
        <w:rPr/>
        <w:t>5%</w:t>
      </w:r>
      <w:r>
        <w:rPr>
          <w:spacing w:val="-2"/>
        </w:rPr>
        <w:t>)，全身性的過敏反應，亦是 </w:t>
      </w:r>
      <w:r>
        <w:rPr/>
        <w:t>3HP</w:t>
      </w:r>
      <w:r>
        <w:rPr>
          <w:spacing w:val="-1"/>
        </w:rPr>
        <w:t> 高於 </w:t>
      </w:r>
      <w:r>
        <w:rPr/>
        <w:t>9H(4% vs. 0%</w:t>
      </w:r>
      <w:r>
        <w:rPr>
          <w:spacing w:val="-1"/>
        </w:rPr>
        <w:t>)，與美國的 </w:t>
      </w:r>
      <w:r>
        <w:rPr/>
        <w:t>PREVENT TB Trial (TBTC26)有類似的結果，且女性較男性容易產生發燒不適的情況(14% vs</w:t>
      </w:r>
      <w:r>
        <w:rPr>
          <w:spacing w:val="10"/>
        </w:rPr>
        <w:t>. </w:t>
      </w:r>
      <w:r>
        <w:rPr/>
        <w:t>1%)，但最終停藥的比率分別為 11%</w:t>
      </w:r>
      <w:r>
        <w:rPr>
          <w:spacing w:val="-1"/>
        </w:rPr>
        <w:t>與 </w:t>
      </w:r>
      <w:r>
        <w:rPr/>
        <w:t>22%，3HP</w:t>
      </w:r>
      <w:r>
        <w:rPr>
          <w:spacing w:val="-1"/>
        </w:rPr>
        <w:t> 明顯較 </w:t>
      </w:r>
      <w:r>
        <w:rPr/>
        <w:t>9H</w:t>
      </w:r>
      <w:r>
        <w:rPr>
          <w:spacing w:val="-4"/>
        </w:rPr>
        <w:t> 來得容易完成治療。那些因為副作用而導致停藥的個案被發現的症狀往往</w:t>
      </w:r>
      <w:r>
        <w:rPr>
          <w:spacing w:val="-1"/>
        </w:rPr>
        <w:t>是發燒，症狀發生的中位數為 </w:t>
      </w:r>
      <w:r>
        <w:rPr/>
        <w:t>15 天(四分位 13.3-23.8)。</w:t>
      </w:r>
    </w:p>
    <w:p>
      <w:pPr>
        <w:pStyle w:val="BodyText"/>
        <w:spacing w:line="228" w:lineRule="auto" w:before="6"/>
        <w:ind w:left="1455" w:right="1343" w:firstLine="488"/>
        <w:jc w:val="both"/>
      </w:pPr>
      <w:r>
        <w:rPr/>
        <w:t>由此可知，在病人治療的過程中，提供足夠的衛教和支持(例如：醫師診間衛</w:t>
      </w:r>
      <w:r>
        <w:rPr>
          <w:spacing w:val="4"/>
        </w:rPr>
        <w:t>教及適時適當的提供藥物緩解，藥局提供病人用藥須知及提醒，醫院及公衛個管充分掌握病人副作用及藥物交互作用的可能並安排回診，關懷員提供以病人為中</w:t>
      </w:r>
      <w:r>
        <w:rPr>
          <w:spacing w:val="-1"/>
        </w:rPr>
        <w:t>心的都治計畫，配合病人可以服藥的時間進行都治關懷以協助定時服藥)，是克服</w:t>
      </w:r>
      <w:r>
        <w:rPr>
          <w:spacing w:val="-8"/>
        </w:rPr>
        <w:t>副作用和提高完治率的不二法門。國內也有研究顯示，高齡的病人接受 </w:t>
      </w:r>
      <w:r>
        <w:rPr/>
        <w:t>3HP</w:t>
      </w:r>
      <w:r>
        <w:rPr>
          <w:spacing w:val="-21"/>
        </w:rPr>
        <w:t> 治療， </w:t>
      </w:r>
      <w:r>
        <w:rPr>
          <w:spacing w:val="4"/>
        </w:rPr>
        <w:t>並不會有較高比例發生副作用，</w:t>
      </w:r>
      <w:r>
        <w:rPr>
          <w:color w:val="C00000"/>
          <w:spacing w:val="5"/>
        </w:rPr>
        <w:t>但是</w:t>
      </w:r>
      <w:r>
        <w:rPr>
          <w:spacing w:val="4"/>
        </w:rPr>
        <w:t>一旦發生副作用</w:t>
      </w:r>
      <w:r>
        <w:rPr>
          <w:color w:val="C00000"/>
          <w:spacing w:val="6"/>
        </w:rPr>
        <w:t>較</w:t>
      </w:r>
      <w:r>
        <w:rPr>
          <w:spacing w:val="4"/>
        </w:rPr>
        <w:t>不容易耐受，較容易放棄</w:t>
      </w:r>
      <w:r>
        <w:rPr>
          <w:spacing w:val="3"/>
        </w:rPr>
        <w:t>治療。</w:t>
      </w:r>
    </w:p>
    <w:p>
      <w:pPr>
        <w:spacing w:after="0" w:line="228" w:lineRule="auto"/>
        <w:jc w:val="both"/>
        <w:sectPr>
          <w:pgSz w:w="12250" w:h="17190"/>
          <w:pgMar w:header="0" w:footer="748" w:top="1460" w:bottom="1020" w:left="840" w:right="0"/>
        </w:sectPr>
      </w:pPr>
    </w:p>
    <w:p>
      <w:pPr>
        <w:pStyle w:val="BodyText"/>
        <w:spacing w:line="228" w:lineRule="auto" w:before="26"/>
        <w:ind w:left="1455" w:right="1308" w:firstLine="480"/>
        <w:jc w:val="both"/>
      </w:pPr>
      <w:r>
        <w:rPr/>
        <w:t>全國推動 3HP 治療後蒐集 2016-2019</w:t>
      </w:r>
      <w:r>
        <w:rPr>
          <w:spacing w:val="-12"/>
        </w:rPr>
        <w:t> 年間，</w:t>
      </w:r>
      <w:r>
        <w:rPr>
          <w:spacing w:val="-7"/>
        </w:rPr>
        <w:t>13,427</w:t>
      </w:r>
      <w:r>
        <w:rPr/>
        <w:t> 位接受 3HP 治療的 LTBI </w:t>
      </w:r>
      <w:r>
        <w:rPr>
          <w:spacing w:val="3"/>
        </w:rPr>
        <w:t>接觸者資料，多變項分析結果顯示年齡越大、女性、指標來自非高風險地區者， </w:t>
      </w:r>
      <w:r>
        <w:rPr>
          <w:spacing w:val="4"/>
        </w:rPr>
        <w:t>因 </w:t>
      </w:r>
      <w:r>
        <w:rPr/>
        <w:t>3HP</w:t>
      </w:r>
      <w:r>
        <w:rPr>
          <w:spacing w:val="-1"/>
        </w:rPr>
        <w:t> 不良反應導致永久停藥的機會越大。其中，女性比同齡男性更容易發生因</w:t>
      </w:r>
      <w:r>
        <w:rPr>
          <w:spacing w:val="-3"/>
        </w:rPr>
        <w:t>為不良反應而永久停藥的情況，在 </w:t>
      </w:r>
      <w:r>
        <w:rPr/>
        <w:t>18-64</w:t>
      </w:r>
      <w:r>
        <w:rPr>
          <w:spacing w:val="-4"/>
        </w:rPr>
        <w:t> 歲的年齡層達到統計顯著的差異。此外， </w:t>
      </w:r>
      <w:r>
        <w:rPr>
          <w:spacing w:val="4"/>
        </w:rPr>
        <w:t>透過勾稽健保資料庫觀察此群接觸者的共病情況，可以發現糖尿病、需定期血液</w:t>
      </w:r>
      <w:r>
        <w:rPr>
          <w:spacing w:val="-6"/>
        </w:rPr>
        <w:t>透析、慢性腎衰竭、慢性肝病、使用類固醇超過 </w:t>
      </w:r>
      <w:r>
        <w:rPr/>
        <w:t>28</w:t>
      </w:r>
      <w:r>
        <w:rPr>
          <w:spacing w:val="-1"/>
        </w:rPr>
        <w:t> 天等共病接觸者，皆較沒有共</w:t>
      </w:r>
      <w:r>
        <w:rPr>
          <w:spacing w:val="4"/>
        </w:rPr>
        <w:t>病接觸者有更高的風險</w:t>
      </w:r>
      <w:r>
        <w:rPr>
          <w:color w:val="C00000"/>
          <w:spacing w:val="6"/>
        </w:rPr>
        <w:t>因</w:t>
      </w:r>
      <w:r>
        <w:rPr>
          <w:spacing w:val="4"/>
        </w:rPr>
        <w:t>不良反應而永久停藥，藥物間交互作用可能是</w:t>
      </w:r>
      <w:r>
        <w:rPr>
          <w:color w:val="C00000"/>
          <w:spacing w:val="5"/>
        </w:rPr>
        <w:t>有共病</w:t>
      </w:r>
      <w:r>
        <w:rPr/>
        <w:t>的</w:t>
      </w:r>
      <w:r>
        <w:rPr>
          <w:spacing w:val="3"/>
        </w:rPr>
        <w:t>中高年齡病人完治率較低的主要原因。此外，國內全國性監測資料顯示，達到嚴</w:t>
      </w:r>
      <w:r>
        <w:rPr>
          <w:spacing w:val="-3"/>
        </w:rPr>
        <w:t>重不良反應(定義為死亡、住院或急診留觀超過</w:t>
      </w:r>
      <w:r>
        <w:rPr/>
        <w:t>24</w:t>
      </w:r>
      <w:r>
        <w:rPr>
          <w:spacing w:val="-5"/>
        </w:rPr>
        <w:t> 小時)</w:t>
      </w:r>
      <w:r>
        <w:rPr>
          <w:color w:val="C00000"/>
          <w:spacing w:val="4"/>
        </w:rPr>
        <w:t>而</w:t>
      </w:r>
      <w:r>
        <w:rPr>
          <w:spacing w:val="3"/>
        </w:rPr>
        <w:t>永久</w:t>
      </w:r>
      <w:r>
        <w:rPr>
          <w:color w:val="C00000"/>
          <w:spacing w:val="3"/>
        </w:rPr>
        <w:t>停止</w:t>
      </w:r>
      <w:r>
        <w:rPr>
          <w:spacing w:val="3"/>
        </w:rPr>
        <w:t>服用 </w:t>
      </w:r>
      <w:r>
        <w:rPr/>
        <w:t>3HP</w:t>
      </w:r>
      <w:r>
        <w:rPr>
          <w:spacing w:val="4"/>
        </w:rPr>
        <w:t> </w:t>
      </w:r>
      <w:r>
        <w:rPr>
          <w:color w:val="C00000"/>
          <w:spacing w:val="4"/>
        </w:rPr>
        <w:t>的</w:t>
      </w:r>
      <w:r>
        <w:rPr/>
        <w:t>個</w:t>
      </w:r>
      <w:r>
        <w:rPr>
          <w:spacing w:val="2"/>
        </w:rPr>
        <w:t>案中，</w:t>
      </w:r>
      <w:r>
        <w:rPr/>
        <w:t>54</w:t>
      </w:r>
      <w:r>
        <w:rPr>
          <w:spacing w:val="3"/>
        </w:rPr>
        <w:t> 位以過敏反應來表現，故符合嚴重不良反應造成永久停藥的過敏反應， </w:t>
      </w:r>
      <w:r>
        <w:rPr>
          <w:spacing w:val="2"/>
        </w:rPr>
        <w:t>發生機率約為 </w:t>
      </w:r>
      <w:r>
        <w:rPr>
          <w:spacing w:val="-6"/>
        </w:rPr>
        <w:t>4</w:t>
      </w:r>
      <w:r>
        <w:rPr>
          <w:spacing w:val="-2"/>
        </w:rPr>
        <w:t>‰。其中有 </w:t>
      </w:r>
      <w:r>
        <w:rPr/>
        <w:t>87%同時合併有類流感症狀，48</w:t>
      </w:r>
      <w:r>
        <w:rPr>
          <w:spacing w:val="1"/>
        </w:rPr>
        <w:t>%診斷過敏的依據是低血壓(其中的 </w:t>
      </w:r>
      <w:r>
        <w:rPr/>
        <w:t>46%</w:t>
      </w:r>
      <w:r>
        <w:rPr>
          <w:spacing w:val="-10"/>
        </w:rPr>
        <w:t>同時合併呼吸道過敏症狀：胸悶、胸痛、心搏過速等症狀)，另</w:t>
      </w:r>
      <w:r>
        <w:rPr>
          <w:spacing w:val="3"/>
        </w:rPr>
        <w:t>外 </w:t>
      </w:r>
      <w:r>
        <w:rPr/>
        <w:t>24%僅有呼吸道過敏症狀，沒有低血壓。起初的症狀可能是類流感或者疲勞不適、頭暈等，每次不良反應出現的時間，在服藥後有提早的趨勢，但 96%</w:t>
      </w:r>
      <w:r>
        <w:rPr>
          <w:spacing w:val="7"/>
        </w:rPr>
        <w:t>都發生</w:t>
      </w:r>
      <w:r>
        <w:rPr>
          <w:spacing w:val="4"/>
        </w:rPr>
        <w:t>在服藥後的 </w:t>
      </w:r>
      <w:r>
        <w:rPr/>
        <w:t>24</w:t>
      </w:r>
      <w:r>
        <w:rPr>
          <w:spacing w:val="-5"/>
        </w:rPr>
        <w:t> 小時內。產生嚴重不良反應的時間從第 </w:t>
      </w:r>
      <w:r>
        <w:rPr/>
        <w:t>2</w:t>
      </w:r>
      <w:r>
        <w:rPr>
          <w:spacing w:val="2"/>
        </w:rPr>
        <w:t> 劑到第 </w:t>
      </w:r>
      <w:r>
        <w:rPr/>
        <w:t>9</w:t>
      </w:r>
      <w:r>
        <w:rPr>
          <w:spacing w:val="2"/>
        </w:rPr>
        <w:t> 劑不等(但 75%</w:t>
      </w:r>
    </w:p>
    <w:p>
      <w:pPr>
        <w:pStyle w:val="BodyText"/>
        <w:spacing w:line="228" w:lineRule="auto" w:before="11"/>
        <w:ind w:left="1455" w:right="1355"/>
        <w:jc w:val="both"/>
      </w:pPr>
      <w:r>
        <w:rPr>
          <w:spacing w:val="2"/>
        </w:rPr>
        <w:t>發生在前 </w:t>
      </w:r>
      <w:r>
        <w:rPr/>
        <w:t>4</w:t>
      </w:r>
      <w:r>
        <w:rPr>
          <w:spacing w:val="-2"/>
        </w:rPr>
        <w:t> 個劑量之內)，中位數為服完第 </w:t>
      </w:r>
      <w:r>
        <w:rPr/>
        <w:t>3</w:t>
      </w:r>
      <w:r>
        <w:rPr>
          <w:spacing w:val="-5"/>
        </w:rPr>
        <w:t> 劑。這些過敏個案，近 </w:t>
      </w:r>
      <w:r>
        <w:rPr/>
        <w:t>9</w:t>
      </w:r>
      <w:r>
        <w:rPr>
          <w:spacing w:val="3"/>
        </w:rPr>
        <w:t> 成有類流感</w:t>
      </w:r>
      <w:r>
        <w:rPr>
          <w:spacing w:val="2"/>
        </w:rPr>
        <w:t>症狀</w:t>
      </w:r>
      <w:r>
        <w:rPr/>
        <w:t>（flu-like</w:t>
      </w:r>
      <w:r>
        <w:rPr>
          <w:spacing w:val="-4"/>
        </w:rPr>
        <w:t> </w:t>
      </w:r>
      <w:r>
        <w:rPr/>
        <w:t>syndrome），</w:t>
      </w:r>
      <w:r>
        <w:rPr>
          <w:spacing w:val="6"/>
        </w:rPr>
        <w:t>約 </w:t>
      </w:r>
      <w:r>
        <w:rPr/>
        <w:t>5</w:t>
      </w:r>
      <w:r>
        <w:rPr>
          <w:spacing w:val="3"/>
        </w:rPr>
        <w:t> 成有低血壓，臨床上需要尋找可能的感染源及</w:t>
      </w:r>
      <w:r>
        <w:rPr>
          <w:spacing w:val="4"/>
        </w:rPr>
        <w:t>處理敗血症休克，若病人出現肋膜積水，常會被認為是肺炎，此外被診斷為泌尿</w:t>
      </w:r>
      <w:r>
        <w:rPr>
          <w:spacing w:val="3"/>
        </w:rPr>
        <w:t>道感染併敗血症也是常見的診斷，除了抗生素以外也必須補充液體，以及注射抗</w:t>
      </w:r>
      <w:r>
        <w:rPr>
          <w:spacing w:val="-9"/>
        </w:rPr>
        <w:t>組織胺、類固醇、甚至升壓劑等，才能迅速穩定病情。在 </w:t>
      </w:r>
      <w:r>
        <w:rPr/>
        <w:t>54</w:t>
      </w:r>
      <w:r>
        <w:rPr>
          <w:spacing w:val="2"/>
        </w:rPr>
        <w:t> 位符合嚴重不良反應</w:t>
      </w:r>
    </w:p>
    <w:p>
      <w:pPr>
        <w:pStyle w:val="BodyText"/>
        <w:spacing w:line="418" w:lineRule="exact"/>
        <w:ind w:left="1455"/>
        <w:jc w:val="both"/>
      </w:pPr>
      <w:r>
        <w:rPr>
          <w:spacing w:val="3"/>
        </w:rPr>
        <w:t>造成永久停藥的過敏反應個案中，有 </w:t>
      </w:r>
      <w:r>
        <w:rPr/>
        <w:t>3</w:t>
      </w:r>
      <w:r>
        <w:rPr>
          <w:spacing w:val="3"/>
        </w:rPr>
        <w:t> 位病人抱怨有快要昏過去的感覺；大部分</w:t>
      </w:r>
    </w:p>
    <w:p>
      <w:pPr>
        <w:pStyle w:val="BodyText"/>
        <w:spacing w:line="228" w:lineRule="auto" w:before="5"/>
        <w:ind w:left="1455" w:right="1355"/>
        <w:jc w:val="both"/>
      </w:pPr>
      <w:r>
        <w:rPr>
          <w:spacing w:val="-1"/>
        </w:rPr>
        <w:t>個案經給予輸液後症狀緩解，緩解時間需約從 </w:t>
      </w:r>
      <w:r>
        <w:rPr/>
        <w:t>6-48</w:t>
      </w:r>
      <w:r>
        <w:rPr>
          <w:spacing w:val="-6"/>
        </w:rPr>
        <w:t> 小時不等。比較特別的是，部</w:t>
      </w:r>
      <w:r>
        <w:rPr>
          <w:spacing w:val="3"/>
        </w:rPr>
        <w:t>分病人甚至出現胸痛、冒冷汗或心搏過速等心肌梗塞症狀，有 </w:t>
      </w:r>
      <w:r>
        <w:rPr/>
        <w:t>3</w:t>
      </w:r>
      <w:r>
        <w:rPr>
          <w:spacing w:val="8"/>
        </w:rPr>
        <w:t> 位個案(</w:t>
      </w:r>
      <w:r>
        <w:rPr/>
        <w:t>42</w:t>
      </w:r>
      <w:r>
        <w:rPr>
          <w:spacing w:val="14"/>
        </w:rPr>
        <w:t> 歲男</w:t>
      </w:r>
      <w:r>
        <w:rPr>
          <w:spacing w:val="20"/>
        </w:rPr>
        <w:t>性和</w:t>
      </w:r>
      <w:r>
        <w:rPr/>
        <w:t>66</w:t>
      </w:r>
      <w:r>
        <w:rPr>
          <w:spacing w:val="4"/>
        </w:rPr>
        <w:t> 歲女性及</w:t>
      </w:r>
      <w:r>
        <w:rPr/>
        <w:t>72</w:t>
      </w:r>
      <w:r>
        <w:rPr>
          <w:spacing w:val="-10"/>
        </w:rPr>
        <w:t> 歲男性)，雖然沒有出現典型的心電圖變化或心肌酵素</w:t>
      </w:r>
      <w:r>
        <w:rPr/>
        <w:t>CK/CK- MB/Trponin</w:t>
      </w:r>
      <w:r>
        <w:rPr>
          <w:spacing w:val="-8"/>
        </w:rPr>
        <w:t> </w:t>
      </w:r>
      <w:r>
        <w:rPr/>
        <w:t>I</w:t>
      </w:r>
      <w:r>
        <w:rPr>
          <w:spacing w:val="-3"/>
        </w:rPr>
        <w:t> 僅輕微上升，但因臨床懷疑心肌梗塞，施行心導管檢查並確認排除</w:t>
      </w:r>
      <w:r>
        <w:rPr/>
        <w:t>血管堵塞情況，且症狀迅速消失。另有 52</w:t>
      </w:r>
      <w:r>
        <w:rPr>
          <w:spacing w:val="2"/>
        </w:rPr>
        <w:t> 歲與 </w:t>
      </w:r>
      <w:r>
        <w:rPr/>
        <w:t>90</w:t>
      </w:r>
      <w:r>
        <w:rPr>
          <w:spacing w:val="1"/>
        </w:rPr>
        <w:t> 歲兩位男性，因嚴重不良事件</w:t>
      </w:r>
      <w:r>
        <w:rPr>
          <w:spacing w:val="-3"/>
        </w:rPr>
        <w:t>而被臨床懷疑肺栓塞，並以電腦斷層掃描診斷，也都復原迅速，但與 </w:t>
      </w:r>
      <w:r>
        <w:rPr/>
        <w:t>3HP</w:t>
      </w:r>
      <w:r>
        <w:rPr>
          <w:spacing w:val="2"/>
        </w:rPr>
        <w:t> 處方之</w:t>
      </w:r>
      <w:r>
        <w:rPr>
          <w:spacing w:val="4"/>
        </w:rPr>
        <w:t>因果關係不明。長期觀察有過敏反應的病人於停藥後，並未留下長期後遺症亦無</w:t>
      </w:r>
      <w:r>
        <w:rPr>
          <w:spacing w:val="-4"/>
        </w:rPr>
        <w:t>死亡情形，與國外文獻如美國 </w:t>
      </w:r>
      <w:r>
        <w:rPr/>
        <w:t>CDC</w:t>
      </w:r>
      <w:r>
        <w:rPr>
          <w:spacing w:val="-2"/>
        </w:rPr>
        <w:t> 上市後追蹤及紐約市的公衛田野觀察相仿。在</w:t>
      </w:r>
      <w:r>
        <w:rPr>
          <w:spacing w:val="3"/>
        </w:rPr>
        <w:t>過敏反應後，少數病人仍願意將處方轉換成 </w:t>
      </w:r>
      <w:r>
        <w:rPr/>
        <w:t>9H</w:t>
      </w:r>
      <w:r>
        <w:rPr>
          <w:spacing w:val="18"/>
        </w:rPr>
        <w:t> 以 </w:t>
      </w:r>
      <w:r>
        <w:rPr/>
        <w:t>INH</w:t>
      </w:r>
      <w:r>
        <w:rPr>
          <w:spacing w:val="36"/>
        </w:rPr>
        <w:t> </w:t>
      </w:r>
      <w:r>
        <w:rPr/>
        <w:t>300mg</w:t>
      </w:r>
      <w:r>
        <w:rPr>
          <w:spacing w:val="4"/>
        </w:rPr>
        <w:t> 治療，少於一半的病人可以耐受；也就是說，至少將近 </w:t>
      </w:r>
      <w:r>
        <w:rPr/>
        <w:t>6</w:t>
      </w:r>
      <w:r>
        <w:rPr>
          <w:spacing w:val="11"/>
        </w:rPr>
        <w:t> 成的過敏，一服用 </w:t>
      </w:r>
      <w:r>
        <w:rPr/>
        <w:t>INH</w:t>
      </w:r>
      <w:r>
        <w:rPr>
          <w:spacing w:val="9"/>
        </w:rPr>
        <w:t> 就觀察到類似</w:t>
      </w:r>
      <w:r>
        <w:rPr/>
        <w:t>3HP</w:t>
      </w:r>
      <w:r>
        <w:rPr>
          <w:spacing w:val="2"/>
        </w:rPr>
        <w:t> 服用後的全身性反應，此過敏可能跟 </w:t>
      </w:r>
      <w:r>
        <w:rPr/>
        <w:t>isoniazid</w:t>
      </w:r>
      <w:r>
        <w:rPr>
          <w:spacing w:val="3"/>
        </w:rPr>
        <w:t> 有關，而非僅與 </w:t>
      </w:r>
      <w:r>
        <w:rPr/>
        <w:t>rifapentine </w:t>
      </w:r>
      <w:r>
        <w:rPr>
          <w:spacing w:val="-12"/>
        </w:rPr>
        <w:t>相關而已。</w:t>
      </w:r>
      <w:r>
        <w:rPr>
          <w:color w:val="C00000"/>
          <w:spacing w:val="2"/>
        </w:rPr>
        <w:t>這也可以解釋為何在台灣進行 </w:t>
      </w:r>
      <w:r>
        <w:rPr>
          <w:color w:val="C00000"/>
        </w:rPr>
        <w:t>1HP</w:t>
      </w:r>
      <w:r>
        <w:rPr>
          <w:color w:val="C00000"/>
          <w:spacing w:val="-5"/>
        </w:rPr>
        <w:t> 的臨床試驗時，由於每日的 </w:t>
      </w:r>
      <w:r>
        <w:rPr>
          <w:color w:val="C00000"/>
        </w:rPr>
        <w:t>INH</w:t>
      </w:r>
      <w:r>
        <w:rPr>
          <w:color w:val="C00000"/>
          <w:spacing w:val="2"/>
        </w:rPr>
        <w:t> 劑</w:t>
      </w:r>
      <w:r>
        <w:rPr>
          <w:color w:val="C00000"/>
          <w:spacing w:val="5"/>
        </w:rPr>
        <w:t>量 </w:t>
      </w:r>
      <w:r>
        <w:rPr>
          <w:color w:val="C00000"/>
        </w:rPr>
        <w:t>300mg</w:t>
      </w:r>
      <w:r>
        <w:rPr>
          <w:color w:val="C00000"/>
          <w:spacing w:val="3"/>
        </w:rPr>
        <w:t> 僅每週 </w:t>
      </w:r>
      <w:r>
        <w:rPr>
          <w:color w:val="C00000"/>
        </w:rPr>
        <w:t>3HP</w:t>
      </w:r>
      <w:r>
        <w:rPr>
          <w:color w:val="C00000"/>
          <w:spacing w:val="3"/>
        </w:rPr>
        <w:t> 時的 </w:t>
      </w:r>
      <w:r>
        <w:rPr>
          <w:color w:val="C00000"/>
        </w:rPr>
        <w:t>INH</w:t>
      </w:r>
      <w:r>
        <w:rPr>
          <w:color w:val="C00000"/>
          <w:spacing w:val="38"/>
        </w:rPr>
        <w:t> </w:t>
      </w:r>
      <w:r>
        <w:rPr>
          <w:color w:val="C00000"/>
        </w:rPr>
        <w:t>900mg</w:t>
      </w:r>
      <w:r>
        <w:rPr>
          <w:color w:val="C00000"/>
          <w:spacing w:val="4"/>
        </w:rPr>
        <w:t> 的 </w:t>
      </w:r>
      <w:r>
        <w:rPr>
          <w:color w:val="C00000"/>
        </w:rPr>
        <w:t>1/3</w:t>
      </w:r>
      <w:r>
        <w:rPr>
          <w:color w:val="C00000"/>
          <w:spacing w:val="1"/>
        </w:rPr>
        <w:t> 劑量，觀察服用 </w:t>
      </w:r>
      <w:r>
        <w:rPr>
          <w:color w:val="C00000"/>
        </w:rPr>
        <w:t>1HP 約有 3.4%</w:t>
      </w:r>
    </w:p>
    <w:p>
      <w:pPr>
        <w:spacing w:after="0" w:line="228" w:lineRule="auto"/>
        <w:jc w:val="both"/>
        <w:sectPr>
          <w:pgSz w:w="12250" w:h="17190"/>
          <w:pgMar w:header="0" w:footer="748" w:top="1480" w:bottom="1020" w:left="840" w:right="0"/>
        </w:sectPr>
      </w:pPr>
    </w:p>
    <w:p>
      <w:pPr>
        <w:pStyle w:val="BodyText"/>
        <w:spacing w:line="228" w:lineRule="auto" w:before="46"/>
        <w:ind w:left="1455" w:right="1357"/>
        <w:jc w:val="both"/>
      </w:pPr>
      <w:r>
        <w:rPr/>
        <w:pict>
          <v:group style="position:absolute;margin-left:573pt;margin-top:.482769pt;width:39.4pt;height:189.75pt;mso-position-horizontal-relative:page;mso-position-vertical-relative:paragraph;z-index:251855872" coordorigin="11460,10" coordsize="788,3795">
            <v:shape style="position:absolute;left:11460;top:9;width:788;height:3795" coordorigin="11460,10" coordsize="788,3795" path="m12247,10l11625,10,11561,23,11508,58,11473,111,11460,175,11460,3639,11473,3704,11508,3756,11561,3792,11625,3805,12247,3805,12247,10xe" filled="true" fillcolor="#a6a6a6" stroked="false">
              <v:path arrowok="t"/>
              <v:fill type="solid"/>
            </v:shape>
            <v:shape style="position:absolute;left:11460;top:9;width:788;height:3795" type="#_x0000_t202" filled="false" stroked="false">
              <v:textbox inset="0,0,0,0">
                <w:txbxContent>
                  <w:p>
                    <w:pPr>
                      <w:spacing w:line="146" w:lineRule="auto" w:before="126"/>
                      <w:ind w:left="136" w:right="428" w:firstLine="0"/>
                      <w:jc w:val="both"/>
                      <w:rPr>
                        <w:sz w:val="22"/>
                      </w:rPr>
                    </w:pPr>
                    <w:r>
                      <w:rPr>
                        <w:sz w:val="22"/>
                      </w:rPr>
                      <w:t>第十章</w:t>
                    </w:r>
                  </w:p>
                  <w:p>
                    <w:pPr>
                      <w:spacing w:line="141" w:lineRule="auto" w:before="235"/>
                      <w:ind w:left="136" w:right="428" w:firstLine="0"/>
                      <w:jc w:val="both"/>
                      <w:rPr>
                        <w:sz w:val="22"/>
                      </w:rPr>
                    </w:pPr>
                    <w:r>
                      <w:rPr>
                        <w:sz w:val="22"/>
                      </w:rPr>
                      <w:t>潛伏結核感染診斷與治療</w:t>
                    </w:r>
                  </w:p>
                </w:txbxContent>
              </v:textbox>
              <w10:wrap type="none"/>
            </v:shape>
            <w10:wrap type="none"/>
          </v:group>
        </w:pict>
      </w:r>
      <w:r>
        <w:rPr>
          <w:color w:val="C00000"/>
          <w:spacing w:val="-2"/>
        </w:rPr>
        <w:t>的病人抱怨有任何一種類流感症狀，皮疹約有 </w:t>
      </w:r>
      <w:r>
        <w:rPr>
          <w:color w:val="C00000"/>
          <w:spacing w:val="-3"/>
        </w:rPr>
        <w:t>6.3</w:t>
      </w:r>
      <w:r>
        <w:rPr>
          <w:color w:val="C00000"/>
          <w:spacing w:val="-1"/>
        </w:rPr>
        <w:t>%，與 </w:t>
      </w:r>
      <w:r>
        <w:rPr>
          <w:color w:val="C00000"/>
        </w:rPr>
        <w:t>3HP</w:t>
      </w:r>
      <w:r>
        <w:rPr>
          <w:color w:val="C00000"/>
          <w:spacing w:val="-2"/>
        </w:rPr>
        <w:t> 有顯著的不同；</w:t>
      </w:r>
      <w:r>
        <w:rPr>
          <w:color w:val="C00000"/>
          <w:spacing w:val="-4"/>
        </w:rPr>
        <w:t>1HP </w:t>
      </w:r>
      <w:r>
        <w:rPr>
          <w:color w:val="C00000"/>
          <w:spacing w:val="7"/>
        </w:rPr>
        <w:t>處方組血中 </w:t>
      </w:r>
      <w:r>
        <w:rPr>
          <w:color w:val="C00000"/>
        </w:rPr>
        <w:t>RPT</w:t>
      </w:r>
      <w:r>
        <w:rPr>
          <w:color w:val="C00000"/>
          <w:spacing w:val="8"/>
        </w:rPr>
        <w:t> 濃度明顯高於 </w:t>
      </w:r>
      <w:r>
        <w:rPr>
          <w:color w:val="C00000"/>
        </w:rPr>
        <w:t>3HP</w:t>
      </w:r>
      <w:r>
        <w:rPr>
          <w:color w:val="C00000"/>
          <w:spacing w:val="3"/>
        </w:rPr>
        <w:t> 組，故推測產生的副作用大多以蕁麻疹、皮</w:t>
      </w:r>
      <w:r>
        <w:rPr>
          <w:color w:val="C00000"/>
          <w:spacing w:val="-3"/>
        </w:rPr>
        <w:t>疹為主，與 </w:t>
      </w:r>
      <w:r>
        <w:rPr>
          <w:color w:val="C00000"/>
        </w:rPr>
        <w:t>3HP</w:t>
      </w:r>
      <w:r>
        <w:rPr>
          <w:color w:val="C00000"/>
          <w:spacing w:val="2"/>
        </w:rPr>
        <w:t> 以類流感症狀為主的副作用有所差異</w:t>
      </w:r>
      <w:r>
        <w:rPr>
          <w:spacing w:val="-1"/>
        </w:rPr>
        <w:t>。故未來將依照病人體內藥</w:t>
      </w:r>
      <w:r>
        <w:rPr>
          <w:spacing w:val="5"/>
        </w:rPr>
        <w:t>物濃度或者代謝基因例如 </w:t>
      </w:r>
      <w:r>
        <w:rPr/>
        <w:t>NAT2 gene</w:t>
      </w:r>
      <w:r>
        <w:rPr>
          <w:spacing w:val="3"/>
        </w:rPr>
        <w:t> 等方向，繼續進行深入研究來探討造成過敏性反應的原因為何。</w:t>
      </w:r>
      <w:r>
        <w:rPr>
          <w:color w:val="C00000"/>
          <w:spacing w:val="3"/>
        </w:rPr>
        <w:t>此外，</w:t>
      </w:r>
      <w:r>
        <w:rPr>
          <w:spacing w:val="12"/>
        </w:rPr>
        <w:t>我國 </w:t>
      </w:r>
      <w:r>
        <w:rPr/>
        <w:t>2-17</w:t>
      </w:r>
      <w:r>
        <w:rPr>
          <w:spacing w:val="3"/>
        </w:rPr>
        <w:t> 歲兒童的安全性報告顯示，不論是 </w:t>
      </w:r>
      <w:r>
        <w:rPr/>
        <w:t>3HP </w:t>
      </w:r>
      <w:r>
        <w:rPr>
          <w:spacing w:val="15"/>
        </w:rPr>
        <w:t>或 </w:t>
      </w:r>
      <w:r>
        <w:rPr/>
        <w:t>9H</w:t>
      </w:r>
      <w:r>
        <w:rPr>
          <w:spacing w:val="2"/>
        </w:rPr>
        <w:t> 因副作用造成永久中斷的比例皆&lt;</w:t>
      </w:r>
      <w:r>
        <w:rPr/>
        <w:t>2</w:t>
      </w:r>
      <w:r>
        <w:rPr>
          <w:spacing w:val="1"/>
        </w:rPr>
        <w:t>%，該等處方在兒童相對安全，也容易</w:t>
      </w:r>
      <w:r>
        <w:rPr>
          <w:spacing w:val="3"/>
        </w:rPr>
        <w:t>接納。</w:t>
      </w:r>
    </w:p>
    <w:p>
      <w:pPr>
        <w:pStyle w:val="BodyText"/>
        <w:spacing w:line="228" w:lineRule="auto" w:before="5"/>
        <w:ind w:left="1455" w:right="1328" w:firstLine="483"/>
        <w:jc w:val="both"/>
      </w:pPr>
      <w:r>
        <w:rPr>
          <w:color w:val="C00000"/>
          <w:spacing w:val="2"/>
        </w:rPr>
        <w:t>近年美國 </w:t>
      </w:r>
      <w:r>
        <w:rPr>
          <w:color w:val="C00000"/>
        </w:rPr>
        <w:t>FDA</w:t>
      </w:r>
      <w:r>
        <w:rPr>
          <w:color w:val="C00000"/>
          <w:spacing w:val="2"/>
        </w:rPr>
        <w:t> 及歐盟 </w:t>
      </w:r>
      <w:r>
        <w:rPr>
          <w:color w:val="C00000"/>
        </w:rPr>
        <w:t>EMA 陸續發布有關 FQ</w:t>
      </w:r>
      <w:r>
        <w:rPr>
          <w:color w:val="C00000"/>
          <w:spacing w:val="-6"/>
        </w:rPr>
        <w:t> 藥品可能潛在有「肌腱炎、肌</w:t>
      </w:r>
      <w:r>
        <w:rPr>
          <w:color w:val="C00000"/>
          <w:spacing w:val="-11"/>
        </w:rPr>
        <w:t>腱斷裂等」、「中樞神經系統不良反應，包括精神相關不良反應、癲癇等」及「低血糖」等嚴重不良反應的風險，再加上國際和國內，MDR-TB</w:t>
      </w:r>
      <w:r>
        <w:rPr>
          <w:color w:val="C00000"/>
          <w:spacing w:val="2"/>
        </w:rPr>
        <w:t> 個案在治療多種藥</w:t>
      </w:r>
      <w:r>
        <w:rPr>
          <w:color w:val="C00000"/>
          <w:spacing w:val="3"/>
        </w:rPr>
        <w:t>物組合處方(含 </w:t>
      </w:r>
      <w:r>
        <w:rPr>
          <w:color w:val="C00000"/>
        </w:rPr>
        <w:t>FQ)</w:t>
      </w:r>
      <w:r>
        <w:rPr>
          <w:color w:val="C00000"/>
          <w:spacing w:val="-1"/>
        </w:rPr>
        <w:t>時，有心電圖 </w:t>
      </w:r>
      <w:r>
        <w:rPr>
          <w:color w:val="C00000"/>
        </w:rPr>
        <w:t>QTc</w:t>
      </w:r>
      <w:r>
        <w:rPr>
          <w:color w:val="C00000"/>
          <w:spacing w:val="-1"/>
        </w:rPr>
        <w:t> 延長的經驗。建議在臨床上除了提供基礎及</w:t>
      </w:r>
      <w:r>
        <w:rPr>
          <w:color w:val="C00000"/>
          <w:spacing w:val="-10"/>
        </w:rPr>
        <w:t>後續追蹤的血糖值，肝功能及心電圖，並衛教病人，服藥後若出現不適症狀</w:t>
      </w:r>
      <w:r>
        <w:rPr>
          <w:color w:val="C00000"/>
        </w:rPr>
        <w:t>（如胸悶或心臟亂跳等）</w:t>
      </w:r>
      <w:r>
        <w:rPr>
          <w:color w:val="C00000"/>
          <w:spacing w:val="-4"/>
        </w:rPr>
        <w:t> 或者骨骼肌肉問題 (肌腱、關節或肌肉疼痛等)，精神或行為改</w:t>
      </w:r>
      <w:r>
        <w:rPr>
          <w:color w:val="C00000"/>
          <w:spacing w:val="-10"/>
        </w:rPr>
        <w:t>變 (失眠、意識混亂、幻覺、記憶問題等)，請病人立即告知醫療人員來評估是否繼續服藥。下列的病人要特別注意服藥期間的不良反應監測，包括: 年紀大於 </w:t>
      </w:r>
      <w:r>
        <w:rPr>
          <w:color w:val="C00000"/>
        </w:rPr>
        <w:t>60</w:t>
      </w:r>
      <w:r>
        <w:rPr>
          <w:color w:val="C00000"/>
          <w:spacing w:val="-16"/>
        </w:rPr>
        <w:t> 歲、</w:t>
      </w:r>
      <w:r>
        <w:rPr>
          <w:color w:val="C00000"/>
          <w:spacing w:val="-10"/>
        </w:rPr>
        <w:t>腎臟功能不良、曾經接受器官移植或是同時使用類固醇藥品者，可能較容易在使用FQ</w:t>
      </w:r>
      <w:r>
        <w:rPr>
          <w:color w:val="C00000"/>
          <w:spacing w:val="-4"/>
        </w:rPr>
        <w:t> 後發生關節疼痛腫脹或肌腱傷害，另外，同時服用降血糖藥或施打胰島素的糖</w:t>
      </w:r>
      <w:r>
        <w:rPr>
          <w:color w:val="C00000"/>
          <w:spacing w:val="-12"/>
        </w:rPr>
        <w:t>尿病患者，除監控病人的血糖，確保病人了解低血糖可能的症狀及處置方式，及若出現上述情況，請告知醫療人員。</w:t>
      </w:r>
    </w:p>
    <w:p>
      <w:pPr>
        <w:pStyle w:val="BodyText"/>
        <w:spacing w:line="228" w:lineRule="auto" w:before="9"/>
        <w:ind w:left="1455" w:right="1357" w:firstLine="488"/>
        <w:jc w:val="both"/>
      </w:pPr>
      <w:r>
        <w:rPr>
          <w:color w:val="C00000"/>
        </w:rPr>
        <w:t>LTBI 感染者完成治療才能提供完整(約 9 成)的保護發病效果，因此對於曾接受過治療，但因故中斷治療者，建議臨床醫師及公衛護理師向 LTBI 個案衛教，如當初中斷治療原因消失或改善，再次評估排除活動性結核病後應接續(或重新，沒有硬性規定)給予一個完整的治療療程；另過去政策接觸者治療時，倘指標個案排除結核病診斷，該接觸者 LTBI 治療可能被中斷，考量該接觸者 LTBI 檢驗陽性代表曾經遭受結核菌感染，因此建議，只要排除發病、或未滿 5 歲兒童與指標個案終止有效暴露滿 8 週之 LTBI 檢驗結果為陰性需中斷治療外，請協助個案直至完成治療。</w:t>
      </w:r>
    </w:p>
    <w:p>
      <w:pPr>
        <w:pStyle w:val="Heading7"/>
        <w:numPr>
          <w:ilvl w:val="2"/>
          <w:numId w:val="122"/>
        </w:numPr>
        <w:tabs>
          <w:tab w:pos="1472" w:val="left" w:leader="none"/>
        </w:tabs>
        <w:spacing w:line="240" w:lineRule="auto" w:before="246" w:after="0"/>
        <w:ind w:left="1471" w:right="0" w:hanging="841"/>
        <w:jc w:val="both"/>
      </w:pPr>
      <w:bookmarkStart w:name="10.2.6 如何監測及處置不良反應" w:id="116"/>
      <w:bookmarkEnd w:id="116"/>
      <w:r>
        <w:rPr>
          <w:b w:val="0"/>
        </w:rPr>
      </w:r>
      <w:bookmarkStart w:name="10.2.6 如何監測及處置不良反應" w:id="117"/>
      <w:bookmarkEnd w:id="117"/>
      <w:r>
        <w:rPr/>
        <w:t>如何監測及處置不良反應</w:t>
      </w:r>
    </w:p>
    <w:p>
      <w:pPr>
        <w:pStyle w:val="BodyText"/>
        <w:spacing w:line="228" w:lineRule="auto" w:before="23"/>
        <w:ind w:left="1455" w:right="1361" w:firstLine="480"/>
        <w:jc w:val="both"/>
      </w:pPr>
      <w:r>
        <w:rPr>
          <w:spacing w:val="-5"/>
        </w:rPr>
        <w:t>個案治療期間需要每月回診，依臨床問診及身體健康檢查，來決定是否懷疑肝</w:t>
      </w:r>
      <w:r>
        <w:rPr>
          <w:spacing w:val="1"/>
        </w:rPr>
        <w:t>炎及是否需要進行肝指數的檢驗。依照 </w:t>
      </w:r>
      <w:r>
        <w:rPr/>
        <w:t>9H</w:t>
      </w:r>
      <w:r>
        <w:rPr>
          <w:spacing w:val="7"/>
        </w:rPr>
        <w:t> 所設計的 </w:t>
      </w:r>
      <w:r>
        <w:rPr/>
        <w:t>LTBI</w:t>
      </w:r>
      <w:r>
        <w:rPr>
          <w:spacing w:val="-2"/>
        </w:rPr>
        <w:t> 治療之肝功能監測流程</w:t>
      </w:r>
      <w:r>
        <w:rPr>
          <w:spacing w:val="-12"/>
        </w:rPr>
        <w:t>如下，若病人追蹤期間肝功能狀況達符合肝炎，則建議停藥。由於 </w:t>
      </w:r>
      <w:r>
        <w:rPr/>
        <w:t>3HP/3HR/4R</w:t>
      </w:r>
      <w:r>
        <w:rPr>
          <w:spacing w:val="-7"/>
        </w:rPr>
        <w:t> 在</w:t>
      </w:r>
      <w:r>
        <w:rPr>
          <w:spacing w:val="-1"/>
        </w:rPr>
        <w:t>治療 </w:t>
      </w:r>
      <w:r>
        <w:rPr/>
        <w:t>LTBI 時，肝炎的不良反應發生率更低，故此流程應已足夠。</w:t>
      </w:r>
    </w:p>
    <w:p>
      <w:pPr>
        <w:spacing w:after="0" w:line="228" w:lineRule="auto"/>
        <w:jc w:val="both"/>
        <w:sectPr>
          <w:pgSz w:w="12250" w:h="17190"/>
          <w:pgMar w:header="0" w:footer="748" w:top="1460" w:bottom="1020" w:left="840" w:right="0"/>
        </w:sectPr>
      </w:pPr>
    </w:p>
    <w:p>
      <w:pPr>
        <w:pStyle w:val="BodyText"/>
        <w:ind w:left="1178"/>
        <w:rPr>
          <w:sz w:val="20"/>
        </w:rPr>
      </w:pPr>
      <w:r>
        <w:rPr>
          <w:sz w:val="20"/>
        </w:rPr>
        <w:drawing>
          <wp:inline distT="0" distB="0" distL="0" distR="0">
            <wp:extent cx="5564888" cy="4640580"/>
            <wp:effectExtent l="0" t="0" r="0" b="0"/>
            <wp:docPr id="21" name="image9.png"/>
            <wp:cNvGraphicFramePr>
              <a:graphicFrameLocks noChangeAspect="1"/>
            </wp:cNvGraphicFramePr>
            <a:graphic>
              <a:graphicData uri="http://schemas.openxmlformats.org/drawingml/2006/picture">
                <pic:pic>
                  <pic:nvPicPr>
                    <pic:cNvPr id="22" name="image9.png"/>
                    <pic:cNvPicPr/>
                  </pic:nvPicPr>
                  <pic:blipFill>
                    <a:blip r:embed="rId63" cstate="print"/>
                    <a:stretch>
                      <a:fillRect/>
                    </a:stretch>
                  </pic:blipFill>
                  <pic:spPr>
                    <a:xfrm>
                      <a:off x="0" y="0"/>
                      <a:ext cx="5564888" cy="4640580"/>
                    </a:xfrm>
                    <a:prstGeom prst="rect">
                      <a:avLst/>
                    </a:prstGeom>
                  </pic:spPr>
                </pic:pic>
              </a:graphicData>
            </a:graphic>
          </wp:inline>
        </w:drawing>
      </w:r>
      <w:r>
        <w:rPr>
          <w:sz w:val="20"/>
        </w:rPr>
      </w:r>
    </w:p>
    <w:p>
      <w:pPr>
        <w:pStyle w:val="BodyText"/>
        <w:spacing w:before="6"/>
        <w:rPr>
          <w:sz w:val="4"/>
        </w:rPr>
      </w:pPr>
    </w:p>
    <w:p>
      <w:pPr>
        <w:pStyle w:val="BodyText"/>
        <w:spacing w:line="223" w:lineRule="auto" w:before="62"/>
        <w:ind w:left="1455" w:right="1356" w:firstLine="488"/>
        <w:jc w:val="both"/>
      </w:pPr>
      <w:r>
        <w:rPr>
          <w:spacing w:val="3"/>
        </w:rPr>
        <w:t>若 </w:t>
      </w:r>
      <w:r>
        <w:rPr>
          <w:color w:val="C00000"/>
        </w:rPr>
        <w:t>LTBI</w:t>
      </w:r>
      <w:r>
        <w:rPr>
          <w:color w:val="C00000"/>
          <w:spacing w:val="4"/>
        </w:rPr>
        <w:t> </w:t>
      </w:r>
      <w:r>
        <w:rPr>
          <w:spacing w:val="-2"/>
        </w:rPr>
        <w:t>治療過程發生定義肝炎的程度，建議先停藥衛教病人，了解病人是否</w:t>
      </w:r>
      <w:r>
        <w:rPr>
          <w:spacing w:val="-4"/>
        </w:rPr>
        <w:t>有其他肝炎的風險並予以治療(例如慢性病毒性肝炎)，給予支持療法，通常 </w:t>
      </w:r>
      <w:r>
        <w:rPr/>
        <w:t>2</w:t>
      </w:r>
      <w:r>
        <w:rPr>
          <w:spacing w:val="3"/>
        </w:rPr>
        <w:t> 週後</w:t>
      </w:r>
    </w:p>
    <w:p>
      <w:pPr>
        <w:pStyle w:val="BodyText"/>
        <w:spacing w:line="403" w:lineRule="exact"/>
        <w:ind w:left="1455"/>
        <w:jc w:val="both"/>
      </w:pPr>
      <w:r>
        <w:rPr>
          <w:spacing w:val="4"/>
        </w:rPr>
        <w:t>肝指數會下降 </w:t>
      </w:r>
      <w:r>
        <w:rPr/>
        <w:t>1/2</w:t>
      </w:r>
      <w:r>
        <w:rPr>
          <w:spacing w:val="1"/>
        </w:rPr>
        <w:t>，若臨床上沒有不舒服或危險因子，可以 </w:t>
      </w:r>
      <w:r>
        <w:rPr/>
        <w:t>2</w:t>
      </w:r>
      <w:r>
        <w:rPr>
          <w:spacing w:val="7"/>
        </w:rPr>
        <w:t> 週甚至 </w:t>
      </w:r>
      <w:r>
        <w:rPr/>
        <w:t>1</w:t>
      </w:r>
      <w:r>
        <w:rPr>
          <w:spacing w:val="4"/>
        </w:rPr>
        <w:t> 個月後再</w:t>
      </w:r>
    </w:p>
    <w:p>
      <w:pPr>
        <w:pStyle w:val="BodyText"/>
        <w:spacing w:line="223" w:lineRule="auto" w:before="6"/>
        <w:ind w:left="1455" w:right="1357"/>
        <w:jc w:val="both"/>
      </w:pPr>
      <w:r>
        <w:rPr>
          <w:spacing w:val="3"/>
        </w:rPr>
        <w:t>追蹤，直到回到正常值上限的 </w:t>
      </w:r>
      <w:r>
        <w:rPr/>
        <w:t>2</w:t>
      </w:r>
      <w:r>
        <w:rPr>
          <w:spacing w:val="3"/>
        </w:rPr>
        <w:t> 倍之內即可。全身性不適等藥物相關的過敏反應</w:t>
      </w:r>
      <w:r>
        <w:rPr>
          <w:spacing w:val="2"/>
        </w:rPr>
        <w:t>仍然是需要重視的，若符合過敏定義，「不」建議進行同樣處方的 </w:t>
      </w:r>
      <w:r>
        <w:rPr/>
        <w:t>re-challenge </w:t>
      </w:r>
      <w:r>
        <w:rPr>
          <w:spacing w:val="-5"/>
        </w:rPr>
        <w:t>(可以嘗試轉換其他處方)。其餘非過敏反應的不良反應，則視臨床需要給予支持療</w:t>
      </w:r>
      <w:r>
        <w:rPr>
          <w:spacing w:val="3"/>
        </w:rPr>
        <w:t>法，停藥與否視個別病人是否能接受及臨床嚴重度而決定。</w:t>
      </w:r>
    </w:p>
    <w:p>
      <w:pPr>
        <w:pStyle w:val="BodyText"/>
        <w:spacing w:line="223" w:lineRule="auto"/>
        <w:ind w:left="1455" w:right="1301" w:firstLine="488"/>
        <w:jc w:val="both"/>
      </w:pPr>
      <w:r>
        <w:rPr>
          <w:spacing w:val="6"/>
        </w:rPr>
        <w:t>由於 </w:t>
      </w:r>
      <w:r>
        <w:rPr/>
        <w:t>3HP/3HR</w:t>
      </w:r>
      <w:r>
        <w:rPr>
          <w:color w:val="C00000"/>
        </w:rPr>
        <w:t>/1HP </w:t>
      </w:r>
      <w:r>
        <w:rPr>
          <w:spacing w:val="6"/>
        </w:rPr>
        <w:t>是由 </w:t>
      </w:r>
      <w:r>
        <w:rPr/>
        <w:t>INH</w:t>
      </w:r>
      <w:r>
        <w:rPr>
          <w:spacing w:val="9"/>
        </w:rPr>
        <w:t> 與 </w:t>
      </w:r>
      <w:r>
        <w:rPr/>
        <w:t>RPT/RMP</w:t>
      </w:r>
      <w:r>
        <w:rPr>
          <w:spacing w:val="6"/>
        </w:rPr>
        <w:t> 組成，與 </w:t>
      </w:r>
      <w:r>
        <w:rPr/>
        <w:t>4R</w:t>
      </w:r>
      <w:r>
        <w:rPr>
          <w:spacing w:val="8"/>
        </w:rPr>
        <w:t> 含有 </w:t>
      </w:r>
      <w:r>
        <w:rPr/>
        <w:t>RMP</w:t>
      </w:r>
      <w:r>
        <w:rPr>
          <w:spacing w:val="4"/>
        </w:rPr>
        <w:t> 一樣， 極少數可能有骨髓抑制的情況，故當病人有肝病或其他醫療考慮如貧血或血小板</w:t>
      </w:r>
      <w:r>
        <w:rPr>
          <w:spacing w:val="-6"/>
        </w:rPr>
        <w:t>相關問題，建議在用藥前檢驗 </w:t>
      </w:r>
      <w:r>
        <w:rPr/>
        <w:t>CBC/DC</w:t>
      </w:r>
      <w:r>
        <w:rPr>
          <w:spacing w:val="-8"/>
        </w:rPr>
        <w:t> 基礎值，再決定治療中的追蹤方式及頻率。</w:t>
      </w:r>
      <w:r>
        <w:rPr>
          <w:spacing w:val="2"/>
        </w:rPr>
        <w:t>使用 </w:t>
      </w:r>
      <w:r>
        <w:rPr/>
        <w:t>3HP</w:t>
      </w:r>
      <w:r>
        <w:rPr>
          <w:spacing w:val="-4"/>
        </w:rPr>
        <w:t> 最常遇到的不良反應是非肝炎之其他不良反應，例如：疲倦、噁心、頭</w:t>
      </w:r>
      <w:r>
        <w:rPr>
          <w:spacing w:val="2"/>
        </w:rPr>
        <w:t>痛、無力等，故用藥前適當的說明(可利用 </w:t>
      </w:r>
      <w:r>
        <w:rPr/>
        <w:t>3HP</w:t>
      </w:r>
      <w:r>
        <w:rPr>
          <w:spacing w:val="2"/>
        </w:rPr>
        <w:t> 處方治療用藥須知)，搭配都治關</w:t>
      </w:r>
      <w:r>
        <w:rPr>
          <w:spacing w:val="4"/>
        </w:rPr>
        <w:t>懷，協助支持個案，是相當重要的。如果發生過敏反應，則建議停藥並視臨床需</w:t>
      </w:r>
      <w:r>
        <w:rPr>
          <w:spacing w:val="-2"/>
        </w:rPr>
        <w:t>要給予支持療法。若遇到發燒等類流感症狀，最可能的還是 </w:t>
      </w:r>
      <w:r>
        <w:rPr/>
        <w:t>3HP 的不良反應，經</w:t>
      </w:r>
      <w:r>
        <w:rPr>
          <w:spacing w:val="4"/>
        </w:rPr>
        <w:t>驗上可先確認病人是否在服藥後幾小時發生，一天內即緩解，那表示藥物相關的</w:t>
      </w:r>
      <w:r>
        <w:rPr>
          <w:spacing w:val="-8"/>
        </w:rPr>
        <w:t>機會最大。預先讓病人知道可能的類流感症狀，開立解熱鎮痛劑(例如普拿疼)，讓</w:t>
      </w:r>
      <w:r>
        <w:rPr>
          <w:spacing w:val="4"/>
        </w:rPr>
        <w:t>病人碰到發燒先觀察反應，而不是跑急診。部分病人噁心嘔吐厲害，服藥前可使</w:t>
      </w:r>
    </w:p>
    <w:p>
      <w:pPr>
        <w:spacing w:after="0" w:line="223" w:lineRule="auto"/>
        <w:jc w:val="both"/>
        <w:sectPr>
          <w:pgSz w:w="12250" w:h="17190"/>
          <w:pgMar w:header="0" w:footer="748" w:top="1480" w:bottom="1020" w:left="840" w:right="0"/>
        </w:sectPr>
      </w:pPr>
    </w:p>
    <w:p>
      <w:pPr>
        <w:pStyle w:val="BodyText"/>
        <w:spacing w:line="223" w:lineRule="auto" w:before="45"/>
        <w:ind w:left="1455" w:right="1356"/>
        <w:jc w:val="both"/>
      </w:pPr>
      <w:r>
        <w:rPr/>
        <w:pict>
          <v:group style="position:absolute;margin-left:573pt;margin-top:.473596pt;width:39.4pt;height:189.75pt;mso-position-horizontal-relative:page;mso-position-vertical-relative:paragraph;z-index:251857920" coordorigin="11460,9" coordsize="788,3795">
            <v:shape style="position:absolute;left:11460;top:9;width:788;height:3795" coordorigin="11460,9" coordsize="788,3795" path="m12247,9l11625,9,11561,22,11508,58,11473,110,11460,175,11460,3639,11473,3703,11508,3756,11561,3791,11625,3804,12247,3804,12247,9xe" filled="true" fillcolor="#a6a6a6" stroked="false">
              <v:path arrowok="t"/>
              <v:fill type="solid"/>
            </v:shape>
            <v:shape style="position:absolute;left:11460;top:9;width:788;height:3795" type="#_x0000_t202" filled="false" stroked="false">
              <v:textbox inset="0,0,0,0">
                <w:txbxContent>
                  <w:p>
                    <w:pPr>
                      <w:spacing w:line="146" w:lineRule="auto" w:before="126"/>
                      <w:ind w:left="136" w:right="428" w:firstLine="0"/>
                      <w:jc w:val="both"/>
                      <w:rPr>
                        <w:sz w:val="22"/>
                      </w:rPr>
                    </w:pPr>
                    <w:r>
                      <w:rPr>
                        <w:sz w:val="22"/>
                      </w:rPr>
                      <w:t>第十章</w:t>
                    </w:r>
                  </w:p>
                  <w:p>
                    <w:pPr>
                      <w:spacing w:line="141" w:lineRule="auto" w:before="235"/>
                      <w:ind w:left="136" w:right="428" w:firstLine="0"/>
                      <w:jc w:val="both"/>
                      <w:rPr>
                        <w:sz w:val="22"/>
                      </w:rPr>
                    </w:pPr>
                    <w:r>
                      <w:rPr>
                        <w:sz w:val="22"/>
                      </w:rPr>
                      <w:t>潛伏結核感染診斷與治療</w:t>
                    </w:r>
                  </w:p>
                </w:txbxContent>
              </v:textbox>
              <w10:wrap type="none"/>
            </v:shape>
            <w10:wrap type="none"/>
          </v:group>
        </w:pict>
      </w:r>
      <w:r>
        <w:rPr>
          <w:spacing w:val="-4"/>
        </w:rPr>
        <w:t>用止吐劑，來緩解服藥當下的不適。更多有關 </w:t>
      </w:r>
      <w:r>
        <w:rPr/>
        <w:t>3HP</w:t>
      </w:r>
      <w:r>
        <w:rPr>
          <w:spacing w:val="2"/>
        </w:rPr>
        <w:t> 的臨床處置細節以及可能和病</w:t>
      </w:r>
      <w:r>
        <w:rPr>
          <w:spacing w:val="-5"/>
        </w:rPr>
        <w:t>人其他慢性疾病用藥產生藥物交互作用，請參考[速克伏處方使用臨床建議]，</w:t>
      </w:r>
      <w:r>
        <w:rPr>
          <w:spacing w:val="-13"/>
        </w:rPr>
        <w:t>[3HP </w:t>
      </w:r>
      <w:r>
        <w:rPr>
          <w:spacing w:val="6"/>
        </w:rPr>
        <w:t>處方治療用藥須知]單張 (傳染病與防疫專題/</w:t>
      </w:r>
      <w:r>
        <w:rPr>
          <w:spacing w:val="9"/>
        </w:rPr>
        <w:t>傳染病介紹</w:t>
      </w:r>
      <w:r>
        <w:rPr>
          <w:spacing w:val="6"/>
        </w:rPr>
        <w:t>/</w:t>
      </w:r>
      <w:r>
        <w:rPr>
          <w:spacing w:val="8"/>
        </w:rPr>
        <w:t>第三類法定傳染病</w:t>
      </w:r>
      <w:r>
        <w:rPr>
          <w:spacing w:val="6"/>
        </w:rPr>
        <w:t>/</w:t>
      </w:r>
      <w:r>
        <w:rPr/>
        <w:t>結</w:t>
      </w:r>
      <w:r>
        <w:rPr>
          <w:spacing w:val="4"/>
        </w:rPr>
        <w:t>核病</w:t>
      </w:r>
      <w:r>
        <w:rPr/>
        <w:t>/</w:t>
      </w:r>
      <w:r>
        <w:rPr>
          <w:spacing w:val="3"/>
        </w:rPr>
        <w:t>治療照護</w:t>
      </w:r>
      <w:r>
        <w:rPr/>
        <w:t>/</w:t>
      </w:r>
      <w:r>
        <w:rPr>
          <w:spacing w:val="1"/>
        </w:rPr>
        <w:t>潛伏結核感染專區)。</w:t>
      </w:r>
    </w:p>
    <w:p>
      <w:pPr>
        <w:pStyle w:val="BodyText"/>
        <w:spacing w:before="16"/>
        <w:rPr>
          <w:sz w:val="22"/>
        </w:rPr>
      </w:pPr>
    </w:p>
    <w:p>
      <w:pPr>
        <w:pStyle w:val="Heading6"/>
        <w:numPr>
          <w:ilvl w:val="1"/>
          <w:numId w:val="122"/>
        </w:numPr>
        <w:tabs>
          <w:tab w:pos="1169" w:val="left" w:leader="none"/>
        </w:tabs>
        <w:spacing w:line="240" w:lineRule="auto" w:before="1" w:after="0"/>
        <w:ind w:left="1168" w:right="0" w:hanging="649"/>
        <w:jc w:val="both"/>
      </w:pPr>
      <w:r>
        <w:rPr>
          <w:spacing w:val="3"/>
        </w:rPr>
        <w:t>執行上要注意的事項</w:t>
      </w:r>
    </w:p>
    <w:p>
      <w:pPr>
        <w:pStyle w:val="Heading7"/>
        <w:numPr>
          <w:ilvl w:val="2"/>
          <w:numId w:val="122"/>
        </w:numPr>
        <w:tabs>
          <w:tab w:pos="1472" w:val="left" w:leader="none"/>
        </w:tabs>
        <w:spacing w:line="240" w:lineRule="auto" w:before="42" w:after="0"/>
        <w:ind w:left="1471" w:right="0" w:hanging="841"/>
        <w:jc w:val="both"/>
      </w:pPr>
      <w:bookmarkStart w:name="10.3.1 衛教接觸者檢查之目的和保護隱私的重要性" w:id="118"/>
      <w:bookmarkEnd w:id="118"/>
      <w:r>
        <w:rPr>
          <w:b w:val="0"/>
        </w:rPr>
      </w:r>
      <w:bookmarkStart w:name="10.3.1 衛教接觸者檢查之目的和保護隱私的重要性" w:id="119"/>
      <w:bookmarkEnd w:id="119"/>
      <w:r>
        <w:rPr/>
        <w:t>衛教接觸者檢查之目的和保護隱私的重要性</w:t>
      </w:r>
    </w:p>
    <w:p>
      <w:pPr>
        <w:pStyle w:val="BodyText"/>
        <w:spacing w:line="223" w:lineRule="auto" w:before="25"/>
        <w:ind w:left="1455" w:right="1361" w:firstLine="480"/>
        <w:jc w:val="both"/>
      </w:pPr>
      <w:r>
        <w:rPr>
          <w:spacing w:val="-7"/>
        </w:rPr>
        <w:t>醫師進行接觸者檢查，第一要務是排除活動性結核病的可能，第二是衛教。一般病人在適當的衛教後，能了解結核病傳播的方式、目前自己有可能被感染、以及</w:t>
      </w:r>
      <w:r>
        <w:rPr>
          <w:spacing w:val="-10"/>
        </w:rPr>
        <w:t>萬一發病，應該向誰求助確定診斷及獲得完善的治療。在進行接觸者追蹤，保護指</w:t>
      </w:r>
      <w:r>
        <w:rPr>
          <w:spacing w:val="-6"/>
        </w:rPr>
        <w:t>標個案的隱私相當重要，唯有在指標個案的信賴且不受傷害的基礎上，才有可能取</w:t>
      </w:r>
      <w:r>
        <w:rPr>
          <w:spacing w:val="-5"/>
        </w:rPr>
        <w:t>得實際有感染風險的接觸者名單，並成功轉介以進行追蹤。故由衛生單位轉介的接</w:t>
      </w:r>
      <w:r>
        <w:rPr>
          <w:spacing w:val="-10"/>
        </w:rPr>
        <w:t>觸者個案，會保護指標個案的隱私，不揭露指標個案的身分。衛生單位僅提供指標</w:t>
      </w:r>
      <w:r>
        <w:rPr/>
        <w:t>個案傳染的嚴重性(痰液傳染性、藥敏及胸部 X</w:t>
      </w:r>
      <w:r>
        <w:rPr>
          <w:spacing w:val="-1"/>
        </w:rPr>
        <w:t> 光的資料)，以及是否開始藥物治療</w:t>
      </w:r>
      <w:r>
        <w:rPr>
          <w:spacing w:val="-10"/>
        </w:rPr>
        <w:t>等訊息。醫師亦應小心保護指標病人隱私。有時個案已經確認指標就是家人，但還</w:t>
      </w:r>
      <w:r>
        <w:rPr>
          <w:spacing w:val="-8"/>
        </w:rPr>
        <w:t>是會有隱私考慮，比如說老人家和年輕人之間互不諒解，或者公婆，親家和媳婦女</w:t>
      </w:r>
      <w:r>
        <w:rPr>
          <w:spacing w:val="-1"/>
        </w:rPr>
        <w:t>婿，妯娌連襟等。特殊狀況下(群聚或者特殊抗藥性個案)，衛生單位可能會另外與</w:t>
      </w:r>
      <w:r>
        <w:rPr/>
        <w:t>診治醫師聯繫。</w:t>
      </w:r>
    </w:p>
    <w:p>
      <w:pPr>
        <w:pStyle w:val="Heading7"/>
        <w:spacing w:before="49"/>
        <w:ind w:left="631"/>
      </w:pPr>
      <w:bookmarkStart w:name="10.3.2 衛教的重點 (附件10-3及10-4)" w:id="120"/>
      <w:bookmarkEnd w:id="120"/>
      <w:r>
        <w:rPr>
          <w:b w:val="0"/>
        </w:rPr>
      </w:r>
      <w:r>
        <w:rPr/>
        <w:t>10.3.2 衛教的重點  (附件 10-3 及 10-4)</w:t>
      </w:r>
    </w:p>
    <w:p>
      <w:pPr>
        <w:pStyle w:val="ListParagraph"/>
        <w:numPr>
          <w:ilvl w:val="3"/>
          <w:numId w:val="122"/>
        </w:numPr>
        <w:tabs>
          <w:tab w:pos="1486" w:val="left" w:leader="none"/>
        </w:tabs>
        <w:spacing w:line="228" w:lineRule="auto" w:before="26" w:after="0"/>
        <w:ind w:left="1485" w:right="1358" w:hanging="305"/>
        <w:jc w:val="both"/>
        <w:rPr>
          <w:sz w:val="24"/>
        </w:rPr>
      </w:pPr>
      <w:r>
        <w:rPr>
          <w:spacing w:val="4"/>
          <w:sz w:val="24"/>
        </w:rPr>
        <w:t>每個結核病人都是被他人傳染而得病的(所以他們也是受害者)，指標個案只要經</w:t>
      </w:r>
      <w:r>
        <w:rPr>
          <w:spacing w:val="3"/>
          <w:sz w:val="24"/>
        </w:rPr>
        <w:t>過正確的治療，傳染性大幅下降，適當的保護措施，確實可以避免傳染他人；若為家庭內或長時間密切接觸的狀況下，大部分的傳染都發生在診斷治療之前。已經開始治療的指標個案，請給予同理心和心理支持，減少病人內疚感，協助完成治療。</w:t>
      </w:r>
    </w:p>
    <w:p>
      <w:pPr>
        <w:pStyle w:val="ListParagraph"/>
        <w:numPr>
          <w:ilvl w:val="3"/>
          <w:numId w:val="122"/>
        </w:numPr>
        <w:tabs>
          <w:tab w:pos="1486" w:val="left" w:leader="none"/>
        </w:tabs>
        <w:spacing w:line="228" w:lineRule="auto" w:before="3" w:after="0"/>
        <w:ind w:left="1485" w:right="1358" w:hanging="305"/>
        <w:jc w:val="both"/>
        <w:rPr>
          <w:sz w:val="24"/>
        </w:rPr>
      </w:pPr>
      <w:r>
        <w:rPr>
          <w:spacing w:val="3"/>
          <w:sz w:val="24"/>
        </w:rPr>
        <w:t>告訴接觸者結核病發病的一般症狀，尤其發病可能是在肺內也可能是肺外，往往是在免疫力下降的時候發病，所以好好控制慢性病，有健康的生活方式，也是減</w:t>
      </w:r>
      <w:r>
        <w:rPr>
          <w:spacing w:val="2"/>
          <w:sz w:val="24"/>
        </w:rPr>
        <w:t>少發病機會的好方法。</w:t>
      </w:r>
    </w:p>
    <w:p>
      <w:pPr>
        <w:pStyle w:val="ListParagraph"/>
        <w:numPr>
          <w:ilvl w:val="3"/>
          <w:numId w:val="122"/>
        </w:numPr>
        <w:tabs>
          <w:tab w:pos="1486" w:val="left" w:leader="none"/>
        </w:tabs>
        <w:spacing w:line="228" w:lineRule="auto" w:before="3" w:after="0"/>
        <w:ind w:left="1485" w:right="1357" w:hanging="305"/>
        <w:jc w:val="both"/>
        <w:rPr>
          <w:sz w:val="24"/>
        </w:rPr>
      </w:pPr>
      <w:r>
        <w:rPr>
          <w:sz w:val="24"/>
        </w:rPr>
        <w:t>接觸者都擔心將來發病的機會，因為沒有進行 LTBI</w:t>
      </w:r>
      <w:r>
        <w:rPr>
          <w:spacing w:val="-5"/>
          <w:sz w:val="24"/>
        </w:rPr>
        <w:t> 診斷，不知是否被感染，可利</w:t>
      </w:r>
      <w:r>
        <w:rPr>
          <w:spacing w:val="3"/>
          <w:sz w:val="24"/>
        </w:rPr>
        <w:t>用本指引的資訊與接觸者討論發病的風險。密切接觸者未來發病機會總括起來約</w:t>
      </w:r>
      <w:r>
        <w:rPr>
          <w:sz w:val="24"/>
        </w:rPr>
        <w:t>5-10%，早期診斷治療可以降低發病風險以及傳播給家人的機會，所以衛教時請</w:t>
      </w:r>
      <w:r>
        <w:rPr>
          <w:spacing w:val="3"/>
          <w:sz w:val="24"/>
        </w:rPr>
        <w:t>告知 </w:t>
      </w:r>
      <w:r>
        <w:rPr>
          <w:sz w:val="24"/>
        </w:rPr>
        <w:t>LTBI</w:t>
      </w:r>
      <w:r>
        <w:rPr>
          <w:spacing w:val="-5"/>
          <w:sz w:val="24"/>
        </w:rPr>
        <w:t> 診斷陽性個案，若拒絕接受治療者，一旦發現有疑似症狀，就醫時記得</w:t>
      </w:r>
      <w:r>
        <w:rPr>
          <w:spacing w:val="2"/>
          <w:sz w:val="24"/>
        </w:rPr>
        <w:t>提醒醫師自己是結核病接觸者，需要考慮排除結核病的可能性，以免延誤診斷； </w:t>
      </w:r>
      <w:r>
        <w:rPr>
          <w:spacing w:val="3"/>
          <w:sz w:val="24"/>
        </w:rPr>
        <w:t>由於 </w:t>
      </w:r>
      <w:r>
        <w:rPr>
          <w:sz w:val="24"/>
        </w:rPr>
        <w:t>LTBI</w:t>
      </w:r>
      <w:r>
        <w:rPr>
          <w:spacing w:val="3"/>
          <w:sz w:val="24"/>
        </w:rPr>
        <w:t> 診斷陽性且未進行</w:t>
      </w:r>
      <w:r>
        <w:rPr>
          <w:color w:val="C00000"/>
          <w:spacing w:val="1"/>
          <w:sz w:val="24"/>
        </w:rPr>
        <w:t>或(中斷)</w:t>
      </w:r>
      <w:r>
        <w:rPr>
          <w:sz w:val="24"/>
        </w:rPr>
        <w:t>LTBI</w:t>
      </w:r>
      <w:r>
        <w:rPr>
          <w:spacing w:val="-3"/>
          <w:sz w:val="24"/>
        </w:rPr>
        <w:t> 治療是高風險發病者，</w:t>
      </w:r>
      <w:r>
        <w:rPr>
          <w:color w:val="C00000"/>
          <w:spacing w:val="2"/>
          <w:sz w:val="24"/>
        </w:rPr>
        <w:t>日後可隨時回溯</w:t>
      </w:r>
      <w:r>
        <w:rPr>
          <w:color w:val="C00000"/>
          <w:spacing w:val="3"/>
          <w:sz w:val="24"/>
        </w:rPr>
        <w:t>加入完成治療，否則</w:t>
      </w:r>
      <w:r>
        <w:rPr>
          <w:spacing w:val="3"/>
          <w:sz w:val="24"/>
        </w:rPr>
        <w:t>需於第 </w:t>
      </w:r>
      <w:r>
        <w:rPr>
          <w:sz w:val="24"/>
        </w:rPr>
        <w:t>12</w:t>
      </w:r>
      <w:r>
        <w:rPr>
          <w:spacing w:val="2"/>
          <w:sz w:val="24"/>
        </w:rPr>
        <w:t> 個月再進行胸部 </w:t>
      </w:r>
      <w:r>
        <w:rPr>
          <w:sz w:val="24"/>
        </w:rPr>
        <w:t>X</w:t>
      </w:r>
      <w:r>
        <w:rPr>
          <w:spacing w:val="2"/>
          <w:sz w:val="24"/>
        </w:rPr>
        <w:t> 光檢查追蹤。</w:t>
      </w:r>
    </w:p>
    <w:p>
      <w:pPr>
        <w:spacing w:after="0" w:line="228" w:lineRule="auto"/>
        <w:jc w:val="both"/>
        <w:rPr>
          <w:sz w:val="24"/>
        </w:rPr>
        <w:sectPr>
          <w:pgSz w:w="12250" w:h="17190"/>
          <w:pgMar w:header="0" w:footer="748" w:top="1460" w:bottom="1020" w:left="840" w:right="0"/>
        </w:sectPr>
      </w:pPr>
    </w:p>
    <w:p>
      <w:pPr>
        <w:pStyle w:val="ListParagraph"/>
        <w:numPr>
          <w:ilvl w:val="3"/>
          <w:numId w:val="122"/>
        </w:numPr>
        <w:tabs>
          <w:tab w:pos="1486" w:val="left" w:leader="none"/>
        </w:tabs>
        <w:spacing w:line="228" w:lineRule="auto" w:before="26" w:after="0"/>
        <w:ind w:left="1485" w:right="1358" w:hanging="305"/>
        <w:jc w:val="both"/>
        <w:rPr>
          <w:sz w:val="24"/>
        </w:rPr>
      </w:pPr>
      <w:r>
        <w:rPr>
          <w:color w:val="C00000"/>
          <w:spacing w:val="3"/>
          <w:sz w:val="24"/>
        </w:rPr>
        <w:t>至少每月回診的重要性，除觀察服藥副作用外，由於近期接觸者結核病發病風險</w:t>
      </w:r>
      <w:r>
        <w:rPr>
          <w:color w:val="C00000"/>
          <w:spacing w:val="2"/>
          <w:sz w:val="24"/>
        </w:rPr>
        <w:t>高，也要評估是否在治療期間發病的可能性，避免變成以 </w:t>
      </w:r>
      <w:r>
        <w:rPr>
          <w:color w:val="C00000"/>
          <w:sz w:val="24"/>
        </w:rPr>
        <w:t>LTBI</w:t>
      </w:r>
      <w:r>
        <w:rPr>
          <w:color w:val="C00000"/>
          <w:spacing w:val="3"/>
          <w:sz w:val="24"/>
        </w:rPr>
        <w:t> 治療來治療結核病導致治療處方不足，進而造成產生抗藥性的可能性；另兒童生長發展快速，每次回診時應測量體重，體重增加以及時調整治療劑量，體重下降或增加遲緩可能</w:t>
      </w:r>
      <w:r>
        <w:rPr>
          <w:color w:val="C00000"/>
          <w:spacing w:val="2"/>
          <w:sz w:val="24"/>
        </w:rPr>
        <w:t>為結核病發病之早期徵候。</w:t>
      </w:r>
    </w:p>
    <w:p>
      <w:pPr>
        <w:pStyle w:val="ListParagraph"/>
        <w:numPr>
          <w:ilvl w:val="3"/>
          <w:numId w:val="122"/>
        </w:numPr>
        <w:tabs>
          <w:tab w:pos="1486" w:val="left" w:leader="none"/>
        </w:tabs>
        <w:spacing w:line="228" w:lineRule="auto" w:before="3" w:after="0"/>
        <w:ind w:left="1485" w:right="1358" w:hanging="305"/>
        <w:jc w:val="both"/>
        <w:rPr>
          <w:sz w:val="24"/>
        </w:rPr>
      </w:pPr>
      <w:r>
        <w:rPr>
          <w:color w:val="C00000"/>
          <w:spacing w:val="3"/>
          <w:sz w:val="24"/>
        </w:rPr>
        <w:t>告訴接觸者加入都治的重要性，應配合衛生單位提供的都治服務，以確保服藥順</w:t>
      </w:r>
      <w:r>
        <w:rPr>
          <w:color w:val="C00000"/>
          <w:spacing w:val="2"/>
          <w:sz w:val="24"/>
        </w:rPr>
        <w:t>從性，提供完整的保護力。</w:t>
      </w:r>
    </w:p>
    <w:p>
      <w:pPr>
        <w:pStyle w:val="Heading7"/>
        <w:numPr>
          <w:ilvl w:val="2"/>
          <w:numId w:val="123"/>
        </w:numPr>
        <w:tabs>
          <w:tab w:pos="1472" w:val="left" w:leader="none"/>
        </w:tabs>
        <w:spacing w:line="240" w:lineRule="auto" w:before="231" w:after="0"/>
        <w:ind w:left="1471" w:right="0" w:hanging="841"/>
        <w:jc w:val="both"/>
      </w:pPr>
      <w:bookmarkStart w:name="10.3.3 轉介單與給付原則" w:id="121"/>
      <w:bookmarkEnd w:id="121"/>
      <w:r>
        <w:rPr>
          <w:b w:val="0"/>
        </w:rPr>
      </w:r>
      <w:bookmarkStart w:name="10.3.3 轉介單與給付原則" w:id="122"/>
      <w:bookmarkEnd w:id="122"/>
      <w:r>
        <w:rPr/>
        <w:t>轉介單與給付原則</w:t>
      </w:r>
    </w:p>
    <w:p>
      <w:pPr>
        <w:pStyle w:val="BodyText"/>
        <w:spacing w:line="228" w:lineRule="auto" w:before="19"/>
        <w:ind w:left="1455" w:right="1301" w:firstLine="488"/>
        <w:jc w:val="both"/>
      </w:pPr>
      <w:r>
        <w:rPr/>
        <w:t>接觸者若持衛生單位發給的轉介單(附件10-2)就醫，可減免部分負擔的花費， 以減少就醫障礙。院所端完成轉介單的填寫，經由結核病個案管理師回復給轉介之衛生單位，轉介單內容將登錄於結核病追蹤管理系統。</w:t>
      </w:r>
      <w:r>
        <w:rPr>
          <w:color w:val="C00000"/>
        </w:rPr>
        <w:t>持衛生單位發給的</w:t>
      </w:r>
      <w:r>
        <w:rPr>
          <w:rFonts w:ascii="Microsoft JhengHei UI" w:eastAsia="Microsoft JhengHei UI" w:hint="eastAsia"/>
          <w:color w:val="C00000"/>
        </w:rPr>
        <w:t>｢</w:t>
      </w:r>
      <w:r>
        <w:rPr>
          <w:color w:val="C00000"/>
        </w:rPr>
        <w:t>智慧關懷卡</w:t>
      </w:r>
      <w:r>
        <w:rPr>
          <w:rFonts w:ascii="Microsoft JhengHei UI" w:eastAsia="Microsoft JhengHei UI" w:hint="eastAsia"/>
          <w:color w:val="C00000"/>
        </w:rPr>
        <w:t>｣</w:t>
      </w:r>
      <w:r>
        <w:rPr>
          <w:color w:val="C00000"/>
        </w:rPr>
        <w:t>接受 LTBI 治療，每次回診也可減免部分負擔之就醫費用，以鼓勵完成治療。</w:t>
      </w:r>
    </w:p>
    <w:p>
      <w:pPr>
        <w:pStyle w:val="BodyText"/>
        <w:spacing w:line="225" w:lineRule="auto"/>
        <w:ind w:left="1455" w:right="1355" w:firstLine="488"/>
        <w:jc w:val="both"/>
      </w:pPr>
      <w:r>
        <w:rPr/>
        <w:t>另有關接觸者進行 LTBI 檢驗及治療相關的給付補助措施，請參考[衛生福利部法定傳染病醫療服務費用支付作業規範](傳染病與防疫專題/傳染病介紹/第三類法定傳染病/結核病/治療照護/醫療費用補助/附件)。</w:t>
      </w:r>
    </w:p>
    <w:p>
      <w:pPr>
        <w:pStyle w:val="Heading7"/>
        <w:numPr>
          <w:ilvl w:val="2"/>
          <w:numId w:val="123"/>
        </w:numPr>
        <w:tabs>
          <w:tab w:pos="1472" w:val="left" w:leader="none"/>
        </w:tabs>
        <w:spacing w:line="240" w:lineRule="auto" w:before="227" w:after="0"/>
        <w:ind w:left="1471" w:right="0" w:hanging="841"/>
        <w:jc w:val="both"/>
      </w:pPr>
      <w:bookmarkStart w:name="10.3.4 嚴重不良反應的通報" w:id="123"/>
      <w:bookmarkEnd w:id="123"/>
      <w:r>
        <w:rPr>
          <w:b w:val="0"/>
        </w:rPr>
      </w:r>
      <w:bookmarkStart w:name="10.3.4 嚴重不良反應的通報" w:id="124"/>
      <w:bookmarkEnd w:id="124"/>
      <w:r>
        <w:rPr/>
        <w:t>嚴重不良反應的通報</w:t>
      </w:r>
    </w:p>
    <w:p>
      <w:pPr>
        <w:pStyle w:val="BodyText"/>
        <w:spacing w:line="225" w:lineRule="auto" w:before="23"/>
        <w:ind w:left="1455" w:right="1307" w:firstLine="488"/>
        <w:jc w:val="both"/>
      </w:pPr>
      <w:r>
        <w:rPr/>
        <w:t>不論哪一種處方若發生嚴重不良反應，都鼓勵使用藥物之臨床院所向全國藥物不良反應通報中心(https://adr.fda.gov.tw/)通報(簡稱 ADR) </w:t>
      </w:r>
      <w:r>
        <w:rPr>
          <w:color w:val="C00000"/>
        </w:rPr>
        <w:t>並副知疾病管制署</w:t>
      </w:r>
      <w:r>
        <w:rPr/>
        <w:t>。rifapentine 已於 2017 年 8 月取得我國藥品許可證，符合申請藥害救濟的範圍；但現行 isoniazid 300mg/Tab 和新劑型 HP 複方(FDC)藥品，皆以專案進口方式，透過世界衛生組織委託之全球藥物購置機構(GDF)購買，目前無國內藥證， 院所使用此 2 項藥品前應先向個案清楚說明，並請個案簽署「衛生福利部疾病管制署潛伏結核感染治療 INH300mg/Tab 或 HP FDC 藥品使用同意書」並留院備查(傳染病與防疫專題/傳染病介紹/第三類法定傳染病/結核病/治療照護/潛伏結核感染專區)。</w:t>
      </w:r>
    </w:p>
    <w:p>
      <w:pPr>
        <w:pStyle w:val="Heading7"/>
        <w:numPr>
          <w:ilvl w:val="2"/>
          <w:numId w:val="123"/>
        </w:numPr>
        <w:tabs>
          <w:tab w:pos="1448" w:val="left" w:leader="none"/>
        </w:tabs>
        <w:spacing w:line="240" w:lineRule="auto" w:before="274" w:after="0"/>
        <w:ind w:left="1447" w:right="0" w:hanging="817"/>
        <w:jc w:val="both"/>
      </w:pPr>
      <w:bookmarkStart w:name="10.3.5 接受抗腫瘤壞死因子治療的病人" w:id="125"/>
      <w:bookmarkEnd w:id="125"/>
      <w:r>
        <w:rPr>
          <w:b w:val="0"/>
        </w:rPr>
      </w:r>
      <w:bookmarkStart w:name="10.3.5 接受抗腫瘤壞死因子治療的病人" w:id="126"/>
      <w:bookmarkEnd w:id="126"/>
      <w:r>
        <w:rPr/>
        <w:t>接受抗腫瘤壞死因子治療的病人</w:t>
      </w:r>
    </w:p>
    <w:p>
      <w:pPr>
        <w:pStyle w:val="BodyText"/>
        <w:spacing w:line="228" w:lineRule="auto" w:before="39"/>
        <w:ind w:left="1455" w:right="1355" w:firstLine="488"/>
        <w:jc w:val="both"/>
      </w:pPr>
      <w:r>
        <w:rPr/>
        <w:t>免疫風濕病人因為疾病本身造成正常免疫力失調，加上使用類固醇或免疫抑制劑治療以緩解症狀及改善生活品質，致該類病人結核病發生及死亡風險較一般民眾高出許多。依據食藥署 2022 年 1 月 28 日公告修訂｢含腫瘤壞死因子阻斷劑類藥品之上市後風險管理計畫書｣內容，腫瘤壞死因子阻斷劑類藥品於我國核准之適應症包含類風濕性關節炎、僵直性脊椎炎、乾癬性關節炎、乾癬、乾癬性脊椎</w:t>
      </w:r>
    </w:p>
    <w:p>
      <w:pPr>
        <w:spacing w:after="0" w:line="228" w:lineRule="auto"/>
        <w:jc w:val="both"/>
        <w:sectPr>
          <w:pgSz w:w="12250" w:h="17190"/>
          <w:pgMar w:header="0" w:footer="748" w:top="1480" w:bottom="1020" w:left="840" w:right="0"/>
        </w:sectPr>
      </w:pPr>
    </w:p>
    <w:p>
      <w:pPr>
        <w:pStyle w:val="BodyText"/>
        <w:spacing w:line="228" w:lineRule="auto" w:before="46"/>
        <w:ind w:left="1455" w:right="1355"/>
        <w:jc w:val="both"/>
      </w:pPr>
      <w:r>
        <w:rPr/>
        <w:pict>
          <v:group style="position:absolute;margin-left:573pt;margin-top:.482769pt;width:39.4pt;height:189.75pt;mso-position-horizontal-relative:page;mso-position-vertical-relative:paragraph;z-index:251859968" coordorigin="11460,10" coordsize="788,3795">
            <v:shape style="position:absolute;left:11460;top:9;width:788;height:3795" coordorigin="11460,10" coordsize="788,3795" path="m12247,10l11625,10,11561,23,11508,58,11473,111,11460,175,11460,3639,11473,3704,11508,3756,11561,3792,11625,3805,12247,3805,12247,10xe" filled="true" fillcolor="#a6a6a6" stroked="false">
              <v:path arrowok="t"/>
              <v:fill type="solid"/>
            </v:shape>
            <v:shape style="position:absolute;left:11460;top:9;width:788;height:3795" type="#_x0000_t202" filled="false" stroked="false">
              <v:textbox inset="0,0,0,0">
                <w:txbxContent>
                  <w:p>
                    <w:pPr>
                      <w:spacing w:line="146" w:lineRule="auto" w:before="126"/>
                      <w:ind w:left="136" w:right="428" w:firstLine="0"/>
                      <w:jc w:val="both"/>
                      <w:rPr>
                        <w:sz w:val="22"/>
                      </w:rPr>
                    </w:pPr>
                    <w:r>
                      <w:rPr>
                        <w:sz w:val="22"/>
                      </w:rPr>
                      <w:t>第十章</w:t>
                    </w:r>
                  </w:p>
                  <w:p>
                    <w:pPr>
                      <w:spacing w:line="141" w:lineRule="auto" w:before="235"/>
                      <w:ind w:left="136" w:right="428" w:firstLine="0"/>
                      <w:jc w:val="both"/>
                      <w:rPr>
                        <w:sz w:val="22"/>
                      </w:rPr>
                    </w:pPr>
                    <w:r>
                      <w:rPr>
                        <w:sz w:val="22"/>
                      </w:rPr>
                      <w:t>潛伏結核感染診斷與治療</w:t>
                    </w:r>
                  </w:p>
                </w:txbxContent>
              </v:textbox>
              <w10:wrap type="none"/>
            </v:shape>
            <w10:wrap type="none"/>
          </v:group>
        </w:pict>
      </w:r>
      <w:r>
        <w:rPr/>
        <w:t>病變、克隆氏症、潰瘍性結腸炎及幼年型慢性關節炎等，如使用 etanercept、adalimumab、golimumab、infliximab、certolizumab pegol、opinercept 及其後續核准上市之同類藥品或生物相似性藥品之醫師與醫事機構，應注意監測病人用藥後之不良反應及可能發生的重大安全事件(如結核病及病毒性肝炎)，病人在接受 TNF- alpha blocker 藥品治療前，應先接受完整結核病檢驗評估，潛伏結核感染者須至少先接受 4 週以上潛伏結核感染治療，方能開始 TNF-alpha blocker 藥品之治療，此類病人在接受 LTBI 檢驗治療及追蹤，診治醫師請參考本章節及最新的｢腫瘤壞死因子阻斷劑類藥品之上市後風險管理計畫書｣附件中｢醫師用藥與諮詢服務手冊｣。由於該族群非疾病管制署公費補助對象，故無法享有公費 IGRA 檢驗及就醫部分負擔的補助，但建議所有接受 LTBI 治療者參加都治計畫，藉由關懷員送藥關懷服務及副作用監測，以確保治療成功及避免抗藥性產生； 由於3HP</w:t>
      </w:r>
      <w:r>
        <w:rPr>
          <w:color w:val="C00000"/>
        </w:rPr>
        <w:t>/1HP </w:t>
      </w:r>
      <w:r>
        <w:rPr/>
        <w:t>為疾管署提供之公費藥品，僅限「潛伏結核感染治療指定醫療院所」方可開立，使用該處方治療</w:t>
      </w:r>
      <w:r>
        <w:rPr>
          <w:color w:val="C00000"/>
        </w:rPr>
        <w:t>院所</w:t>
      </w:r>
      <w:r>
        <w:rPr/>
        <w:t>，必須</w:t>
      </w:r>
      <w:r>
        <w:rPr>
          <w:color w:val="C00000"/>
        </w:rPr>
        <w:t>告知個案</w:t>
      </w:r>
      <w:r>
        <w:rPr/>
        <w:t>加入</w:t>
      </w:r>
      <w:r>
        <w:rPr>
          <w:color w:val="C00000"/>
        </w:rPr>
        <w:t>公衛</w:t>
      </w:r>
      <w:r>
        <w:rPr/>
        <w:t>都治計畫，</w:t>
      </w:r>
      <w:r>
        <w:rPr>
          <w:color w:val="C00000"/>
        </w:rPr>
        <w:t>並主動聯繫個案居住地衛生局所，以利銜接都治服務。</w:t>
      </w:r>
    </w:p>
    <w:p>
      <w:pPr>
        <w:pStyle w:val="BodyText"/>
        <w:spacing w:line="228" w:lineRule="auto" w:before="10"/>
        <w:ind w:left="1455" w:right="1361" w:firstLine="488"/>
        <w:jc w:val="both"/>
      </w:pPr>
      <w:r>
        <w:rPr>
          <w:color w:val="C00000"/>
        </w:rPr>
        <w:t>另提醒免疫低下病人結核病發病風險高，LTBI 檢驗可能出現偽陰性情形，潛伏結核感染治療期間需監測結核病症狀，如有懷疑可驗痰及胸部 X 光檢查。</w:t>
      </w:r>
    </w:p>
    <w:p>
      <w:pPr>
        <w:pStyle w:val="BodyText"/>
        <w:spacing w:before="5"/>
        <w:rPr>
          <w:sz w:val="23"/>
        </w:rPr>
      </w:pPr>
    </w:p>
    <w:p>
      <w:pPr>
        <w:pStyle w:val="Heading6"/>
        <w:numPr>
          <w:ilvl w:val="1"/>
          <w:numId w:val="122"/>
        </w:numPr>
        <w:tabs>
          <w:tab w:pos="1169" w:val="left" w:leader="none"/>
        </w:tabs>
        <w:spacing w:line="240" w:lineRule="auto" w:before="0" w:after="0"/>
        <w:ind w:left="1168" w:right="0" w:hanging="649"/>
        <w:jc w:val="both"/>
      </w:pPr>
      <w:r>
        <w:rPr>
          <w:color w:val="C00000"/>
          <w:spacing w:val="3"/>
        </w:rPr>
        <w:t>總結</w:t>
      </w:r>
      <w:r>
        <w:rPr>
          <w:spacing w:val="4"/>
        </w:rPr>
        <w:t>摘要</w:t>
      </w:r>
    </w:p>
    <w:p>
      <w:pPr>
        <w:pStyle w:val="Heading7"/>
        <w:numPr>
          <w:ilvl w:val="2"/>
          <w:numId w:val="122"/>
        </w:numPr>
        <w:tabs>
          <w:tab w:pos="1472" w:val="left" w:leader="none"/>
        </w:tabs>
        <w:spacing w:line="240" w:lineRule="auto" w:before="30" w:after="0"/>
        <w:ind w:left="1471" w:right="0" w:hanging="841"/>
        <w:jc w:val="both"/>
      </w:pPr>
      <w:bookmarkStart w:name="10.4.1 LTBI 檢驗對象：" w:id="127"/>
      <w:bookmarkEnd w:id="127"/>
      <w:r>
        <w:rPr>
          <w:b w:val="0"/>
        </w:rPr>
      </w:r>
      <w:bookmarkStart w:name="10.4.1 LTBI 檢驗對象：" w:id="128"/>
      <w:bookmarkEnd w:id="128"/>
      <w:r>
        <w:rPr/>
        <w:t>LT</w:t>
      </w:r>
      <w:r>
        <w:rPr/>
        <w:t>BI</w:t>
      </w:r>
      <w:r>
        <w:rPr>
          <w:spacing w:val="9"/>
        </w:rPr>
        <w:t> 檢驗對象：</w:t>
      </w:r>
    </w:p>
    <w:p>
      <w:pPr>
        <w:pStyle w:val="ListParagraph"/>
        <w:numPr>
          <w:ilvl w:val="0"/>
          <w:numId w:val="124"/>
        </w:numPr>
        <w:tabs>
          <w:tab w:pos="1481" w:val="left" w:leader="none"/>
        </w:tabs>
        <w:spacing w:line="437" w:lineRule="exact" w:before="11" w:after="0"/>
        <w:ind w:left="1480" w:right="0" w:hanging="301"/>
        <w:jc w:val="both"/>
        <w:rPr>
          <w:sz w:val="24"/>
        </w:rPr>
      </w:pPr>
      <w:r>
        <w:rPr>
          <w:sz w:val="24"/>
        </w:rPr>
        <w:t>指標個案塗片陽性且培養鑑定為結核分枝桿菌之全年齡層接觸者。</w:t>
      </w:r>
    </w:p>
    <w:p>
      <w:pPr>
        <w:pStyle w:val="ListParagraph"/>
        <w:numPr>
          <w:ilvl w:val="0"/>
          <w:numId w:val="124"/>
        </w:numPr>
        <w:tabs>
          <w:tab w:pos="1481" w:val="left" w:leader="none"/>
        </w:tabs>
        <w:spacing w:line="228" w:lineRule="auto" w:before="12" w:after="0"/>
        <w:ind w:left="1480" w:right="1358" w:hanging="300"/>
        <w:jc w:val="both"/>
        <w:rPr>
          <w:sz w:val="24"/>
        </w:rPr>
      </w:pPr>
      <w:r>
        <w:rPr>
          <w:sz w:val="24"/>
        </w:rPr>
        <w:t>指標個案塗片陰性且培養鑑定為結核分枝桿菌之未滿 13</w:t>
      </w:r>
      <w:r>
        <w:rPr>
          <w:spacing w:val="2"/>
          <w:sz w:val="24"/>
        </w:rPr>
        <w:t> 歲兒童接觸者，或 </w:t>
      </w:r>
      <w:r>
        <w:rPr>
          <w:sz w:val="24"/>
        </w:rPr>
        <w:t>13</w:t>
      </w:r>
      <w:r>
        <w:rPr>
          <w:spacing w:val="4"/>
          <w:sz w:val="24"/>
        </w:rPr>
        <w:t> 歲</w:t>
      </w:r>
      <w:r>
        <w:rPr>
          <w:spacing w:val="-8"/>
          <w:sz w:val="24"/>
        </w:rPr>
        <w:t>(含)以上共同居住接觸者或患有慢性病(如：糖尿病、腎臟病、使用免疫抑制劑、器官移植、愛滋感染者等)的接觸者。</w:t>
      </w:r>
    </w:p>
    <w:p>
      <w:pPr>
        <w:pStyle w:val="ListParagraph"/>
        <w:numPr>
          <w:ilvl w:val="0"/>
          <w:numId w:val="124"/>
        </w:numPr>
        <w:tabs>
          <w:tab w:pos="1481" w:val="left" w:leader="none"/>
        </w:tabs>
        <w:spacing w:line="228" w:lineRule="auto" w:before="14" w:after="0"/>
        <w:ind w:left="1480" w:right="1361" w:hanging="300"/>
        <w:jc w:val="both"/>
        <w:rPr>
          <w:sz w:val="24"/>
        </w:rPr>
      </w:pPr>
      <w:r>
        <w:rPr>
          <w:sz w:val="24"/>
        </w:rPr>
        <w:t>對於非接觸者，建議參考本章 </w:t>
      </w:r>
      <w:r>
        <w:rPr>
          <w:color w:val="C00000"/>
          <w:sz w:val="24"/>
        </w:rPr>
        <w:t>10.2.1</w:t>
      </w:r>
      <w:r>
        <w:rPr>
          <w:color w:val="C00000"/>
          <w:spacing w:val="-22"/>
          <w:sz w:val="24"/>
        </w:rPr>
        <w:t> </w:t>
      </w:r>
      <w:r>
        <w:rPr>
          <w:color w:val="C00000"/>
          <w:sz w:val="24"/>
        </w:rPr>
        <w:t>LTBI 檢驗及治療對象和</w:t>
      </w:r>
      <w:r>
        <w:rPr>
          <w:spacing w:val="-2"/>
          <w:sz w:val="24"/>
        </w:rPr>
        <w:t>個案的結核病風險高</w:t>
      </w:r>
      <w:r>
        <w:rPr>
          <w:spacing w:val="-1"/>
          <w:sz w:val="24"/>
        </w:rPr>
        <w:t>低以及免疫力，決定是否提供 </w:t>
      </w:r>
      <w:r>
        <w:rPr>
          <w:sz w:val="24"/>
        </w:rPr>
        <w:t>LTBI 診斷及治療。</w:t>
      </w:r>
    </w:p>
    <w:p>
      <w:pPr>
        <w:pStyle w:val="Heading7"/>
        <w:numPr>
          <w:ilvl w:val="2"/>
          <w:numId w:val="122"/>
        </w:numPr>
        <w:tabs>
          <w:tab w:pos="1472" w:val="left" w:leader="none"/>
        </w:tabs>
        <w:spacing w:line="240" w:lineRule="auto" w:before="234" w:after="0"/>
        <w:ind w:left="1471" w:right="0" w:hanging="841"/>
        <w:jc w:val="both"/>
      </w:pPr>
      <w:bookmarkStart w:name="10.4.2 LTBI診斷：" w:id="129"/>
      <w:bookmarkEnd w:id="129"/>
      <w:r>
        <w:rPr>
          <w:b w:val="0"/>
        </w:rPr>
      </w:r>
      <w:bookmarkStart w:name="10.4.2 LTBI診斷：" w:id="130"/>
      <w:bookmarkEnd w:id="130"/>
      <w:r>
        <w:rPr/>
        <w:t>LT</w:t>
      </w:r>
      <w:r>
        <w:rPr/>
        <w:t>BI</w:t>
      </w:r>
      <w:r>
        <w:rPr>
          <w:spacing w:val="-1"/>
        </w:rPr>
        <w:t> 診斷：</w:t>
      </w:r>
    </w:p>
    <w:p>
      <w:pPr>
        <w:pStyle w:val="ListParagraph"/>
        <w:numPr>
          <w:ilvl w:val="0"/>
          <w:numId w:val="125"/>
        </w:numPr>
        <w:tabs>
          <w:tab w:pos="1481" w:val="left" w:leader="none"/>
        </w:tabs>
        <w:spacing w:line="431" w:lineRule="exact" w:before="10" w:after="0"/>
        <w:ind w:left="1480" w:right="0" w:hanging="301"/>
        <w:jc w:val="left"/>
        <w:rPr>
          <w:sz w:val="24"/>
        </w:rPr>
      </w:pPr>
      <w:r>
        <w:rPr>
          <w:spacing w:val="-1"/>
          <w:sz w:val="24"/>
        </w:rPr>
        <w:t>未滿 </w:t>
      </w:r>
      <w:r>
        <w:rPr>
          <w:sz w:val="24"/>
        </w:rPr>
        <w:t>2 歲以結核菌素皮膚測驗(TST)方式檢驗。</w:t>
      </w:r>
    </w:p>
    <w:p>
      <w:pPr>
        <w:pStyle w:val="ListParagraph"/>
        <w:numPr>
          <w:ilvl w:val="0"/>
          <w:numId w:val="125"/>
        </w:numPr>
        <w:tabs>
          <w:tab w:pos="1481" w:val="left" w:leader="none"/>
        </w:tabs>
        <w:spacing w:line="420" w:lineRule="exact" w:before="0" w:after="0"/>
        <w:ind w:left="1480" w:right="0" w:hanging="301"/>
        <w:jc w:val="left"/>
        <w:rPr>
          <w:sz w:val="24"/>
        </w:rPr>
      </w:pPr>
      <w:r>
        <w:rPr>
          <w:sz w:val="24"/>
        </w:rPr>
        <w:t>2</w:t>
      </w:r>
      <w:r>
        <w:rPr>
          <w:spacing w:val="-1"/>
          <w:sz w:val="24"/>
        </w:rPr>
        <w:t> 歲</w:t>
      </w:r>
      <w:r>
        <w:rPr>
          <w:sz w:val="24"/>
        </w:rPr>
        <w:t>（含）以上以抽血 IGRA 方式檢驗。</w:t>
      </w:r>
    </w:p>
    <w:p>
      <w:pPr>
        <w:pStyle w:val="BodyText"/>
        <w:spacing w:line="431" w:lineRule="exact"/>
        <w:ind w:left="1480"/>
      </w:pPr>
      <w:r>
        <w:rPr/>
        <w:t>2 歲（含）至未滿 5 歲，倘無法執行 IGRA 檢驗者，得使用 TST 檢驗。</w:t>
      </w:r>
    </w:p>
    <w:p>
      <w:pPr>
        <w:spacing w:after="0" w:line="431" w:lineRule="exact"/>
        <w:sectPr>
          <w:pgSz w:w="12250" w:h="17190"/>
          <w:pgMar w:header="0" w:footer="748" w:top="1460" w:bottom="1020" w:left="840" w:right="0"/>
        </w:sectPr>
      </w:pPr>
    </w:p>
    <w:p>
      <w:pPr>
        <w:pStyle w:val="Heading7"/>
        <w:numPr>
          <w:ilvl w:val="2"/>
          <w:numId w:val="122"/>
        </w:numPr>
        <w:tabs>
          <w:tab w:pos="1472" w:val="left" w:leader="none"/>
        </w:tabs>
        <w:spacing w:line="240" w:lineRule="auto" w:before="22" w:after="0"/>
        <w:ind w:left="1471" w:right="0" w:hanging="841"/>
        <w:jc w:val="left"/>
      </w:pPr>
      <w:bookmarkStart w:name="10.4.3 LTBI治療處方：" w:id="131"/>
      <w:bookmarkEnd w:id="131"/>
      <w:r>
        <w:rPr>
          <w:b w:val="0"/>
        </w:rPr>
      </w:r>
      <w:bookmarkStart w:name="10.4.3 LTBI治療處方：" w:id="132"/>
      <w:bookmarkEnd w:id="132"/>
      <w:r>
        <w:rPr/>
        <w:t>LT</w:t>
      </w:r>
      <w:r>
        <w:rPr/>
        <w:t>BI</w:t>
      </w:r>
      <w:r>
        <w:rPr>
          <w:spacing w:val="-1"/>
        </w:rPr>
        <w:t> 治療處方：</w:t>
      </w:r>
    </w:p>
    <w:p>
      <w:pPr>
        <w:pStyle w:val="BodyText"/>
        <w:spacing w:before="44"/>
        <w:ind w:left="1111"/>
      </w:pPr>
      <w:bookmarkStart w:name="建議優先提供短程治療處方，倘無法使用短程處方，再考慮6H或9H處方。" w:id="133"/>
      <w:bookmarkEnd w:id="133"/>
      <w:r>
        <w:rPr/>
      </w:r>
      <w:r>
        <w:rPr>
          <w:color w:val="C00000"/>
        </w:rPr>
        <w:t>建議優先提供短程治療處方，倘無法使用短程處方，再考慮 6H 或 9H 處方。</w:t>
      </w:r>
    </w:p>
    <w:p>
      <w:pPr>
        <w:pStyle w:val="ListParagraph"/>
        <w:numPr>
          <w:ilvl w:val="0"/>
          <w:numId w:val="126"/>
        </w:numPr>
        <w:tabs>
          <w:tab w:pos="1481" w:val="left" w:leader="none"/>
        </w:tabs>
        <w:spacing w:line="240" w:lineRule="auto" w:before="9" w:after="0"/>
        <w:ind w:left="1480" w:right="0" w:hanging="301"/>
        <w:jc w:val="left"/>
        <w:rPr>
          <w:sz w:val="24"/>
        </w:rPr>
      </w:pPr>
      <w:r>
        <w:rPr>
          <w:sz w:val="24"/>
        </w:rPr>
        <w:t>3HP</w:t>
      </w:r>
      <w:r>
        <w:rPr>
          <w:spacing w:val="-3"/>
          <w:sz w:val="24"/>
        </w:rPr>
        <w:t> (每週 </w:t>
      </w:r>
      <w:r>
        <w:rPr>
          <w:sz w:val="24"/>
        </w:rPr>
        <w:t>1</w:t>
      </w:r>
      <w:r>
        <w:rPr>
          <w:spacing w:val="17"/>
          <w:sz w:val="24"/>
        </w:rPr>
        <w:t> 次 </w:t>
      </w:r>
      <w:r>
        <w:rPr>
          <w:sz w:val="24"/>
        </w:rPr>
        <w:t>INH</w:t>
      </w:r>
      <w:r>
        <w:rPr>
          <w:spacing w:val="-2"/>
          <w:sz w:val="24"/>
        </w:rPr>
        <w:t> + </w:t>
      </w:r>
      <w:r>
        <w:rPr>
          <w:sz w:val="24"/>
        </w:rPr>
        <w:t>RPT，共 12 次)</w:t>
      </w:r>
    </w:p>
    <w:p>
      <w:pPr>
        <w:pStyle w:val="ListParagraph"/>
        <w:numPr>
          <w:ilvl w:val="1"/>
          <w:numId w:val="126"/>
        </w:numPr>
        <w:tabs>
          <w:tab w:pos="1944" w:val="left" w:leader="none"/>
        </w:tabs>
        <w:spacing w:line="431" w:lineRule="exact" w:before="15" w:after="0"/>
        <w:ind w:left="1944" w:right="0" w:hanging="489"/>
        <w:jc w:val="left"/>
        <w:rPr>
          <w:sz w:val="24"/>
        </w:rPr>
      </w:pPr>
      <w:r>
        <w:rPr>
          <w:spacing w:val="4"/>
          <w:sz w:val="24"/>
        </w:rPr>
        <w:t>使用對象：推薦使用於 </w:t>
      </w:r>
      <w:r>
        <w:rPr>
          <w:sz w:val="24"/>
        </w:rPr>
        <w:t>2</w:t>
      </w:r>
      <w:r>
        <w:rPr>
          <w:spacing w:val="2"/>
          <w:sz w:val="24"/>
        </w:rPr>
        <w:t> 歲(含)以上之接觸者及高風險族群(較 </w:t>
      </w:r>
      <w:r>
        <w:rPr>
          <w:sz w:val="24"/>
        </w:rPr>
        <w:t>9H</w:t>
      </w:r>
      <w:r>
        <w:rPr>
          <w:spacing w:val="6"/>
          <w:sz w:val="24"/>
        </w:rPr>
        <w:t> 低的肝毒</w:t>
      </w:r>
    </w:p>
    <w:p>
      <w:pPr>
        <w:pStyle w:val="BodyText"/>
        <w:spacing w:line="228" w:lineRule="auto" w:before="5"/>
        <w:ind w:left="1943" w:right="1361"/>
      </w:pPr>
      <w:r>
        <w:rPr/>
        <w:t>性)，但目前不建議孕婦及未滿 2 歲的幼童使用。有服用可能會產生交互作用藥物者，使用要相對謹慎。</w:t>
      </w:r>
    </w:p>
    <w:p>
      <w:pPr>
        <w:pStyle w:val="ListParagraph"/>
        <w:numPr>
          <w:ilvl w:val="1"/>
          <w:numId w:val="126"/>
        </w:numPr>
        <w:tabs>
          <w:tab w:pos="1944" w:val="left" w:leader="none"/>
        </w:tabs>
        <w:spacing w:line="431" w:lineRule="exact" w:before="22" w:after="0"/>
        <w:ind w:left="1944" w:right="0" w:hanging="489"/>
        <w:jc w:val="left"/>
        <w:rPr>
          <w:sz w:val="24"/>
        </w:rPr>
      </w:pPr>
      <w:r>
        <w:rPr>
          <w:spacing w:val="2"/>
          <w:sz w:val="24"/>
        </w:rPr>
        <w:t>劑量頻率：</w:t>
      </w:r>
    </w:p>
    <w:p>
      <w:pPr>
        <w:pStyle w:val="ListParagraph"/>
        <w:numPr>
          <w:ilvl w:val="2"/>
          <w:numId w:val="126"/>
        </w:numPr>
        <w:tabs>
          <w:tab w:pos="2340" w:val="left" w:leader="none"/>
        </w:tabs>
        <w:spacing w:line="420" w:lineRule="exact" w:before="0" w:after="0"/>
        <w:ind w:left="2340" w:right="0" w:hanging="389"/>
        <w:jc w:val="left"/>
        <w:rPr>
          <w:sz w:val="24"/>
        </w:rPr>
      </w:pPr>
      <w:r>
        <w:rPr>
          <w:sz w:val="24"/>
        </w:rPr>
        <w:t>INH</w:t>
      </w:r>
      <w:r>
        <w:rPr>
          <w:spacing w:val="-2"/>
          <w:sz w:val="24"/>
        </w:rPr>
        <w:t> (</w:t>
      </w:r>
      <w:r>
        <w:rPr>
          <w:sz w:val="24"/>
        </w:rPr>
        <w:t>100mg 及 300mg 2</w:t>
      </w:r>
      <w:r>
        <w:rPr>
          <w:spacing w:val="-3"/>
          <w:sz w:val="24"/>
        </w:rPr>
        <w:t> 種劑型)</w:t>
      </w:r>
    </w:p>
    <w:p>
      <w:pPr>
        <w:pStyle w:val="BodyText"/>
        <w:spacing w:line="228" w:lineRule="auto" w:before="5"/>
        <w:ind w:left="2324" w:right="1361"/>
      </w:pPr>
      <w:r>
        <w:rPr/>
        <w:t>每週 1 次，最大劑量 INH 900mg，給藥時，計算至最靠近的 50mg (100mg 半顆)的劑量，依照年齡分成兩種每公斤劑量來計算：</w:t>
      </w:r>
    </w:p>
    <w:p>
      <w:pPr>
        <w:pStyle w:val="ListParagraph"/>
        <w:numPr>
          <w:ilvl w:val="3"/>
          <w:numId w:val="126"/>
        </w:numPr>
        <w:tabs>
          <w:tab w:pos="2718" w:val="left" w:leader="none"/>
        </w:tabs>
        <w:spacing w:line="416" w:lineRule="exact" w:before="0" w:after="0"/>
        <w:ind w:left="2718" w:right="0" w:hanging="361"/>
        <w:jc w:val="left"/>
        <w:rPr>
          <w:sz w:val="24"/>
        </w:rPr>
      </w:pPr>
      <w:r>
        <w:rPr>
          <w:sz w:val="24"/>
        </w:rPr>
        <w:t>12</w:t>
      </w:r>
      <w:r>
        <w:rPr>
          <w:spacing w:val="13"/>
          <w:sz w:val="24"/>
        </w:rPr>
        <w:t> 歲(含) 以上</w:t>
      </w:r>
      <w:r>
        <w:rPr>
          <w:sz w:val="24"/>
        </w:rPr>
        <w:t>，INH</w:t>
      </w:r>
      <w:r>
        <w:rPr>
          <w:spacing w:val="22"/>
          <w:sz w:val="24"/>
        </w:rPr>
        <w:t> 劑量為 </w:t>
      </w:r>
      <w:r>
        <w:rPr>
          <w:sz w:val="24"/>
        </w:rPr>
        <w:t>15mg/kg</w:t>
      </w:r>
    </w:p>
    <w:p>
      <w:pPr>
        <w:pStyle w:val="ListParagraph"/>
        <w:numPr>
          <w:ilvl w:val="3"/>
          <w:numId w:val="126"/>
        </w:numPr>
        <w:tabs>
          <w:tab w:pos="2718" w:val="left" w:leader="none"/>
        </w:tabs>
        <w:spacing w:line="431" w:lineRule="exact" w:before="0" w:after="0"/>
        <w:ind w:left="2718" w:right="0" w:hanging="360"/>
        <w:jc w:val="left"/>
        <w:rPr>
          <w:sz w:val="24"/>
        </w:rPr>
      </w:pPr>
      <w:r>
        <w:rPr>
          <w:sz w:val="24"/>
        </w:rPr>
        <w:t>2-11</w:t>
      </w:r>
      <w:r>
        <w:rPr>
          <w:spacing w:val="11"/>
          <w:sz w:val="24"/>
        </w:rPr>
        <w:t> 歲的兒童</w:t>
      </w:r>
      <w:r>
        <w:rPr>
          <w:sz w:val="24"/>
        </w:rPr>
        <w:t>，INH</w:t>
      </w:r>
      <w:r>
        <w:rPr>
          <w:spacing w:val="22"/>
          <w:sz w:val="24"/>
        </w:rPr>
        <w:t> 劑量為 </w:t>
      </w:r>
      <w:r>
        <w:rPr>
          <w:sz w:val="24"/>
        </w:rPr>
        <w:t>25mg/kg</w:t>
      </w:r>
    </w:p>
    <w:p>
      <w:pPr>
        <w:pStyle w:val="ListParagraph"/>
        <w:numPr>
          <w:ilvl w:val="2"/>
          <w:numId w:val="126"/>
        </w:numPr>
        <w:tabs>
          <w:tab w:pos="2340" w:val="left" w:leader="none"/>
        </w:tabs>
        <w:spacing w:line="431" w:lineRule="exact" w:before="27" w:after="0"/>
        <w:ind w:left="2340" w:right="0" w:hanging="389"/>
        <w:jc w:val="left"/>
        <w:rPr>
          <w:sz w:val="24"/>
        </w:rPr>
      </w:pPr>
      <w:r>
        <w:rPr>
          <w:sz w:val="24"/>
        </w:rPr>
        <w:t>RPT</w:t>
      </w:r>
      <w:r>
        <w:rPr>
          <w:spacing w:val="-1"/>
          <w:sz w:val="24"/>
        </w:rPr>
        <w:t> ( </w:t>
      </w:r>
      <w:r>
        <w:rPr>
          <w:sz w:val="24"/>
        </w:rPr>
        <w:t>150mg 劑型)</w:t>
      </w:r>
    </w:p>
    <w:p>
      <w:pPr>
        <w:pStyle w:val="BodyText"/>
        <w:spacing w:line="228" w:lineRule="auto" w:before="5"/>
        <w:ind w:left="2347" w:right="3913" w:hanging="47"/>
      </w:pPr>
      <w:r>
        <w:rPr>
          <w:spacing w:val="-1"/>
        </w:rPr>
        <w:t>每週 </w:t>
      </w:r>
      <w:r>
        <w:rPr/>
        <w:t>1 次，最大劑量 900mg，</w:t>
      </w:r>
      <w:r>
        <w:rPr>
          <w:spacing w:val="-2"/>
        </w:rPr>
        <w:t>依照體重來算劑量</w:t>
      </w:r>
      <w:r>
        <w:rPr/>
        <w:t>A. 10.0–14.0 kg 300</w:t>
      </w:r>
      <w:r>
        <w:rPr>
          <w:spacing w:val="-25"/>
        </w:rPr>
        <w:t> </w:t>
      </w:r>
      <w:r>
        <w:rPr/>
        <w:t>mg</w:t>
      </w:r>
    </w:p>
    <w:p>
      <w:pPr>
        <w:pStyle w:val="BodyText"/>
        <w:spacing w:line="416" w:lineRule="exact"/>
        <w:ind w:left="2347"/>
      </w:pPr>
      <w:r>
        <w:rPr/>
        <w:t>B.   14.1–25.0 kg 450</w:t>
      </w:r>
      <w:r>
        <w:rPr>
          <w:spacing w:val="12"/>
        </w:rPr>
        <w:t> </w:t>
      </w:r>
      <w:r>
        <w:rPr/>
        <w:t>mg</w:t>
      </w:r>
    </w:p>
    <w:p>
      <w:pPr>
        <w:pStyle w:val="BodyText"/>
        <w:spacing w:line="420" w:lineRule="exact"/>
        <w:ind w:left="2347"/>
      </w:pPr>
      <w:r>
        <w:rPr/>
        <w:t>C. 25.1–32.0 kg 600 mg</w:t>
      </w:r>
    </w:p>
    <w:p>
      <w:pPr>
        <w:pStyle w:val="BodyText"/>
        <w:spacing w:line="420" w:lineRule="exact"/>
        <w:ind w:left="2347"/>
      </w:pPr>
      <w:r>
        <w:rPr/>
        <w:t>D. 32.1–49.9 kg 750 mg</w:t>
      </w:r>
    </w:p>
    <w:p>
      <w:pPr>
        <w:pStyle w:val="BodyText"/>
        <w:spacing w:line="431" w:lineRule="exact"/>
        <w:ind w:left="2347"/>
      </w:pPr>
      <w:r>
        <w:rPr/>
        <w:t>E. </w:t>
      </w:r>
      <w:r>
        <w:rPr>
          <w:rFonts w:ascii="Arial" w:hAnsi="Arial"/>
        </w:rPr>
        <w:t>≥</w:t>
      </w:r>
      <w:r>
        <w:rPr/>
        <w:t>50.0 kg 900 mg</w:t>
      </w:r>
    </w:p>
    <w:p>
      <w:pPr>
        <w:pStyle w:val="BodyText"/>
        <w:spacing w:line="218" w:lineRule="auto" w:before="52"/>
        <w:ind w:left="1840" w:right="1358"/>
        <w:jc w:val="both"/>
      </w:pPr>
      <w:r>
        <w:rPr/>
        <w:t>備註：HP FDC 劑型，</w:t>
      </w:r>
      <w:r>
        <w:rPr>
          <w:color w:val="C00000"/>
        </w:rPr>
        <w:t>每顆含 isoniazid 300mg 加 rifapentine 300mg，</w:t>
      </w:r>
      <w:r>
        <w:rPr/>
        <w:t>限於體重 50 公斤(含)以上使用</w:t>
      </w:r>
      <w:r>
        <w:rPr>
          <w:color w:val="C00000"/>
        </w:rPr>
        <w:t>，</w:t>
      </w:r>
      <w:r>
        <w:rPr/>
        <w:t>固定劑量</w:t>
      </w:r>
      <w:r>
        <w:rPr>
          <w:color w:val="C00000"/>
        </w:rPr>
        <w:t>每次 3 顆</w:t>
      </w:r>
      <w:r>
        <w:rPr/>
        <w:t>，(不依體重或</w:t>
      </w:r>
      <w:r>
        <w:rPr>
          <w:color w:val="C00000"/>
        </w:rPr>
        <w:t>年齡</w:t>
      </w:r>
      <w:r>
        <w:rPr/>
        <w:t>調整</w:t>
      </w:r>
      <w:r>
        <w:rPr>
          <w:color w:val="C00000"/>
        </w:rPr>
        <w:t>顆數</w:t>
      </w:r>
      <w:r>
        <w:rPr/>
        <w:t>)，共 12 次</w:t>
      </w:r>
      <w:r>
        <w:rPr>
          <w:color w:val="C00000"/>
        </w:rPr>
        <w:t>；使用 3HP 處方者建議使用複方劑型，比單方劑型每劑次可減少 6 顆藥，提升服藥順從性</w:t>
      </w:r>
      <w:r>
        <w:rPr/>
        <w:t>。</w:t>
      </w:r>
    </w:p>
    <w:p>
      <w:pPr>
        <w:pStyle w:val="ListParagraph"/>
        <w:numPr>
          <w:ilvl w:val="1"/>
          <w:numId w:val="126"/>
        </w:numPr>
        <w:tabs>
          <w:tab w:pos="1936" w:val="left" w:leader="none"/>
        </w:tabs>
        <w:spacing w:line="438" w:lineRule="exact" w:before="0" w:after="0"/>
        <w:ind w:left="1935" w:right="0" w:hanging="481"/>
        <w:jc w:val="both"/>
        <w:rPr>
          <w:sz w:val="24"/>
        </w:rPr>
      </w:pPr>
      <w:r>
        <w:rPr>
          <w:sz w:val="24"/>
        </w:rPr>
        <w:t>都治：個案必須接受直接觀察預防治療(都治)，來確保治療成功率。</w:t>
      </w:r>
    </w:p>
    <w:p>
      <w:pPr>
        <w:pStyle w:val="ListParagraph"/>
        <w:numPr>
          <w:ilvl w:val="0"/>
          <w:numId w:val="126"/>
        </w:numPr>
        <w:tabs>
          <w:tab w:pos="1481" w:val="left" w:leader="none"/>
        </w:tabs>
        <w:spacing w:line="437" w:lineRule="exact" w:before="78" w:after="0"/>
        <w:ind w:left="1480" w:right="0" w:hanging="301"/>
        <w:jc w:val="left"/>
        <w:rPr>
          <w:sz w:val="24"/>
        </w:rPr>
      </w:pPr>
      <w:r>
        <w:rPr>
          <w:sz w:val="24"/>
        </w:rPr>
        <w:t>3HR</w:t>
      </w:r>
      <w:r>
        <w:rPr>
          <w:spacing w:val="-1"/>
          <w:sz w:val="24"/>
        </w:rPr>
        <w:t> (每日 </w:t>
      </w:r>
      <w:r>
        <w:rPr>
          <w:sz w:val="24"/>
        </w:rPr>
        <w:t>1 次 INH +RMP，共 90 次)</w:t>
      </w:r>
    </w:p>
    <w:p>
      <w:pPr>
        <w:pStyle w:val="ListParagraph"/>
        <w:numPr>
          <w:ilvl w:val="1"/>
          <w:numId w:val="127"/>
        </w:numPr>
        <w:tabs>
          <w:tab w:pos="1989" w:val="left" w:leader="none"/>
        </w:tabs>
        <w:spacing w:line="228" w:lineRule="auto" w:before="12" w:after="0"/>
        <w:ind w:left="1988" w:right="1363" w:hanging="510"/>
        <w:jc w:val="left"/>
        <w:rPr>
          <w:sz w:val="24"/>
        </w:rPr>
      </w:pPr>
      <w:r>
        <w:rPr>
          <w:spacing w:val="2"/>
          <w:sz w:val="24"/>
        </w:rPr>
        <w:t>使用對象：所有年齡層接觸者及高風險族群，有服用可能會產生交互作用藥</w:t>
      </w:r>
      <w:r>
        <w:rPr>
          <w:spacing w:val="3"/>
          <w:sz w:val="24"/>
        </w:rPr>
        <w:t>物者，使用要相對謹慎。</w:t>
      </w:r>
    </w:p>
    <w:p>
      <w:pPr>
        <w:pStyle w:val="ListParagraph"/>
        <w:numPr>
          <w:ilvl w:val="1"/>
          <w:numId w:val="127"/>
        </w:numPr>
        <w:tabs>
          <w:tab w:pos="1989" w:val="left" w:leader="none"/>
        </w:tabs>
        <w:spacing w:line="409" w:lineRule="exact" w:before="0" w:after="0"/>
        <w:ind w:left="1988" w:right="0" w:hanging="511"/>
        <w:jc w:val="left"/>
        <w:rPr>
          <w:sz w:val="24"/>
        </w:rPr>
      </w:pPr>
      <w:r>
        <w:rPr>
          <w:sz w:val="24"/>
        </w:rPr>
        <w:t>劑量頻率：</w:t>
      </w:r>
    </w:p>
    <w:p>
      <w:pPr>
        <w:pStyle w:val="ListParagraph"/>
        <w:numPr>
          <w:ilvl w:val="2"/>
          <w:numId w:val="127"/>
        </w:numPr>
        <w:tabs>
          <w:tab w:pos="2421" w:val="left" w:leader="none"/>
        </w:tabs>
        <w:spacing w:line="218" w:lineRule="auto" w:before="10" w:after="0"/>
        <w:ind w:left="2420" w:right="1313" w:hanging="398"/>
        <w:jc w:val="left"/>
        <w:rPr>
          <w:sz w:val="24"/>
        </w:rPr>
      </w:pPr>
      <w:r>
        <w:rPr>
          <w:spacing w:val="-8"/>
          <w:sz w:val="24"/>
        </w:rPr>
        <w:t>INH</w:t>
      </w:r>
      <w:r>
        <w:rPr>
          <w:spacing w:val="-3"/>
          <w:sz w:val="24"/>
        </w:rPr>
        <w:t>：在兒童的劑量為 </w:t>
      </w:r>
      <w:r>
        <w:rPr>
          <w:sz w:val="24"/>
        </w:rPr>
        <w:t>10mg/kg</w:t>
      </w:r>
      <w:r>
        <w:rPr>
          <w:spacing w:val="-10"/>
          <w:sz w:val="24"/>
        </w:rPr>
        <w:t> (</w:t>
      </w:r>
      <w:r>
        <w:rPr>
          <w:spacing w:val="-5"/>
          <w:sz w:val="24"/>
        </w:rPr>
        <w:t>7-15</w:t>
      </w:r>
      <w:r>
        <w:rPr>
          <w:spacing w:val="-3"/>
          <w:sz w:val="24"/>
        </w:rPr>
        <w:t>)，成人則為 </w:t>
      </w:r>
      <w:r>
        <w:rPr>
          <w:spacing w:val="-5"/>
          <w:sz w:val="24"/>
        </w:rPr>
        <w:t>5mg/kg，</w:t>
      </w:r>
      <w:r>
        <w:rPr>
          <w:sz w:val="24"/>
        </w:rPr>
        <w:t>每日 1</w:t>
      </w:r>
      <w:r>
        <w:rPr>
          <w:spacing w:val="-11"/>
          <w:sz w:val="24"/>
        </w:rPr>
        <w:t> 次， </w:t>
      </w:r>
      <w:r>
        <w:rPr>
          <w:spacing w:val="8"/>
          <w:sz w:val="24"/>
        </w:rPr>
        <w:t>每日最大劑量 </w:t>
      </w:r>
      <w:r>
        <w:rPr>
          <w:sz w:val="24"/>
        </w:rPr>
        <w:t>INH 300mg</w:t>
      </w:r>
    </w:p>
    <w:p>
      <w:pPr>
        <w:pStyle w:val="ListParagraph"/>
        <w:numPr>
          <w:ilvl w:val="2"/>
          <w:numId w:val="127"/>
        </w:numPr>
        <w:tabs>
          <w:tab w:pos="2421" w:val="left" w:leader="none"/>
        </w:tabs>
        <w:spacing w:line="391" w:lineRule="exact" w:before="0" w:after="0"/>
        <w:ind w:left="2420" w:right="0" w:hanging="398"/>
        <w:jc w:val="left"/>
        <w:rPr>
          <w:sz w:val="24"/>
        </w:rPr>
      </w:pPr>
      <w:r>
        <w:rPr>
          <w:sz w:val="24"/>
        </w:rPr>
        <w:t>RMP</w:t>
      </w:r>
      <w:r>
        <w:rPr>
          <w:spacing w:val="-1"/>
          <w:sz w:val="24"/>
        </w:rPr>
        <w:t>：在兒童的劑量為 </w:t>
      </w:r>
      <w:r>
        <w:rPr>
          <w:sz w:val="24"/>
        </w:rPr>
        <w:t>15mg/kg</w:t>
      </w:r>
      <w:r>
        <w:rPr>
          <w:spacing w:val="-2"/>
          <w:sz w:val="24"/>
        </w:rPr>
        <w:t> (</w:t>
      </w:r>
      <w:r>
        <w:rPr>
          <w:sz w:val="24"/>
        </w:rPr>
        <w:t>10-20)，成人則為 10mg/kg，</w:t>
      </w:r>
      <w:r>
        <w:rPr>
          <w:spacing w:val="-1"/>
          <w:sz w:val="24"/>
        </w:rPr>
        <w:t>每日 </w:t>
      </w:r>
      <w:r>
        <w:rPr>
          <w:sz w:val="24"/>
        </w:rPr>
        <w:t>1</w:t>
      </w:r>
    </w:p>
    <w:p>
      <w:pPr>
        <w:pStyle w:val="BodyText"/>
        <w:spacing w:line="409" w:lineRule="exact"/>
        <w:ind w:left="2420"/>
      </w:pPr>
      <w:r>
        <w:rPr/>
        <w:t>次，每日最大劑量 RMP 600mg</w:t>
      </w:r>
    </w:p>
    <w:p>
      <w:pPr>
        <w:pStyle w:val="ListParagraph"/>
        <w:numPr>
          <w:ilvl w:val="1"/>
          <w:numId w:val="127"/>
        </w:numPr>
        <w:tabs>
          <w:tab w:pos="1989" w:val="left" w:leader="none"/>
        </w:tabs>
        <w:spacing w:line="428" w:lineRule="exact" w:before="0" w:after="0"/>
        <w:ind w:left="1988" w:right="0" w:hanging="511"/>
        <w:jc w:val="left"/>
        <w:rPr>
          <w:sz w:val="24"/>
        </w:rPr>
      </w:pPr>
      <w:r>
        <w:rPr>
          <w:sz w:val="24"/>
        </w:rPr>
        <w:t>都治：個案必須接受直接觀察預防治療(都治)，來確保治療成功率。</w:t>
      </w:r>
    </w:p>
    <w:p>
      <w:pPr>
        <w:spacing w:after="0" w:line="428" w:lineRule="exact"/>
        <w:jc w:val="left"/>
        <w:rPr>
          <w:sz w:val="24"/>
        </w:rPr>
        <w:sectPr>
          <w:pgSz w:w="12250" w:h="17190"/>
          <w:pgMar w:header="0" w:footer="748" w:top="1500" w:bottom="1020" w:left="840" w:right="0"/>
        </w:sectPr>
      </w:pPr>
    </w:p>
    <w:p>
      <w:pPr>
        <w:pStyle w:val="ListParagraph"/>
        <w:numPr>
          <w:ilvl w:val="0"/>
          <w:numId w:val="126"/>
        </w:numPr>
        <w:tabs>
          <w:tab w:pos="1481" w:val="left" w:leader="none"/>
        </w:tabs>
        <w:spacing w:line="432" w:lineRule="exact" w:before="46" w:after="0"/>
        <w:ind w:left="1480" w:right="0" w:hanging="301"/>
        <w:jc w:val="both"/>
        <w:rPr>
          <w:sz w:val="24"/>
        </w:rPr>
      </w:pPr>
      <w:r>
        <w:rPr/>
        <w:pict>
          <v:group style="position:absolute;margin-left:573pt;margin-top:.44085pt;width:39.4pt;height:189.75pt;mso-position-horizontal-relative:page;mso-position-vertical-relative:paragraph;z-index:251862016" coordorigin="11460,9" coordsize="788,3795">
            <v:shape style="position:absolute;left:11460;top:8;width:788;height:3795" coordorigin="11460,9" coordsize="788,3795" path="m12247,9l11625,9,11561,22,11508,57,11473,110,11460,174,11460,3638,11473,3703,11508,3755,11561,3791,11625,3804,12247,3804,12247,9xe" filled="true" fillcolor="#a6a6a6" stroked="false">
              <v:path arrowok="t"/>
              <v:fill type="solid"/>
            </v:shape>
            <v:shape style="position:absolute;left:11460;top:8;width:788;height:3795" type="#_x0000_t202" filled="false" stroked="false">
              <v:textbox inset="0,0,0,0">
                <w:txbxContent>
                  <w:p>
                    <w:pPr>
                      <w:spacing w:line="146" w:lineRule="auto" w:before="126"/>
                      <w:ind w:left="136" w:right="428" w:firstLine="0"/>
                      <w:jc w:val="both"/>
                      <w:rPr>
                        <w:sz w:val="22"/>
                      </w:rPr>
                    </w:pPr>
                    <w:r>
                      <w:rPr>
                        <w:sz w:val="22"/>
                      </w:rPr>
                      <w:t>第十章</w:t>
                    </w:r>
                  </w:p>
                  <w:p>
                    <w:pPr>
                      <w:spacing w:line="141" w:lineRule="auto" w:before="235"/>
                      <w:ind w:left="136" w:right="428" w:firstLine="0"/>
                      <w:jc w:val="both"/>
                      <w:rPr>
                        <w:sz w:val="22"/>
                      </w:rPr>
                    </w:pPr>
                    <w:r>
                      <w:rPr>
                        <w:sz w:val="22"/>
                      </w:rPr>
                      <w:t>潛伏結核感染診斷與治療</w:t>
                    </w:r>
                  </w:p>
                </w:txbxContent>
              </v:textbox>
              <w10:wrap type="none"/>
            </v:shape>
            <w10:wrap type="none"/>
          </v:group>
        </w:pict>
      </w:r>
      <w:r>
        <w:rPr>
          <w:sz w:val="24"/>
        </w:rPr>
        <w:t>4R</w:t>
      </w:r>
      <w:r>
        <w:rPr>
          <w:spacing w:val="-1"/>
          <w:sz w:val="24"/>
        </w:rPr>
        <w:t> (每日 </w:t>
      </w:r>
      <w:r>
        <w:rPr>
          <w:sz w:val="24"/>
        </w:rPr>
        <w:t>1 次  RMP，共 120 次)</w:t>
      </w:r>
    </w:p>
    <w:p>
      <w:pPr>
        <w:pStyle w:val="ListParagraph"/>
        <w:numPr>
          <w:ilvl w:val="1"/>
          <w:numId w:val="128"/>
        </w:numPr>
        <w:tabs>
          <w:tab w:pos="1989" w:val="left" w:leader="none"/>
        </w:tabs>
        <w:spacing w:line="228" w:lineRule="auto" w:before="8" w:after="0"/>
        <w:ind w:left="1988" w:right="1361" w:hanging="510"/>
        <w:jc w:val="both"/>
        <w:rPr>
          <w:sz w:val="24"/>
        </w:rPr>
      </w:pPr>
      <w:r>
        <w:rPr>
          <w:spacing w:val="-12"/>
          <w:sz w:val="24"/>
        </w:rPr>
        <w:t>使用對象：所有年齡層接觸者及高風險族群，有服用可能會產生交互作用藥物</w:t>
      </w:r>
      <w:r>
        <w:rPr>
          <w:sz w:val="24"/>
        </w:rPr>
        <w:t>者，使用要相對謹慎。</w:t>
      </w:r>
    </w:p>
    <w:p>
      <w:pPr>
        <w:pStyle w:val="ListParagraph"/>
        <w:numPr>
          <w:ilvl w:val="1"/>
          <w:numId w:val="128"/>
        </w:numPr>
        <w:tabs>
          <w:tab w:pos="1989" w:val="left" w:leader="none"/>
        </w:tabs>
        <w:spacing w:line="416" w:lineRule="exact" w:before="0" w:after="0"/>
        <w:ind w:left="1988" w:right="0" w:hanging="511"/>
        <w:jc w:val="both"/>
        <w:rPr>
          <w:sz w:val="24"/>
        </w:rPr>
      </w:pPr>
      <w:r>
        <w:rPr>
          <w:spacing w:val="-4"/>
          <w:sz w:val="24"/>
        </w:rPr>
        <w:t>劑量頻率：在兒童的劑量為 </w:t>
      </w:r>
      <w:r>
        <w:rPr>
          <w:sz w:val="24"/>
        </w:rPr>
        <w:t>15mg/kg</w:t>
      </w:r>
      <w:r>
        <w:rPr>
          <w:spacing w:val="-9"/>
          <w:sz w:val="24"/>
        </w:rPr>
        <w:t> (</w:t>
      </w:r>
      <w:r>
        <w:rPr>
          <w:spacing w:val="-3"/>
          <w:sz w:val="24"/>
        </w:rPr>
        <w:t>10-20</w:t>
      </w:r>
      <w:r>
        <w:rPr>
          <w:spacing w:val="-2"/>
          <w:sz w:val="24"/>
        </w:rPr>
        <w:t>)，成人則為 </w:t>
      </w:r>
      <w:r>
        <w:rPr>
          <w:spacing w:val="-3"/>
          <w:sz w:val="24"/>
        </w:rPr>
        <w:t>10mg/kg</w:t>
      </w:r>
      <w:r>
        <w:rPr>
          <w:spacing w:val="-1"/>
          <w:sz w:val="24"/>
        </w:rPr>
        <w:t>，每日 </w:t>
      </w:r>
      <w:r>
        <w:rPr>
          <w:sz w:val="24"/>
        </w:rPr>
        <w:t>1</w:t>
      </w:r>
    </w:p>
    <w:p>
      <w:pPr>
        <w:pStyle w:val="BodyText"/>
        <w:spacing w:line="431" w:lineRule="exact"/>
        <w:ind w:left="1988"/>
        <w:jc w:val="both"/>
      </w:pPr>
      <w:r>
        <w:rPr/>
        <w:t>次，每日最大劑量 RMP 600mg</w:t>
      </w:r>
    </w:p>
    <w:p>
      <w:pPr>
        <w:pStyle w:val="ListParagraph"/>
        <w:numPr>
          <w:ilvl w:val="1"/>
          <w:numId w:val="128"/>
        </w:numPr>
        <w:tabs>
          <w:tab w:pos="1989" w:val="left" w:leader="none"/>
        </w:tabs>
        <w:spacing w:line="240" w:lineRule="auto" w:before="5" w:after="0"/>
        <w:ind w:left="1988" w:right="0" w:hanging="511"/>
        <w:jc w:val="both"/>
        <w:rPr>
          <w:sz w:val="22"/>
        </w:rPr>
      </w:pPr>
      <w:r>
        <w:rPr>
          <w:sz w:val="22"/>
        </w:rPr>
        <w:t>都治：個案必須接受直接觀察預防治療(都治)，來確保治療成功率。</w:t>
      </w:r>
    </w:p>
    <w:p>
      <w:pPr>
        <w:pStyle w:val="BodyText"/>
        <w:spacing w:line="431" w:lineRule="exact" w:before="61"/>
        <w:ind w:left="1180"/>
        <w:jc w:val="both"/>
      </w:pPr>
      <w:r>
        <w:rPr>
          <w:b/>
        </w:rPr>
        <w:t>4. </w:t>
      </w:r>
      <w:r>
        <w:rPr>
          <w:color w:val="C00000"/>
        </w:rPr>
        <w:t>6H/</w:t>
      </w:r>
      <w:r>
        <w:rPr/>
        <w:t>9H (每日 1 次  INH，共 </w:t>
      </w:r>
      <w:r>
        <w:rPr>
          <w:color w:val="C00000"/>
        </w:rPr>
        <w:t>180/</w:t>
      </w:r>
      <w:r>
        <w:rPr/>
        <w:t>270 次)</w:t>
      </w:r>
    </w:p>
    <w:p>
      <w:pPr>
        <w:pStyle w:val="ListParagraph"/>
        <w:numPr>
          <w:ilvl w:val="1"/>
          <w:numId w:val="129"/>
        </w:numPr>
        <w:tabs>
          <w:tab w:pos="1989" w:val="left" w:leader="none"/>
        </w:tabs>
        <w:spacing w:line="228" w:lineRule="auto" w:before="5" w:after="0"/>
        <w:ind w:left="1988" w:right="1358" w:hanging="510"/>
        <w:jc w:val="both"/>
        <w:rPr>
          <w:sz w:val="24"/>
        </w:rPr>
      </w:pPr>
      <w:r>
        <w:rPr>
          <w:spacing w:val="-10"/>
          <w:sz w:val="24"/>
        </w:rPr>
        <w:t>使用對象：適用於所有年齡層接觸者及高風險族群。</w:t>
      </w:r>
      <w:r>
        <w:rPr>
          <w:color w:val="C00000"/>
          <w:spacing w:val="-1"/>
          <w:sz w:val="24"/>
        </w:rPr>
        <w:t>目前仍欠缺足夠資料顯示</w:t>
      </w:r>
      <w:r>
        <w:rPr>
          <w:color w:val="C00000"/>
          <w:spacing w:val="1"/>
          <w:sz w:val="24"/>
        </w:rPr>
        <w:t>愛滋病毒感染控制與 </w:t>
      </w:r>
      <w:r>
        <w:rPr>
          <w:color w:val="C00000"/>
          <w:sz w:val="24"/>
        </w:rPr>
        <w:t>LTBI</w:t>
      </w:r>
      <w:r>
        <w:rPr>
          <w:color w:val="C00000"/>
          <w:spacing w:val="6"/>
          <w:sz w:val="24"/>
        </w:rPr>
        <w:t> 治療 </w:t>
      </w:r>
      <w:r>
        <w:rPr>
          <w:color w:val="C00000"/>
          <w:sz w:val="24"/>
        </w:rPr>
        <w:t>INH 長短的成效有關，TB 諮詢委員會的專家</w:t>
      </w:r>
      <w:r>
        <w:rPr>
          <w:color w:val="C00000"/>
          <w:spacing w:val="-25"/>
          <w:sz w:val="24"/>
        </w:rPr>
        <w:t>建議，</w:t>
      </w:r>
      <w:r>
        <w:rPr>
          <w:color w:val="C00000"/>
          <w:spacing w:val="-15"/>
          <w:sz w:val="24"/>
        </w:rPr>
        <w:t>HIV</w:t>
      </w:r>
      <w:r>
        <w:rPr>
          <w:color w:val="C00000"/>
          <w:spacing w:val="-7"/>
          <w:sz w:val="24"/>
        </w:rPr>
        <w:t> 感染者若病毒量控制不佳或免疫不全的病人，可考慮選擇較長的 9H </w:t>
      </w:r>
      <w:r>
        <w:rPr>
          <w:color w:val="C00000"/>
          <w:sz w:val="24"/>
        </w:rPr>
        <w:t>處方</w:t>
      </w:r>
      <w:r>
        <w:rPr>
          <w:sz w:val="24"/>
        </w:rPr>
        <w:t>。對於有慢性肝炎者，使用要相對謹慎。</w:t>
      </w:r>
    </w:p>
    <w:p>
      <w:pPr>
        <w:pStyle w:val="ListParagraph"/>
        <w:numPr>
          <w:ilvl w:val="1"/>
          <w:numId w:val="129"/>
        </w:numPr>
        <w:tabs>
          <w:tab w:pos="1989" w:val="left" w:leader="none"/>
        </w:tabs>
        <w:spacing w:line="228" w:lineRule="auto" w:before="3" w:after="0"/>
        <w:ind w:left="1988" w:right="1332" w:hanging="510"/>
        <w:jc w:val="both"/>
        <w:rPr>
          <w:sz w:val="24"/>
        </w:rPr>
      </w:pPr>
      <w:r>
        <w:rPr>
          <w:spacing w:val="-5"/>
          <w:sz w:val="24"/>
        </w:rPr>
        <w:t>劑量頻率：在兒童的劑量為 </w:t>
      </w:r>
      <w:r>
        <w:rPr>
          <w:spacing w:val="-4"/>
          <w:sz w:val="24"/>
        </w:rPr>
        <w:t>10mg/kg(7-15</w:t>
      </w:r>
      <w:r>
        <w:rPr>
          <w:sz w:val="24"/>
        </w:rPr>
        <w:t>)，成人則為 </w:t>
      </w:r>
      <w:r>
        <w:rPr>
          <w:spacing w:val="-9"/>
          <w:sz w:val="24"/>
        </w:rPr>
        <w:t>5mg/kg</w:t>
      </w:r>
      <w:r>
        <w:rPr>
          <w:spacing w:val="-1"/>
          <w:sz w:val="24"/>
        </w:rPr>
        <w:t>，每日 </w:t>
      </w:r>
      <w:r>
        <w:rPr>
          <w:sz w:val="24"/>
        </w:rPr>
        <w:t>1</w:t>
      </w:r>
      <w:r>
        <w:rPr>
          <w:spacing w:val="-23"/>
          <w:sz w:val="24"/>
        </w:rPr>
        <w:t> 次， </w:t>
      </w:r>
      <w:r>
        <w:rPr>
          <w:spacing w:val="-1"/>
          <w:sz w:val="24"/>
        </w:rPr>
        <w:t>每日最大劑量 </w:t>
      </w:r>
      <w:r>
        <w:rPr>
          <w:sz w:val="24"/>
        </w:rPr>
        <w:t>INH 300mg</w:t>
      </w:r>
    </w:p>
    <w:p>
      <w:pPr>
        <w:pStyle w:val="ListParagraph"/>
        <w:numPr>
          <w:ilvl w:val="1"/>
          <w:numId w:val="129"/>
        </w:numPr>
        <w:tabs>
          <w:tab w:pos="1989" w:val="left" w:leader="none"/>
        </w:tabs>
        <w:spacing w:line="427" w:lineRule="exact" w:before="0" w:after="0"/>
        <w:ind w:left="1988" w:right="0" w:hanging="511"/>
        <w:jc w:val="both"/>
        <w:rPr>
          <w:sz w:val="24"/>
        </w:rPr>
      </w:pPr>
      <w:r>
        <w:rPr>
          <w:spacing w:val="-6"/>
          <w:sz w:val="24"/>
        </w:rPr>
        <w:t>都治：鼓勵個案接受直接觀察預防治療(都治)，以提高治療成功率及完成率。</w:t>
      </w:r>
    </w:p>
    <w:p>
      <w:pPr>
        <w:pStyle w:val="ListParagraph"/>
        <w:numPr>
          <w:ilvl w:val="0"/>
          <w:numId w:val="130"/>
        </w:numPr>
        <w:tabs>
          <w:tab w:pos="1486" w:val="left" w:leader="none"/>
        </w:tabs>
        <w:spacing w:line="423" w:lineRule="exact" w:before="67" w:after="0"/>
        <w:ind w:left="1485" w:right="0" w:hanging="306"/>
        <w:jc w:val="both"/>
        <w:rPr>
          <w:sz w:val="24"/>
        </w:rPr>
      </w:pPr>
      <w:r>
        <w:rPr>
          <w:sz w:val="24"/>
        </w:rPr>
        <w:t>1HP</w:t>
      </w:r>
      <w:r>
        <w:rPr>
          <w:spacing w:val="1"/>
          <w:sz w:val="24"/>
        </w:rPr>
        <w:t> (每日 </w:t>
      </w:r>
      <w:r>
        <w:rPr>
          <w:sz w:val="24"/>
        </w:rPr>
        <w:t>1</w:t>
      </w:r>
      <w:r>
        <w:rPr>
          <w:spacing w:val="2"/>
          <w:sz w:val="24"/>
        </w:rPr>
        <w:t> 次 </w:t>
      </w:r>
      <w:r>
        <w:rPr>
          <w:sz w:val="24"/>
        </w:rPr>
        <w:t>INH+RPT</w:t>
      </w:r>
      <w:r>
        <w:rPr>
          <w:spacing w:val="2"/>
          <w:sz w:val="24"/>
        </w:rPr>
        <w:t>，共 </w:t>
      </w:r>
      <w:r>
        <w:rPr>
          <w:sz w:val="24"/>
        </w:rPr>
        <w:t>28</w:t>
      </w:r>
      <w:r>
        <w:rPr>
          <w:spacing w:val="2"/>
          <w:sz w:val="24"/>
        </w:rPr>
        <w:t> 次)</w:t>
      </w:r>
    </w:p>
    <w:p>
      <w:pPr>
        <w:pStyle w:val="ListParagraph"/>
        <w:numPr>
          <w:ilvl w:val="1"/>
          <w:numId w:val="130"/>
        </w:numPr>
        <w:tabs>
          <w:tab w:pos="1899" w:val="left" w:leader="none"/>
        </w:tabs>
        <w:spacing w:line="225" w:lineRule="auto" w:before="2" w:after="0"/>
        <w:ind w:left="1484" w:right="1514" w:firstLine="0"/>
        <w:jc w:val="left"/>
        <w:rPr>
          <w:sz w:val="24"/>
        </w:rPr>
      </w:pPr>
      <w:r>
        <w:rPr>
          <w:sz w:val="24"/>
        </w:rPr>
        <w:t>使用對象：</w:t>
      </w:r>
      <w:r>
        <w:rPr>
          <w:color w:val="C00000"/>
          <w:sz w:val="24"/>
        </w:rPr>
        <w:t>推薦</w:t>
      </w:r>
      <w:r>
        <w:rPr>
          <w:spacing w:val="-1"/>
          <w:sz w:val="24"/>
        </w:rPr>
        <w:t>使用於 </w:t>
      </w:r>
      <w:r>
        <w:rPr>
          <w:sz w:val="24"/>
        </w:rPr>
        <w:t>13</w:t>
      </w:r>
      <w:r>
        <w:rPr>
          <w:spacing w:val="-1"/>
          <w:sz w:val="24"/>
        </w:rPr>
        <w:t> 歲(含)以上之</w:t>
      </w:r>
      <w:r>
        <w:rPr>
          <w:color w:val="C00000"/>
          <w:sz w:val="24"/>
        </w:rPr>
        <w:t>接觸者</w:t>
      </w:r>
      <w:r>
        <w:rPr>
          <w:sz w:val="24"/>
        </w:rPr>
        <w:t>及</w:t>
      </w:r>
      <w:r>
        <w:rPr>
          <w:color w:val="C00000"/>
          <w:spacing w:val="-2"/>
          <w:sz w:val="24"/>
        </w:rPr>
        <w:t>高風險族群，但目前不建議</w:t>
      </w:r>
      <w:r>
        <w:rPr>
          <w:color w:val="C00000"/>
          <w:sz w:val="24"/>
        </w:rPr>
        <w:t>孕婦使用，有服用可能會產生交互作用藥物者，使用要相對謹慎。</w:t>
      </w:r>
    </w:p>
    <w:p>
      <w:pPr>
        <w:pStyle w:val="ListParagraph"/>
        <w:numPr>
          <w:ilvl w:val="1"/>
          <w:numId w:val="130"/>
        </w:numPr>
        <w:tabs>
          <w:tab w:pos="1989" w:val="left" w:leader="none"/>
        </w:tabs>
        <w:spacing w:line="431" w:lineRule="exact" w:before="10" w:after="0"/>
        <w:ind w:left="1988" w:right="0" w:hanging="511"/>
        <w:jc w:val="left"/>
        <w:rPr>
          <w:sz w:val="24"/>
        </w:rPr>
      </w:pPr>
      <w:r>
        <w:rPr>
          <w:spacing w:val="2"/>
          <w:sz w:val="24"/>
        </w:rPr>
        <w:t>劑量頻率：</w:t>
      </w:r>
    </w:p>
    <w:p>
      <w:pPr>
        <w:pStyle w:val="ListParagraph"/>
        <w:numPr>
          <w:ilvl w:val="2"/>
          <w:numId w:val="130"/>
        </w:numPr>
        <w:tabs>
          <w:tab w:pos="2403" w:val="left" w:leader="none"/>
        </w:tabs>
        <w:spacing w:line="420" w:lineRule="exact" w:before="0" w:after="0"/>
        <w:ind w:left="2402" w:right="0" w:hanging="395"/>
        <w:jc w:val="left"/>
        <w:rPr>
          <w:sz w:val="24"/>
        </w:rPr>
      </w:pPr>
      <w:r>
        <w:rPr>
          <w:sz w:val="24"/>
        </w:rPr>
        <w:t>INH</w:t>
      </w:r>
      <w:r>
        <w:rPr>
          <w:spacing w:val="2"/>
          <w:sz w:val="24"/>
        </w:rPr>
        <w:t> 每天 </w:t>
      </w:r>
      <w:r>
        <w:rPr>
          <w:sz w:val="24"/>
        </w:rPr>
        <w:t>1</w:t>
      </w:r>
      <w:r>
        <w:rPr>
          <w:spacing w:val="2"/>
          <w:sz w:val="24"/>
        </w:rPr>
        <w:t> 次，</w:t>
      </w:r>
      <w:r>
        <w:rPr>
          <w:sz w:val="24"/>
        </w:rPr>
        <w:t>300mg</w:t>
      </w:r>
      <w:r>
        <w:rPr>
          <w:spacing w:val="3"/>
          <w:sz w:val="24"/>
        </w:rPr>
        <w:t> (</w:t>
      </w:r>
      <w:r>
        <w:rPr>
          <w:sz w:val="24"/>
        </w:rPr>
        <w:t>100mg</w:t>
      </w:r>
      <w:r>
        <w:rPr>
          <w:spacing w:val="2"/>
          <w:sz w:val="24"/>
        </w:rPr>
        <w:t> 及 </w:t>
      </w:r>
      <w:r>
        <w:rPr>
          <w:sz w:val="24"/>
        </w:rPr>
        <w:t>300mg</w:t>
      </w:r>
      <w:r>
        <w:rPr>
          <w:spacing w:val="5"/>
          <w:sz w:val="24"/>
        </w:rPr>
        <w:t> </w:t>
      </w:r>
      <w:r>
        <w:rPr>
          <w:sz w:val="24"/>
        </w:rPr>
        <w:t>2</w:t>
      </w:r>
      <w:r>
        <w:rPr>
          <w:spacing w:val="1"/>
          <w:sz w:val="24"/>
        </w:rPr>
        <w:t> 種劑型)</w:t>
      </w:r>
    </w:p>
    <w:p>
      <w:pPr>
        <w:pStyle w:val="ListParagraph"/>
        <w:numPr>
          <w:ilvl w:val="2"/>
          <w:numId w:val="130"/>
        </w:numPr>
        <w:tabs>
          <w:tab w:pos="2403" w:val="left" w:leader="none"/>
        </w:tabs>
        <w:spacing w:line="420" w:lineRule="exact" w:before="0" w:after="0"/>
        <w:ind w:left="2402" w:right="0" w:hanging="395"/>
        <w:jc w:val="left"/>
        <w:rPr>
          <w:sz w:val="24"/>
        </w:rPr>
      </w:pPr>
      <w:r>
        <w:rPr>
          <w:sz w:val="24"/>
        </w:rPr>
        <w:t>RPT</w:t>
      </w:r>
      <w:r>
        <w:rPr>
          <w:spacing w:val="3"/>
          <w:sz w:val="24"/>
        </w:rPr>
        <w:t> ( </w:t>
      </w:r>
      <w:r>
        <w:rPr>
          <w:sz w:val="24"/>
        </w:rPr>
        <w:t>150mg</w:t>
      </w:r>
      <w:r>
        <w:rPr>
          <w:spacing w:val="1"/>
          <w:sz w:val="24"/>
        </w:rPr>
        <w:t> 劑型)依照體重來算劑量，每天 </w:t>
      </w:r>
      <w:r>
        <w:rPr>
          <w:sz w:val="24"/>
        </w:rPr>
        <w:t>1</w:t>
      </w:r>
      <w:r>
        <w:rPr>
          <w:spacing w:val="2"/>
          <w:sz w:val="24"/>
        </w:rPr>
        <w:t> 次，最大劑量 </w:t>
      </w:r>
      <w:r>
        <w:rPr>
          <w:sz w:val="24"/>
        </w:rPr>
        <w:t>600mg</w:t>
      </w:r>
    </w:p>
    <w:p>
      <w:pPr>
        <w:pStyle w:val="BodyText"/>
        <w:spacing w:line="420" w:lineRule="exact"/>
        <w:ind w:left="2379"/>
      </w:pPr>
      <w:r>
        <w:rPr/>
        <w:t>A. &lt;35 kg 300 mg</w:t>
      </w:r>
    </w:p>
    <w:p>
      <w:pPr>
        <w:pStyle w:val="BodyText"/>
        <w:spacing w:line="420" w:lineRule="exact"/>
        <w:ind w:left="2422"/>
      </w:pPr>
      <w:r>
        <w:rPr/>
        <w:t>B. 35-45 kg 450 mg</w:t>
      </w:r>
    </w:p>
    <w:p>
      <w:pPr>
        <w:pStyle w:val="BodyText"/>
        <w:spacing w:line="428" w:lineRule="exact"/>
        <w:ind w:left="2422"/>
      </w:pPr>
      <w:r>
        <w:rPr/>
        <w:t>C. </w:t>
      </w:r>
      <w:r>
        <w:rPr>
          <w:rFonts w:ascii="Arial" w:hAnsi="Arial"/>
        </w:rPr>
        <w:t>≥</w:t>
      </w:r>
      <w:r>
        <w:rPr/>
        <w:t>45 kg 600 mg</w:t>
      </w:r>
    </w:p>
    <w:p>
      <w:pPr>
        <w:pStyle w:val="ListParagraph"/>
        <w:numPr>
          <w:ilvl w:val="1"/>
          <w:numId w:val="130"/>
        </w:numPr>
        <w:tabs>
          <w:tab w:pos="1989" w:val="left" w:leader="none"/>
        </w:tabs>
        <w:spacing w:line="439" w:lineRule="exact" w:before="0" w:after="0"/>
        <w:ind w:left="1988" w:right="0" w:hanging="511"/>
        <w:jc w:val="left"/>
        <w:rPr>
          <w:sz w:val="24"/>
        </w:rPr>
      </w:pPr>
      <w:r>
        <w:rPr>
          <w:spacing w:val="1"/>
          <w:sz w:val="24"/>
        </w:rPr>
        <w:t>都治：個案必須接受直接觀察預防治療(都治)，來確保治療成功率。</w:t>
      </w:r>
    </w:p>
    <w:p>
      <w:pPr>
        <w:pStyle w:val="ListParagraph"/>
        <w:numPr>
          <w:ilvl w:val="0"/>
          <w:numId w:val="130"/>
        </w:numPr>
        <w:tabs>
          <w:tab w:pos="1486" w:val="left" w:leader="none"/>
        </w:tabs>
        <w:spacing w:line="423" w:lineRule="exact" w:before="71" w:after="0"/>
        <w:ind w:left="1485" w:right="0" w:hanging="306"/>
        <w:jc w:val="left"/>
        <w:rPr>
          <w:color w:val="C00000"/>
          <w:sz w:val="24"/>
        </w:rPr>
      </w:pPr>
      <w:r>
        <w:rPr>
          <w:color w:val="C00000"/>
          <w:sz w:val="24"/>
        </w:rPr>
        <w:t>9FQ（</w:t>
      </w:r>
      <w:r>
        <w:rPr>
          <w:color w:val="C00000"/>
          <w:spacing w:val="2"/>
          <w:sz w:val="24"/>
        </w:rPr>
        <w:t>每日１次 </w:t>
      </w:r>
      <w:r>
        <w:rPr>
          <w:color w:val="C00000"/>
          <w:sz w:val="24"/>
        </w:rPr>
        <w:t>LFX</w:t>
      </w:r>
      <w:r>
        <w:rPr>
          <w:color w:val="C00000"/>
          <w:spacing w:val="3"/>
          <w:sz w:val="24"/>
        </w:rPr>
        <w:t> 或 </w:t>
      </w:r>
      <w:r>
        <w:rPr>
          <w:color w:val="C00000"/>
          <w:sz w:val="24"/>
        </w:rPr>
        <w:t>MFX</w:t>
      </w:r>
      <w:r>
        <w:rPr>
          <w:color w:val="C00000"/>
          <w:spacing w:val="2"/>
          <w:sz w:val="24"/>
        </w:rPr>
        <w:t>，共 </w:t>
      </w:r>
      <w:r>
        <w:rPr>
          <w:color w:val="C00000"/>
          <w:sz w:val="24"/>
        </w:rPr>
        <w:t>270</w:t>
      </w:r>
      <w:r>
        <w:rPr>
          <w:color w:val="C00000"/>
          <w:spacing w:val="3"/>
          <w:sz w:val="24"/>
        </w:rPr>
        <w:t> 次</w:t>
      </w:r>
      <w:r>
        <w:rPr>
          <w:color w:val="C00000"/>
          <w:spacing w:val="4"/>
          <w:sz w:val="24"/>
        </w:rPr>
        <w:t>）</w:t>
      </w:r>
      <w:r>
        <w:rPr>
          <w:color w:val="C00000"/>
          <w:sz w:val="24"/>
        </w:rPr>
        <w:t>本處方限 TMTC 團隊提供治療。</w:t>
      </w:r>
    </w:p>
    <w:p>
      <w:pPr>
        <w:pStyle w:val="ListParagraph"/>
        <w:numPr>
          <w:ilvl w:val="1"/>
          <w:numId w:val="131"/>
        </w:numPr>
        <w:tabs>
          <w:tab w:pos="1899" w:val="left" w:leader="none"/>
        </w:tabs>
        <w:spacing w:line="225" w:lineRule="auto" w:before="1" w:after="0"/>
        <w:ind w:left="1484" w:right="1586" w:firstLine="0"/>
        <w:jc w:val="left"/>
        <w:rPr>
          <w:sz w:val="24"/>
        </w:rPr>
      </w:pPr>
      <w:r>
        <w:rPr>
          <w:color w:val="C00000"/>
          <w:spacing w:val="-1"/>
          <w:sz w:val="24"/>
        </w:rPr>
        <w:t>使用對象：接觸者之指標個案無 </w:t>
      </w:r>
      <w:r>
        <w:rPr>
          <w:color w:val="C00000"/>
          <w:sz w:val="24"/>
        </w:rPr>
        <w:t>fluoroquinolone</w:t>
      </w:r>
      <w:r>
        <w:rPr>
          <w:color w:val="C00000"/>
          <w:spacing w:val="-1"/>
          <w:sz w:val="24"/>
        </w:rPr>
        <w:t> (</w:t>
      </w:r>
      <w:r>
        <w:rPr>
          <w:color w:val="C00000"/>
          <w:sz w:val="24"/>
        </w:rPr>
        <w:t>levofloxacin 或moxifloxacin</w:t>
      </w:r>
      <w:r>
        <w:rPr>
          <w:color w:val="C00000"/>
          <w:spacing w:val="-1"/>
          <w:sz w:val="24"/>
        </w:rPr>
        <w:t>)抗藥之 </w:t>
      </w:r>
      <w:r>
        <w:rPr>
          <w:color w:val="C00000"/>
          <w:sz w:val="24"/>
        </w:rPr>
        <w:t>MDR-TB</w:t>
      </w:r>
      <w:r>
        <w:rPr>
          <w:color w:val="C00000"/>
          <w:spacing w:val="-2"/>
          <w:sz w:val="24"/>
        </w:rPr>
        <w:t> 個案。有服用可能會產生交互作用藥物者，使用要相對謹慎。</w:t>
      </w:r>
    </w:p>
    <w:p>
      <w:pPr>
        <w:pStyle w:val="ListParagraph"/>
        <w:numPr>
          <w:ilvl w:val="1"/>
          <w:numId w:val="131"/>
        </w:numPr>
        <w:tabs>
          <w:tab w:pos="1989" w:val="left" w:leader="none"/>
        </w:tabs>
        <w:spacing w:line="431" w:lineRule="exact" w:before="11" w:after="0"/>
        <w:ind w:left="1988" w:right="0" w:hanging="511"/>
        <w:jc w:val="left"/>
        <w:rPr>
          <w:sz w:val="24"/>
        </w:rPr>
      </w:pPr>
      <w:r>
        <w:rPr>
          <w:color w:val="C00000"/>
          <w:spacing w:val="28"/>
          <w:sz w:val="24"/>
        </w:rPr>
        <w:t>劑量頻率： 處方以 </w:t>
      </w:r>
      <w:r>
        <w:rPr>
          <w:color w:val="C00000"/>
          <w:sz w:val="24"/>
        </w:rPr>
        <w:t>FQ</w:t>
      </w:r>
      <w:r>
        <w:rPr>
          <w:color w:val="C00000"/>
          <w:spacing w:val="6"/>
          <w:sz w:val="24"/>
        </w:rPr>
        <w:t> (</w:t>
      </w:r>
      <w:r>
        <w:rPr>
          <w:color w:val="C00000"/>
          <w:sz w:val="24"/>
        </w:rPr>
        <w:t>LFX</w:t>
      </w:r>
      <w:r>
        <w:rPr>
          <w:color w:val="C00000"/>
          <w:spacing w:val="29"/>
          <w:sz w:val="24"/>
        </w:rPr>
        <w:t> 或 </w:t>
      </w:r>
      <w:r>
        <w:rPr>
          <w:color w:val="C00000"/>
          <w:sz w:val="24"/>
        </w:rPr>
        <w:t>MFX</w:t>
      </w:r>
      <w:r>
        <w:rPr>
          <w:color w:val="C00000"/>
          <w:spacing w:val="25"/>
          <w:sz w:val="24"/>
        </w:rPr>
        <w:t>) 單方或合併其他一種藥物( 如</w:t>
      </w:r>
    </w:p>
    <w:p>
      <w:pPr>
        <w:pStyle w:val="BodyText"/>
        <w:spacing w:line="405" w:lineRule="exact"/>
        <w:ind w:left="1988"/>
      </w:pPr>
      <w:r>
        <w:rPr>
          <w:color w:val="C00000"/>
        </w:rPr>
        <w:t>ethambutol、prothionamide、cycloserine)治療</w:t>
      </w:r>
    </w:p>
    <w:p>
      <w:pPr>
        <w:pStyle w:val="ListParagraph"/>
        <w:numPr>
          <w:ilvl w:val="2"/>
          <w:numId w:val="131"/>
        </w:numPr>
        <w:tabs>
          <w:tab w:pos="2420" w:val="left" w:leader="none"/>
        </w:tabs>
        <w:spacing w:line="225" w:lineRule="auto" w:before="0" w:after="0"/>
        <w:ind w:left="2419" w:right="2574" w:hanging="480"/>
        <w:jc w:val="left"/>
        <w:rPr>
          <w:sz w:val="24"/>
        </w:rPr>
      </w:pPr>
      <w:r>
        <w:rPr>
          <w:color w:val="C00000"/>
          <w:sz w:val="24"/>
        </w:rPr>
        <w:t>levofloxacin(LFX</w:t>
      </w:r>
      <w:r>
        <w:rPr>
          <w:color w:val="C00000"/>
          <w:spacing w:val="2"/>
          <w:sz w:val="24"/>
        </w:rPr>
        <w:t>)劑量建議為 </w:t>
      </w:r>
      <w:r>
        <w:rPr>
          <w:color w:val="C00000"/>
          <w:sz w:val="24"/>
        </w:rPr>
        <w:t>15-20</w:t>
      </w:r>
      <w:r>
        <w:rPr>
          <w:color w:val="C00000"/>
          <w:spacing w:val="20"/>
          <w:sz w:val="24"/>
        </w:rPr>
        <w:t> </w:t>
      </w:r>
      <w:r>
        <w:rPr>
          <w:color w:val="C00000"/>
          <w:sz w:val="24"/>
        </w:rPr>
        <w:t>mg/kg，每日最大劑量1000mg</w:t>
      </w:r>
      <w:r>
        <w:rPr>
          <w:color w:val="C00000"/>
          <w:spacing w:val="2"/>
          <w:sz w:val="24"/>
        </w:rPr>
        <w:t>，兒童依體重調整劑量</w:t>
      </w:r>
    </w:p>
    <w:p>
      <w:pPr>
        <w:pStyle w:val="ListParagraph"/>
        <w:numPr>
          <w:ilvl w:val="2"/>
          <w:numId w:val="131"/>
        </w:numPr>
        <w:tabs>
          <w:tab w:pos="2420" w:val="left" w:leader="none"/>
        </w:tabs>
        <w:spacing w:line="431" w:lineRule="exact" w:before="5" w:after="0"/>
        <w:ind w:left="2419" w:right="0" w:hanging="481"/>
        <w:jc w:val="left"/>
        <w:rPr>
          <w:sz w:val="24"/>
        </w:rPr>
      </w:pPr>
      <w:r>
        <w:rPr>
          <w:color w:val="C00000"/>
          <w:sz w:val="24"/>
        </w:rPr>
        <w:t>moxifloxacin(MFX</w:t>
      </w:r>
      <w:r>
        <w:rPr>
          <w:color w:val="C00000"/>
          <w:spacing w:val="3"/>
          <w:sz w:val="24"/>
        </w:rPr>
        <w:t>) 成人 </w:t>
      </w:r>
      <w:r>
        <w:rPr>
          <w:color w:val="C00000"/>
          <w:sz w:val="24"/>
        </w:rPr>
        <w:t>400mg</w:t>
      </w:r>
      <w:r>
        <w:rPr>
          <w:color w:val="C00000"/>
          <w:spacing w:val="1"/>
          <w:sz w:val="24"/>
        </w:rPr>
        <w:t>，兒童 </w:t>
      </w:r>
      <w:r>
        <w:rPr>
          <w:color w:val="C00000"/>
          <w:sz w:val="24"/>
        </w:rPr>
        <w:t>10-15mg/kg</w:t>
      </w:r>
    </w:p>
    <w:p>
      <w:pPr>
        <w:pStyle w:val="ListParagraph"/>
        <w:numPr>
          <w:ilvl w:val="1"/>
          <w:numId w:val="131"/>
        </w:numPr>
        <w:tabs>
          <w:tab w:pos="1797" w:val="left" w:leader="none"/>
        </w:tabs>
        <w:spacing w:line="431" w:lineRule="exact" w:before="0" w:after="0"/>
        <w:ind w:left="1796" w:right="0" w:hanging="426"/>
        <w:jc w:val="left"/>
        <w:rPr>
          <w:sz w:val="24"/>
        </w:rPr>
      </w:pPr>
      <w:r>
        <w:rPr>
          <w:color w:val="C00000"/>
          <w:spacing w:val="1"/>
          <w:sz w:val="24"/>
        </w:rPr>
        <w:t>都治：個案必須接受直接觀察預防治療(都治)，來確保治療成功率。</w:t>
      </w:r>
    </w:p>
    <w:p>
      <w:pPr>
        <w:spacing w:after="0" w:line="431" w:lineRule="exact"/>
        <w:jc w:val="left"/>
        <w:rPr>
          <w:sz w:val="24"/>
        </w:rPr>
        <w:sectPr>
          <w:pgSz w:w="12250" w:h="17190"/>
          <w:pgMar w:header="0" w:footer="748" w:top="1460" w:bottom="1020" w:left="840" w:right="0"/>
        </w:sectPr>
      </w:pPr>
    </w:p>
    <w:p>
      <w:pPr>
        <w:pStyle w:val="BodyText"/>
        <w:spacing w:before="9"/>
        <w:rPr>
          <w:sz w:val="17"/>
        </w:rPr>
      </w:pPr>
    </w:p>
    <w:p>
      <w:pPr>
        <w:pStyle w:val="Heading7"/>
        <w:spacing w:before="39"/>
        <w:ind w:left="575"/>
        <w:jc w:val="left"/>
      </w:pPr>
      <w:r>
        <w:rPr/>
        <w:t>LTBI 治療處方一覽表</w:t>
      </w:r>
    </w:p>
    <w:tbl>
      <w:tblPr>
        <w:tblW w:w="0" w:type="auto"/>
        <w:jc w:val="left"/>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7"/>
        <w:gridCol w:w="1021"/>
        <w:gridCol w:w="927"/>
        <w:gridCol w:w="739"/>
        <w:gridCol w:w="812"/>
        <w:gridCol w:w="5440"/>
      </w:tblGrid>
      <w:tr>
        <w:trPr>
          <w:trHeight w:val="432" w:hRule="atLeast"/>
        </w:trPr>
        <w:tc>
          <w:tcPr>
            <w:tcW w:w="977" w:type="dxa"/>
            <w:shd w:val="clear" w:color="auto" w:fill="F1F1F1"/>
          </w:tcPr>
          <w:p>
            <w:pPr>
              <w:pStyle w:val="TableParagraph"/>
              <w:spacing w:line="413" w:lineRule="exact"/>
              <w:ind w:left="95" w:right="86"/>
              <w:jc w:val="center"/>
              <w:rPr>
                <w:sz w:val="24"/>
              </w:rPr>
            </w:pPr>
            <w:r>
              <w:rPr>
                <w:sz w:val="24"/>
              </w:rPr>
              <w:t>處方</w:t>
            </w:r>
          </w:p>
        </w:tc>
        <w:tc>
          <w:tcPr>
            <w:tcW w:w="1021" w:type="dxa"/>
            <w:shd w:val="clear" w:color="auto" w:fill="F1F1F1"/>
          </w:tcPr>
          <w:p>
            <w:pPr>
              <w:pStyle w:val="TableParagraph"/>
              <w:spacing w:line="413" w:lineRule="exact"/>
              <w:ind w:left="150" w:right="140"/>
              <w:jc w:val="center"/>
              <w:rPr>
                <w:sz w:val="24"/>
              </w:rPr>
            </w:pPr>
            <w:r>
              <w:rPr>
                <w:sz w:val="24"/>
              </w:rPr>
              <w:t>療程</w:t>
            </w:r>
          </w:p>
        </w:tc>
        <w:tc>
          <w:tcPr>
            <w:tcW w:w="927" w:type="dxa"/>
            <w:shd w:val="clear" w:color="auto" w:fill="F1F1F1"/>
          </w:tcPr>
          <w:p>
            <w:pPr>
              <w:pStyle w:val="TableParagraph"/>
              <w:spacing w:line="413" w:lineRule="exact"/>
              <w:ind w:left="222"/>
              <w:rPr>
                <w:sz w:val="24"/>
              </w:rPr>
            </w:pPr>
            <w:r>
              <w:rPr>
                <w:sz w:val="24"/>
              </w:rPr>
              <w:t>頻率</w:t>
            </w:r>
          </w:p>
        </w:tc>
        <w:tc>
          <w:tcPr>
            <w:tcW w:w="739" w:type="dxa"/>
            <w:shd w:val="clear" w:color="auto" w:fill="F1F1F1"/>
          </w:tcPr>
          <w:p>
            <w:pPr>
              <w:pStyle w:val="TableParagraph"/>
              <w:spacing w:line="413" w:lineRule="exact"/>
              <w:ind w:left="110" w:right="99"/>
              <w:jc w:val="center"/>
              <w:rPr>
                <w:sz w:val="24"/>
              </w:rPr>
            </w:pPr>
            <w:r>
              <w:rPr>
                <w:sz w:val="24"/>
              </w:rPr>
              <w:t>劑次</w:t>
            </w:r>
          </w:p>
        </w:tc>
        <w:tc>
          <w:tcPr>
            <w:tcW w:w="812" w:type="dxa"/>
            <w:shd w:val="clear" w:color="auto" w:fill="F1F1F1"/>
          </w:tcPr>
          <w:p>
            <w:pPr>
              <w:pStyle w:val="TableParagraph"/>
              <w:spacing w:line="413" w:lineRule="exact"/>
              <w:ind w:left="167"/>
              <w:rPr>
                <w:sz w:val="24"/>
              </w:rPr>
            </w:pPr>
            <w:r>
              <w:rPr>
                <w:sz w:val="24"/>
              </w:rPr>
              <w:t>都治</w:t>
            </w:r>
          </w:p>
        </w:tc>
        <w:tc>
          <w:tcPr>
            <w:tcW w:w="5440" w:type="dxa"/>
            <w:shd w:val="clear" w:color="auto" w:fill="F1F1F1"/>
          </w:tcPr>
          <w:p>
            <w:pPr>
              <w:pStyle w:val="TableParagraph"/>
              <w:spacing w:line="413" w:lineRule="exact"/>
              <w:ind w:left="2461" w:right="2449"/>
              <w:jc w:val="center"/>
              <w:rPr>
                <w:sz w:val="24"/>
              </w:rPr>
            </w:pPr>
            <w:r>
              <w:rPr>
                <w:sz w:val="24"/>
              </w:rPr>
              <w:t>劑量</w:t>
            </w:r>
          </w:p>
        </w:tc>
      </w:tr>
      <w:tr>
        <w:trPr>
          <w:trHeight w:val="1171" w:hRule="atLeast"/>
        </w:trPr>
        <w:tc>
          <w:tcPr>
            <w:tcW w:w="977" w:type="dxa"/>
            <w:vMerge w:val="restart"/>
          </w:tcPr>
          <w:p>
            <w:pPr>
              <w:pStyle w:val="TableParagraph"/>
              <w:rPr>
                <w:b/>
                <w:sz w:val="34"/>
              </w:rPr>
            </w:pPr>
          </w:p>
          <w:p>
            <w:pPr>
              <w:pStyle w:val="TableParagraph"/>
              <w:spacing w:before="14"/>
              <w:rPr>
                <w:b/>
                <w:sz w:val="48"/>
              </w:rPr>
            </w:pPr>
          </w:p>
          <w:p>
            <w:pPr>
              <w:pStyle w:val="TableParagraph"/>
              <w:ind w:left="219"/>
              <w:rPr>
                <w:sz w:val="16"/>
              </w:rPr>
            </w:pPr>
            <w:r>
              <w:rPr>
                <w:sz w:val="24"/>
              </w:rPr>
              <w:t>3HP</w:t>
            </w:r>
            <w:r>
              <w:rPr>
                <w:position w:val="11"/>
                <w:sz w:val="16"/>
              </w:rPr>
              <w:t>*</w:t>
            </w:r>
          </w:p>
        </w:tc>
        <w:tc>
          <w:tcPr>
            <w:tcW w:w="1021" w:type="dxa"/>
            <w:vMerge w:val="restart"/>
          </w:tcPr>
          <w:p>
            <w:pPr>
              <w:pStyle w:val="TableParagraph"/>
              <w:rPr>
                <w:b/>
                <w:sz w:val="32"/>
              </w:rPr>
            </w:pPr>
          </w:p>
          <w:p>
            <w:pPr>
              <w:pStyle w:val="TableParagraph"/>
              <w:rPr>
                <w:b/>
                <w:sz w:val="32"/>
              </w:rPr>
            </w:pPr>
          </w:p>
          <w:p>
            <w:pPr>
              <w:pStyle w:val="TableParagraph"/>
              <w:spacing w:before="17"/>
              <w:rPr>
                <w:b/>
                <w:sz w:val="18"/>
              </w:rPr>
            </w:pPr>
          </w:p>
          <w:p>
            <w:pPr>
              <w:pStyle w:val="TableParagraph"/>
              <w:spacing w:before="1"/>
              <w:ind w:left="171"/>
              <w:rPr>
                <w:sz w:val="24"/>
              </w:rPr>
            </w:pPr>
            <w:r>
              <w:rPr>
                <w:sz w:val="24"/>
              </w:rPr>
              <w:t>3 個月</w:t>
            </w:r>
          </w:p>
        </w:tc>
        <w:tc>
          <w:tcPr>
            <w:tcW w:w="927" w:type="dxa"/>
            <w:vMerge w:val="restart"/>
          </w:tcPr>
          <w:p>
            <w:pPr>
              <w:pStyle w:val="TableParagraph"/>
              <w:rPr>
                <w:b/>
                <w:sz w:val="32"/>
              </w:rPr>
            </w:pPr>
          </w:p>
          <w:p>
            <w:pPr>
              <w:pStyle w:val="TableParagraph"/>
              <w:rPr>
                <w:b/>
                <w:sz w:val="32"/>
              </w:rPr>
            </w:pPr>
          </w:p>
          <w:p>
            <w:pPr>
              <w:pStyle w:val="TableParagraph"/>
              <w:spacing w:before="17"/>
              <w:rPr>
                <w:b/>
                <w:sz w:val="18"/>
              </w:rPr>
            </w:pPr>
          </w:p>
          <w:p>
            <w:pPr>
              <w:pStyle w:val="TableParagraph"/>
              <w:spacing w:before="1"/>
              <w:ind w:left="222"/>
              <w:rPr>
                <w:sz w:val="24"/>
              </w:rPr>
            </w:pPr>
            <w:r>
              <w:rPr>
                <w:sz w:val="24"/>
              </w:rPr>
              <w:t>每週</w:t>
            </w:r>
          </w:p>
        </w:tc>
        <w:tc>
          <w:tcPr>
            <w:tcW w:w="739" w:type="dxa"/>
            <w:vMerge w:val="restart"/>
          </w:tcPr>
          <w:p>
            <w:pPr>
              <w:pStyle w:val="TableParagraph"/>
              <w:rPr>
                <w:b/>
                <w:sz w:val="32"/>
              </w:rPr>
            </w:pPr>
          </w:p>
          <w:p>
            <w:pPr>
              <w:pStyle w:val="TableParagraph"/>
              <w:rPr>
                <w:b/>
                <w:sz w:val="32"/>
              </w:rPr>
            </w:pPr>
          </w:p>
          <w:p>
            <w:pPr>
              <w:pStyle w:val="TableParagraph"/>
              <w:spacing w:before="17"/>
              <w:rPr>
                <w:b/>
                <w:sz w:val="18"/>
              </w:rPr>
            </w:pPr>
          </w:p>
          <w:p>
            <w:pPr>
              <w:pStyle w:val="TableParagraph"/>
              <w:spacing w:before="1"/>
              <w:ind w:left="230"/>
              <w:rPr>
                <w:sz w:val="24"/>
              </w:rPr>
            </w:pPr>
            <w:r>
              <w:rPr>
                <w:sz w:val="24"/>
              </w:rPr>
              <w:t>12</w:t>
            </w:r>
          </w:p>
        </w:tc>
        <w:tc>
          <w:tcPr>
            <w:tcW w:w="812" w:type="dxa"/>
            <w:vMerge w:val="restart"/>
          </w:tcPr>
          <w:p>
            <w:pPr>
              <w:pStyle w:val="TableParagraph"/>
              <w:rPr>
                <w:b/>
                <w:sz w:val="32"/>
              </w:rPr>
            </w:pPr>
          </w:p>
          <w:p>
            <w:pPr>
              <w:pStyle w:val="TableParagraph"/>
              <w:rPr>
                <w:b/>
                <w:sz w:val="32"/>
              </w:rPr>
            </w:pPr>
          </w:p>
          <w:p>
            <w:pPr>
              <w:pStyle w:val="TableParagraph"/>
              <w:spacing w:before="17"/>
              <w:rPr>
                <w:b/>
                <w:sz w:val="18"/>
              </w:rPr>
            </w:pPr>
          </w:p>
          <w:p>
            <w:pPr>
              <w:pStyle w:val="TableParagraph"/>
              <w:spacing w:before="1"/>
              <w:ind w:left="167"/>
              <w:rPr>
                <w:sz w:val="24"/>
              </w:rPr>
            </w:pPr>
            <w:r>
              <w:rPr>
                <w:sz w:val="24"/>
              </w:rPr>
              <w:t>必須</w:t>
            </w:r>
          </w:p>
        </w:tc>
        <w:tc>
          <w:tcPr>
            <w:tcW w:w="5440" w:type="dxa"/>
          </w:tcPr>
          <w:p>
            <w:pPr>
              <w:pStyle w:val="TableParagraph"/>
              <w:spacing w:line="376" w:lineRule="exact"/>
              <w:ind w:left="108"/>
              <w:rPr>
                <w:sz w:val="16"/>
              </w:rPr>
            </w:pPr>
            <w:r>
              <w:rPr>
                <w:sz w:val="24"/>
              </w:rPr>
              <w:t>INH 每次最大劑量 900mg</w:t>
            </w:r>
            <w:r>
              <w:rPr>
                <w:position w:val="11"/>
                <w:sz w:val="16"/>
              </w:rPr>
              <w:t>***</w:t>
            </w:r>
          </w:p>
          <w:p>
            <w:pPr>
              <w:pStyle w:val="TableParagraph"/>
              <w:spacing w:line="204" w:lineRule="auto" w:before="15"/>
              <w:ind w:left="108" w:right="969"/>
              <w:rPr>
                <w:sz w:val="24"/>
              </w:rPr>
            </w:pPr>
            <w:r>
              <w:rPr>
                <w:sz w:val="24"/>
              </w:rPr>
              <w:t>A.12 歲(含)以上，INH 劑量為 15mg/kg B.2-11 歲的兒童，INH 劑量為 25mg/kg</w:t>
            </w:r>
          </w:p>
        </w:tc>
      </w:tr>
      <w:tr>
        <w:trPr>
          <w:trHeight w:val="2324" w:hRule="atLeast"/>
        </w:trPr>
        <w:tc>
          <w:tcPr>
            <w:tcW w:w="977" w:type="dxa"/>
            <w:vMerge/>
            <w:tcBorders>
              <w:top w:val="nil"/>
            </w:tcBorders>
          </w:tcPr>
          <w:p>
            <w:pPr>
              <w:rPr>
                <w:sz w:val="2"/>
                <w:szCs w:val="2"/>
              </w:rPr>
            </w:pPr>
          </w:p>
        </w:tc>
        <w:tc>
          <w:tcPr>
            <w:tcW w:w="1021" w:type="dxa"/>
            <w:vMerge/>
            <w:tcBorders>
              <w:top w:val="nil"/>
            </w:tcBorders>
          </w:tcPr>
          <w:p>
            <w:pPr>
              <w:rPr>
                <w:sz w:val="2"/>
                <w:szCs w:val="2"/>
              </w:rPr>
            </w:pPr>
          </w:p>
        </w:tc>
        <w:tc>
          <w:tcPr>
            <w:tcW w:w="927" w:type="dxa"/>
            <w:vMerge/>
            <w:tcBorders>
              <w:top w:val="nil"/>
            </w:tcBorders>
          </w:tcPr>
          <w:p>
            <w:pPr>
              <w:rPr>
                <w:sz w:val="2"/>
                <w:szCs w:val="2"/>
              </w:rPr>
            </w:pPr>
          </w:p>
        </w:tc>
        <w:tc>
          <w:tcPr>
            <w:tcW w:w="739" w:type="dxa"/>
            <w:vMerge/>
            <w:tcBorders>
              <w:top w:val="nil"/>
            </w:tcBorders>
          </w:tcPr>
          <w:p>
            <w:pPr>
              <w:rPr>
                <w:sz w:val="2"/>
                <w:szCs w:val="2"/>
              </w:rPr>
            </w:pPr>
          </w:p>
        </w:tc>
        <w:tc>
          <w:tcPr>
            <w:tcW w:w="812" w:type="dxa"/>
            <w:vMerge/>
            <w:tcBorders>
              <w:top w:val="nil"/>
            </w:tcBorders>
          </w:tcPr>
          <w:p>
            <w:pPr>
              <w:rPr>
                <w:sz w:val="2"/>
                <w:szCs w:val="2"/>
              </w:rPr>
            </w:pPr>
          </w:p>
        </w:tc>
        <w:tc>
          <w:tcPr>
            <w:tcW w:w="5440" w:type="dxa"/>
          </w:tcPr>
          <w:p>
            <w:pPr>
              <w:pStyle w:val="TableParagraph"/>
              <w:spacing w:line="204" w:lineRule="auto" w:before="39"/>
              <w:ind w:left="108" w:right="2355"/>
              <w:rPr>
                <w:sz w:val="24"/>
              </w:rPr>
            </w:pPr>
            <w:r>
              <w:rPr>
                <w:sz w:val="24"/>
              </w:rPr>
              <w:t>RPT 每次最大劑量 </w:t>
            </w:r>
            <w:r>
              <w:rPr>
                <w:spacing w:val="-4"/>
                <w:sz w:val="24"/>
              </w:rPr>
              <w:t>900mg </w:t>
            </w:r>
            <w:r>
              <w:rPr>
                <w:sz w:val="24"/>
              </w:rPr>
              <w:t>A. 10.0–14.0 </w:t>
            </w:r>
            <w:r>
              <w:rPr>
                <w:spacing w:val="-3"/>
                <w:sz w:val="24"/>
              </w:rPr>
              <w:t>kg </w:t>
            </w:r>
            <w:r>
              <w:rPr>
                <w:sz w:val="24"/>
              </w:rPr>
              <w:t>300 mg</w:t>
            </w:r>
          </w:p>
          <w:p>
            <w:pPr>
              <w:pStyle w:val="TableParagraph"/>
              <w:spacing w:line="363" w:lineRule="exact"/>
              <w:ind w:left="108"/>
              <w:rPr>
                <w:sz w:val="24"/>
              </w:rPr>
            </w:pPr>
            <w:r>
              <w:rPr>
                <w:sz w:val="24"/>
              </w:rPr>
              <w:t>B. 14.1–25.0 </w:t>
            </w:r>
            <w:r>
              <w:rPr>
                <w:spacing w:val="-3"/>
                <w:sz w:val="24"/>
              </w:rPr>
              <w:t>kg </w:t>
            </w:r>
            <w:r>
              <w:rPr>
                <w:sz w:val="24"/>
              </w:rPr>
              <w:t>450</w:t>
            </w:r>
            <w:r>
              <w:rPr>
                <w:spacing w:val="1"/>
                <w:sz w:val="24"/>
              </w:rPr>
              <w:t> </w:t>
            </w:r>
            <w:r>
              <w:rPr>
                <w:sz w:val="24"/>
              </w:rPr>
              <w:t>mg</w:t>
            </w:r>
          </w:p>
          <w:p>
            <w:pPr>
              <w:pStyle w:val="TableParagraph"/>
              <w:spacing w:line="376" w:lineRule="exact"/>
              <w:ind w:left="108"/>
              <w:rPr>
                <w:sz w:val="24"/>
              </w:rPr>
            </w:pPr>
            <w:r>
              <w:rPr>
                <w:sz w:val="24"/>
              </w:rPr>
              <w:t>C. 25.1–32.0 </w:t>
            </w:r>
            <w:r>
              <w:rPr>
                <w:spacing w:val="-3"/>
                <w:sz w:val="24"/>
              </w:rPr>
              <w:t>kg </w:t>
            </w:r>
            <w:r>
              <w:rPr>
                <w:sz w:val="24"/>
              </w:rPr>
              <w:t>600</w:t>
            </w:r>
            <w:r>
              <w:rPr>
                <w:spacing w:val="-1"/>
                <w:sz w:val="24"/>
              </w:rPr>
              <w:t> </w:t>
            </w:r>
            <w:r>
              <w:rPr>
                <w:sz w:val="24"/>
              </w:rPr>
              <w:t>mg</w:t>
            </w:r>
          </w:p>
          <w:p>
            <w:pPr>
              <w:pStyle w:val="TableParagraph"/>
              <w:spacing w:line="376" w:lineRule="exact"/>
              <w:ind w:left="108"/>
              <w:rPr>
                <w:sz w:val="24"/>
              </w:rPr>
            </w:pPr>
            <w:r>
              <w:rPr>
                <w:spacing w:val="-9"/>
                <w:sz w:val="24"/>
              </w:rPr>
              <w:t>D. </w:t>
            </w:r>
            <w:r>
              <w:rPr>
                <w:sz w:val="24"/>
              </w:rPr>
              <w:t>32.1–49.9 </w:t>
            </w:r>
            <w:r>
              <w:rPr>
                <w:spacing w:val="-3"/>
                <w:sz w:val="24"/>
              </w:rPr>
              <w:t>kg </w:t>
            </w:r>
            <w:r>
              <w:rPr>
                <w:sz w:val="24"/>
              </w:rPr>
              <w:t>750</w:t>
            </w:r>
            <w:r>
              <w:rPr>
                <w:spacing w:val="11"/>
                <w:sz w:val="24"/>
              </w:rPr>
              <w:t> </w:t>
            </w:r>
            <w:r>
              <w:rPr>
                <w:sz w:val="24"/>
              </w:rPr>
              <w:t>mg</w:t>
            </w:r>
          </w:p>
          <w:p>
            <w:pPr>
              <w:pStyle w:val="TableParagraph"/>
              <w:spacing w:line="400" w:lineRule="exact"/>
              <w:ind w:left="108"/>
              <w:rPr>
                <w:sz w:val="24"/>
              </w:rPr>
            </w:pPr>
            <w:r>
              <w:rPr>
                <w:sz w:val="24"/>
              </w:rPr>
              <w:t>E. </w:t>
            </w:r>
            <w:r>
              <w:rPr>
                <w:rFonts w:ascii="Arial" w:hAnsi="Arial"/>
                <w:sz w:val="24"/>
              </w:rPr>
              <w:t>≥</w:t>
            </w:r>
            <w:r>
              <w:rPr>
                <w:sz w:val="24"/>
              </w:rPr>
              <w:t>50.0 kg 900 mg</w:t>
            </w:r>
          </w:p>
        </w:tc>
      </w:tr>
      <w:tr>
        <w:trPr>
          <w:trHeight w:val="1171" w:hRule="atLeast"/>
        </w:trPr>
        <w:tc>
          <w:tcPr>
            <w:tcW w:w="977" w:type="dxa"/>
            <w:vMerge w:val="restart"/>
          </w:tcPr>
          <w:p>
            <w:pPr>
              <w:pStyle w:val="TableParagraph"/>
              <w:rPr>
                <w:b/>
                <w:sz w:val="34"/>
              </w:rPr>
            </w:pPr>
          </w:p>
          <w:p>
            <w:pPr>
              <w:pStyle w:val="TableParagraph"/>
              <w:spacing w:before="8"/>
              <w:rPr>
                <w:b/>
                <w:sz w:val="17"/>
              </w:rPr>
            </w:pPr>
          </w:p>
          <w:p>
            <w:pPr>
              <w:pStyle w:val="TableParagraph"/>
              <w:ind w:left="178"/>
              <w:rPr>
                <w:sz w:val="16"/>
              </w:rPr>
            </w:pPr>
            <w:r>
              <w:rPr>
                <w:sz w:val="24"/>
              </w:rPr>
              <w:t>3HR</w:t>
            </w:r>
            <w:r>
              <w:rPr>
                <w:position w:val="11"/>
                <w:sz w:val="16"/>
              </w:rPr>
              <w:t>**</w:t>
            </w:r>
          </w:p>
        </w:tc>
        <w:tc>
          <w:tcPr>
            <w:tcW w:w="1021" w:type="dxa"/>
            <w:vMerge w:val="restart"/>
          </w:tcPr>
          <w:p>
            <w:pPr>
              <w:pStyle w:val="TableParagraph"/>
              <w:rPr>
                <w:b/>
                <w:sz w:val="32"/>
              </w:rPr>
            </w:pPr>
          </w:p>
          <w:p>
            <w:pPr>
              <w:pStyle w:val="TableParagraph"/>
              <w:spacing w:before="12"/>
              <w:rPr>
                <w:b/>
                <w:sz w:val="19"/>
              </w:rPr>
            </w:pPr>
          </w:p>
          <w:p>
            <w:pPr>
              <w:pStyle w:val="TableParagraph"/>
              <w:ind w:left="171"/>
              <w:rPr>
                <w:sz w:val="24"/>
              </w:rPr>
            </w:pPr>
            <w:r>
              <w:rPr>
                <w:sz w:val="24"/>
              </w:rPr>
              <w:t>3 個月</w:t>
            </w:r>
          </w:p>
        </w:tc>
        <w:tc>
          <w:tcPr>
            <w:tcW w:w="927" w:type="dxa"/>
            <w:vMerge w:val="restart"/>
          </w:tcPr>
          <w:p>
            <w:pPr>
              <w:pStyle w:val="TableParagraph"/>
              <w:rPr>
                <w:b/>
                <w:sz w:val="32"/>
              </w:rPr>
            </w:pPr>
          </w:p>
          <w:p>
            <w:pPr>
              <w:pStyle w:val="TableParagraph"/>
              <w:spacing w:before="12"/>
              <w:rPr>
                <w:b/>
                <w:sz w:val="19"/>
              </w:rPr>
            </w:pPr>
          </w:p>
          <w:p>
            <w:pPr>
              <w:pStyle w:val="TableParagraph"/>
              <w:ind w:left="222"/>
              <w:rPr>
                <w:sz w:val="24"/>
              </w:rPr>
            </w:pPr>
            <w:r>
              <w:rPr>
                <w:sz w:val="24"/>
              </w:rPr>
              <w:t>每天</w:t>
            </w:r>
          </w:p>
        </w:tc>
        <w:tc>
          <w:tcPr>
            <w:tcW w:w="739" w:type="dxa"/>
            <w:vMerge w:val="restart"/>
          </w:tcPr>
          <w:p>
            <w:pPr>
              <w:pStyle w:val="TableParagraph"/>
              <w:rPr>
                <w:b/>
                <w:sz w:val="32"/>
              </w:rPr>
            </w:pPr>
          </w:p>
          <w:p>
            <w:pPr>
              <w:pStyle w:val="TableParagraph"/>
              <w:spacing w:before="12"/>
              <w:rPr>
                <w:b/>
                <w:sz w:val="19"/>
              </w:rPr>
            </w:pPr>
          </w:p>
          <w:p>
            <w:pPr>
              <w:pStyle w:val="TableParagraph"/>
              <w:ind w:left="230"/>
              <w:rPr>
                <w:sz w:val="24"/>
              </w:rPr>
            </w:pPr>
            <w:r>
              <w:rPr>
                <w:sz w:val="24"/>
              </w:rPr>
              <w:t>90</w:t>
            </w:r>
          </w:p>
        </w:tc>
        <w:tc>
          <w:tcPr>
            <w:tcW w:w="812" w:type="dxa"/>
            <w:vMerge w:val="restart"/>
          </w:tcPr>
          <w:p>
            <w:pPr>
              <w:pStyle w:val="TableParagraph"/>
              <w:rPr>
                <w:b/>
                <w:sz w:val="32"/>
              </w:rPr>
            </w:pPr>
          </w:p>
          <w:p>
            <w:pPr>
              <w:pStyle w:val="TableParagraph"/>
              <w:spacing w:before="12"/>
              <w:rPr>
                <w:b/>
                <w:sz w:val="19"/>
              </w:rPr>
            </w:pPr>
          </w:p>
          <w:p>
            <w:pPr>
              <w:pStyle w:val="TableParagraph"/>
              <w:ind w:left="167"/>
              <w:rPr>
                <w:sz w:val="24"/>
              </w:rPr>
            </w:pPr>
            <w:r>
              <w:rPr>
                <w:sz w:val="24"/>
              </w:rPr>
              <w:t>必須</w:t>
            </w:r>
          </w:p>
        </w:tc>
        <w:tc>
          <w:tcPr>
            <w:tcW w:w="5440" w:type="dxa"/>
          </w:tcPr>
          <w:p>
            <w:pPr>
              <w:pStyle w:val="TableParagraph"/>
              <w:spacing w:line="204" w:lineRule="auto" w:before="15"/>
              <w:ind w:left="108" w:right="2237"/>
              <w:rPr>
                <w:sz w:val="24"/>
              </w:rPr>
            </w:pPr>
            <w:r>
              <w:rPr>
                <w:sz w:val="24"/>
              </w:rPr>
              <w:t>INH</w:t>
            </w:r>
            <w:r>
              <w:rPr>
                <w:spacing w:val="4"/>
                <w:sz w:val="24"/>
              </w:rPr>
              <w:t> 每日最大劑量 </w:t>
            </w:r>
            <w:r>
              <w:rPr>
                <w:sz w:val="24"/>
              </w:rPr>
              <w:t>300mg 兒童劑量為 10mg/kg</w:t>
            </w:r>
            <w:r>
              <w:rPr>
                <w:spacing w:val="-2"/>
                <w:sz w:val="24"/>
              </w:rPr>
              <w:t> (</w:t>
            </w:r>
            <w:r>
              <w:rPr>
                <w:spacing w:val="-4"/>
                <w:sz w:val="24"/>
              </w:rPr>
              <w:t>7-15) </w:t>
            </w:r>
            <w:r>
              <w:rPr>
                <w:sz w:val="24"/>
              </w:rPr>
              <w:t>成人劑量為 </w:t>
            </w:r>
            <w:r>
              <w:rPr>
                <w:spacing w:val="-3"/>
                <w:sz w:val="24"/>
              </w:rPr>
              <w:t>5mg/kg</w:t>
            </w:r>
          </w:p>
        </w:tc>
      </w:tr>
      <w:tr>
        <w:trPr>
          <w:trHeight w:val="1171" w:hRule="atLeast"/>
        </w:trPr>
        <w:tc>
          <w:tcPr>
            <w:tcW w:w="977" w:type="dxa"/>
            <w:vMerge/>
            <w:tcBorders>
              <w:top w:val="nil"/>
            </w:tcBorders>
          </w:tcPr>
          <w:p>
            <w:pPr>
              <w:rPr>
                <w:sz w:val="2"/>
                <w:szCs w:val="2"/>
              </w:rPr>
            </w:pPr>
          </w:p>
        </w:tc>
        <w:tc>
          <w:tcPr>
            <w:tcW w:w="1021" w:type="dxa"/>
            <w:vMerge/>
            <w:tcBorders>
              <w:top w:val="nil"/>
            </w:tcBorders>
          </w:tcPr>
          <w:p>
            <w:pPr>
              <w:rPr>
                <w:sz w:val="2"/>
                <w:szCs w:val="2"/>
              </w:rPr>
            </w:pPr>
          </w:p>
        </w:tc>
        <w:tc>
          <w:tcPr>
            <w:tcW w:w="927" w:type="dxa"/>
            <w:vMerge/>
            <w:tcBorders>
              <w:top w:val="nil"/>
            </w:tcBorders>
          </w:tcPr>
          <w:p>
            <w:pPr>
              <w:rPr>
                <w:sz w:val="2"/>
                <w:szCs w:val="2"/>
              </w:rPr>
            </w:pPr>
          </w:p>
        </w:tc>
        <w:tc>
          <w:tcPr>
            <w:tcW w:w="739" w:type="dxa"/>
            <w:vMerge/>
            <w:tcBorders>
              <w:top w:val="nil"/>
            </w:tcBorders>
          </w:tcPr>
          <w:p>
            <w:pPr>
              <w:rPr>
                <w:sz w:val="2"/>
                <w:szCs w:val="2"/>
              </w:rPr>
            </w:pPr>
          </w:p>
        </w:tc>
        <w:tc>
          <w:tcPr>
            <w:tcW w:w="812" w:type="dxa"/>
            <w:vMerge/>
            <w:tcBorders>
              <w:top w:val="nil"/>
            </w:tcBorders>
          </w:tcPr>
          <w:p>
            <w:pPr>
              <w:rPr>
                <w:sz w:val="2"/>
                <w:szCs w:val="2"/>
              </w:rPr>
            </w:pPr>
          </w:p>
        </w:tc>
        <w:tc>
          <w:tcPr>
            <w:tcW w:w="5440" w:type="dxa"/>
          </w:tcPr>
          <w:p>
            <w:pPr>
              <w:pStyle w:val="TableParagraph"/>
              <w:spacing w:line="376" w:lineRule="exact"/>
              <w:ind w:left="108"/>
              <w:rPr>
                <w:sz w:val="24"/>
              </w:rPr>
            </w:pPr>
            <w:r>
              <w:rPr>
                <w:sz w:val="24"/>
              </w:rPr>
              <w:t>RMP 每日最大劑量 600mg</w:t>
            </w:r>
          </w:p>
          <w:p>
            <w:pPr>
              <w:pStyle w:val="TableParagraph"/>
              <w:spacing w:line="376" w:lineRule="exact"/>
              <w:ind w:left="108"/>
              <w:rPr>
                <w:sz w:val="24"/>
              </w:rPr>
            </w:pPr>
            <w:r>
              <w:rPr>
                <w:sz w:val="24"/>
              </w:rPr>
              <w:t>兒童劑量為 15mg/kg (10-20)</w:t>
            </w:r>
          </w:p>
          <w:p>
            <w:pPr>
              <w:pStyle w:val="TableParagraph"/>
              <w:spacing w:line="400" w:lineRule="exact"/>
              <w:ind w:left="108"/>
              <w:rPr>
                <w:sz w:val="24"/>
              </w:rPr>
            </w:pPr>
            <w:r>
              <w:rPr>
                <w:sz w:val="24"/>
              </w:rPr>
              <w:t>成人劑量為 10mg/kg</w:t>
            </w:r>
          </w:p>
        </w:tc>
      </w:tr>
      <w:tr>
        <w:trPr>
          <w:trHeight w:val="1172" w:hRule="atLeast"/>
        </w:trPr>
        <w:tc>
          <w:tcPr>
            <w:tcW w:w="977" w:type="dxa"/>
          </w:tcPr>
          <w:p>
            <w:pPr>
              <w:pStyle w:val="TableParagraph"/>
              <w:spacing w:before="10"/>
              <w:rPr>
                <w:b/>
                <w:sz w:val="19"/>
              </w:rPr>
            </w:pPr>
          </w:p>
          <w:p>
            <w:pPr>
              <w:pStyle w:val="TableParagraph"/>
              <w:ind w:left="96" w:right="86"/>
              <w:jc w:val="center"/>
              <w:rPr>
                <w:sz w:val="24"/>
              </w:rPr>
            </w:pPr>
            <w:r>
              <w:rPr>
                <w:sz w:val="24"/>
              </w:rPr>
              <w:t>4R</w:t>
            </w:r>
          </w:p>
        </w:tc>
        <w:tc>
          <w:tcPr>
            <w:tcW w:w="1021" w:type="dxa"/>
          </w:tcPr>
          <w:p>
            <w:pPr>
              <w:pStyle w:val="TableParagraph"/>
              <w:spacing w:before="10"/>
              <w:rPr>
                <w:b/>
                <w:sz w:val="19"/>
              </w:rPr>
            </w:pPr>
          </w:p>
          <w:p>
            <w:pPr>
              <w:pStyle w:val="TableParagraph"/>
              <w:ind w:left="150" w:right="140"/>
              <w:jc w:val="center"/>
              <w:rPr>
                <w:sz w:val="24"/>
              </w:rPr>
            </w:pPr>
            <w:r>
              <w:rPr>
                <w:sz w:val="24"/>
              </w:rPr>
              <w:t>4 個月</w:t>
            </w:r>
          </w:p>
        </w:tc>
        <w:tc>
          <w:tcPr>
            <w:tcW w:w="927" w:type="dxa"/>
          </w:tcPr>
          <w:p>
            <w:pPr>
              <w:pStyle w:val="TableParagraph"/>
              <w:spacing w:before="10"/>
              <w:rPr>
                <w:b/>
                <w:sz w:val="19"/>
              </w:rPr>
            </w:pPr>
          </w:p>
          <w:p>
            <w:pPr>
              <w:pStyle w:val="TableParagraph"/>
              <w:ind w:left="222"/>
              <w:rPr>
                <w:sz w:val="24"/>
              </w:rPr>
            </w:pPr>
            <w:r>
              <w:rPr>
                <w:sz w:val="24"/>
              </w:rPr>
              <w:t>每天</w:t>
            </w:r>
          </w:p>
        </w:tc>
        <w:tc>
          <w:tcPr>
            <w:tcW w:w="739" w:type="dxa"/>
          </w:tcPr>
          <w:p>
            <w:pPr>
              <w:pStyle w:val="TableParagraph"/>
              <w:spacing w:before="10"/>
              <w:rPr>
                <w:b/>
                <w:sz w:val="19"/>
              </w:rPr>
            </w:pPr>
          </w:p>
          <w:p>
            <w:pPr>
              <w:pStyle w:val="TableParagraph"/>
              <w:ind w:left="110" w:right="99"/>
              <w:jc w:val="center"/>
              <w:rPr>
                <w:sz w:val="24"/>
              </w:rPr>
            </w:pPr>
            <w:r>
              <w:rPr>
                <w:sz w:val="24"/>
              </w:rPr>
              <w:t>120</w:t>
            </w:r>
          </w:p>
        </w:tc>
        <w:tc>
          <w:tcPr>
            <w:tcW w:w="812" w:type="dxa"/>
          </w:tcPr>
          <w:p>
            <w:pPr>
              <w:pStyle w:val="TableParagraph"/>
              <w:spacing w:before="10"/>
              <w:rPr>
                <w:b/>
                <w:sz w:val="19"/>
              </w:rPr>
            </w:pPr>
          </w:p>
          <w:p>
            <w:pPr>
              <w:pStyle w:val="TableParagraph"/>
              <w:ind w:left="167"/>
              <w:rPr>
                <w:sz w:val="24"/>
              </w:rPr>
            </w:pPr>
            <w:r>
              <w:rPr>
                <w:sz w:val="24"/>
              </w:rPr>
              <w:t>必須</w:t>
            </w:r>
          </w:p>
        </w:tc>
        <w:tc>
          <w:tcPr>
            <w:tcW w:w="5440" w:type="dxa"/>
          </w:tcPr>
          <w:p>
            <w:pPr>
              <w:pStyle w:val="TableParagraph"/>
              <w:spacing w:line="376" w:lineRule="exact"/>
              <w:ind w:left="108"/>
              <w:rPr>
                <w:sz w:val="24"/>
              </w:rPr>
            </w:pPr>
            <w:r>
              <w:rPr>
                <w:sz w:val="24"/>
              </w:rPr>
              <w:t>每日最大劑量 600mg</w:t>
            </w:r>
          </w:p>
          <w:p>
            <w:pPr>
              <w:pStyle w:val="TableParagraph"/>
              <w:spacing w:line="376" w:lineRule="exact"/>
              <w:ind w:left="108"/>
              <w:rPr>
                <w:sz w:val="24"/>
              </w:rPr>
            </w:pPr>
            <w:r>
              <w:rPr>
                <w:sz w:val="24"/>
              </w:rPr>
              <w:t>兒童劑量為 15mg/kg (10-20)</w:t>
            </w:r>
          </w:p>
          <w:p>
            <w:pPr>
              <w:pStyle w:val="TableParagraph"/>
              <w:spacing w:line="400" w:lineRule="exact"/>
              <w:ind w:left="108"/>
              <w:rPr>
                <w:sz w:val="24"/>
              </w:rPr>
            </w:pPr>
            <w:r>
              <w:rPr>
                <w:sz w:val="24"/>
              </w:rPr>
              <w:t>成人劑量為 10mg/kg</w:t>
            </w:r>
          </w:p>
        </w:tc>
      </w:tr>
      <w:tr>
        <w:trPr>
          <w:trHeight w:val="1172" w:hRule="atLeast"/>
        </w:trPr>
        <w:tc>
          <w:tcPr>
            <w:tcW w:w="977" w:type="dxa"/>
          </w:tcPr>
          <w:p>
            <w:pPr>
              <w:pStyle w:val="TableParagraph"/>
              <w:spacing w:before="10"/>
              <w:rPr>
                <w:b/>
                <w:sz w:val="19"/>
              </w:rPr>
            </w:pPr>
          </w:p>
          <w:p>
            <w:pPr>
              <w:pStyle w:val="TableParagraph"/>
              <w:ind w:left="96" w:right="86"/>
              <w:jc w:val="center"/>
              <w:rPr>
                <w:sz w:val="24"/>
              </w:rPr>
            </w:pPr>
            <w:r>
              <w:rPr>
                <w:color w:val="C00000"/>
                <w:sz w:val="24"/>
              </w:rPr>
              <w:t>6H/</w:t>
            </w:r>
            <w:r>
              <w:rPr>
                <w:sz w:val="24"/>
              </w:rPr>
              <w:t>9H</w:t>
            </w:r>
          </w:p>
        </w:tc>
        <w:tc>
          <w:tcPr>
            <w:tcW w:w="1021" w:type="dxa"/>
          </w:tcPr>
          <w:p>
            <w:pPr>
              <w:pStyle w:val="TableParagraph"/>
              <w:spacing w:line="408" w:lineRule="exact" w:before="171"/>
              <w:ind w:left="322"/>
              <w:rPr>
                <w:sz w:val="24"/>
              </w:rPr>
            </w:pPr>
            <w:r>
              <w:rPr>
                <w:color w:val="C00000"/>
                <w:sz w:val="24"/>
              </w:rPr>
              <w:t>6/</w:t>
            </w:r>
            <w:r>
              <w:rPr>
                <w:sz w:val="24"/>
              </w:rPr>
              <w:t>9</w:t>
            </w:r>
          </w:p>
          <w:p>
            <w:pPr>
              <w:pStyle w:val="TableParagraph"/>
              <w:spacing w:line="408" w:lineRule="exact"/>
              <w:ind w:left="270"/>
              <w:rPr>
                <w:sz w:val="24"/>
              </w:rPr>
            </w:pPr>
            <w:r>
              <w:rPr>
                <w:sz w:val="24"/>
              </w:rPr>
              <w:t>個月</w:t>
            </w:r>
          </w:p>
        </w:tc>
        <w:tc>
          <w:tcPr>
            <w:tcW w:w="927" w:type="dxa"/>
          </w:tcPr>
          <w:p>
            <w:pPr>
              <w:pStyle w:val="TableParagraph"/>
              <w:spacing w:before="10"/>
              <w:rPr>
                <w:b/>
                <w:sz w:val="19"/>
              </w:rPr>
            </w:pPr>
          </w:p>
          <w:p>
            <w:pPr>
              <w:pStyle w:val="TableParagraph"/>
              <w:ind w:left="222"/>
              <w:rPr>
                <w:sz w:val="24"/>
              </w:rPr>
            </w:pPr>
            <w:r>
              <w:rPr>
                <w:sz w:val="24"/>
              </w:rPr>
              <w:t>每天</w:t>
            </w:r>
          </w:p>
        </w:tc>
        <w:tc>
          <w:tcPr>
            <w:tcW w:w="739" w:type="dxa"/>
          </w:tcPr>
          <w:p>
            <w:pPr>
              <w:pStyle w:val="TableParagraph"/>
              <w:spacing w:line="401" w:lineRule="exact" w:before="179"/>
              <w:ind w:left="110"/>
              <w:rPr>
                <w:sz w:val="24"/>
              </w:rPr>
            </w:pPr>
            <w:r>
              <w:rPr>
                <w:color w:val="C00000"/>
                <w:sz w:val="24"/>
              </w:rPr>
              <w:t>180/</w:t>
            </w:r>
          </w:p>
          <w:p>
            <w:pPr>
              <w:pStyle w:val="TableParagraph"/>
              <w:spacing w:line="401" w:lineRule="exact"/>
              <w:ind w:left="161"/>
              <w:rPr>
                <w:sz w:val="24"/>
              </w:rPr>
            </w:pPr>
            <w:r>
              <w:rPr>
                <w:sz w:val="24"/>
              </w:rPr>
              <w:t>270</w:t>
            </w:r>
          </w:p>
        </w:tc>
        <w:tc>
          <w:tcPr>
            <w:tcW w:w="812" w:type="dxa"/>
          </w:tcPr>
          <w:p>
            <w:pPr>
              <w:pStyle w:val="TableParagraph"/>
              <w:spacing w:before="10"/>
              <w:rPr>
                <w:b/>
                <w:sz w:val="19"/>
              </w:rPr>
            </w:pPr>
          </w:p>
          <w:p>
            <w:pPr>
              <w:pStyle w:val="TableParagraph"/>
              <w:ind w:left="167"/>
              <w:rPr>
                <w:sz w:val="24"/>
              </w:rPr>
            </w:pPr>
            <w:r>
              <w:rPr>
                <w:sz w:val="24"/>
              </w:rPr>
              <w:t>建議</w:t>
            </w:r>
          </w:p>
        </w:tc>
        <w:tc>
          <w:tcPr>
            <w:tcW w:w="5440" w:type="dxa"/>
          </w:tcPr>
          <w:p>
            <w:pPr>
              <w:pStyle w:val="TableParagraph"/>
              <w:spacing w:line="376" w:lineRule="exact"/>
              <w:ind w:left="108"/>
              <w:rPr>
                <w:sz w:val="24"/>
              </w:rPr>
            </w:pPr>
            <w:r>
              <w:rPr>
                <w:sz w:val="24"/>
              </w:rPr>
              <w:t>每日最大劑量 300mg</w:t>
            </w:r>
          </w:p>
          <w:p>
            <w:pPr>
              <w:pStyle w:val="TableParagraph"/>
              <w:spacing w:line="376" w:lineRule="exact"/>
              <w:ind w:left="108"/>
              <w:rPr>
                <w:sz w:val="24"/>
              </w:rPr>
            </w:pPr>
            <w:r>
              <w:rPr>
                <w:sz w:val="24"/>
              </w:rPr>
              <w:t>兒童劑量為 10mg/kg (7-15)</w:t>
            </w:r>
          </w:p>
          <w:p>
            <w:pPr>
              <w:pStyle w:val="TableParagraph"/>
              <w:spacing w:line="400" w:lineRule="exact"/>
              <w:ind w:left="108"/>
              <w:rPr>
                <w:sz w:val="24"/>
              </w:rPr>
            </w:pPr>
            <w:r>
              <w:rPr>
                <w:sz w:val="24"/>
              </w:rPr>
              <w:t>成人劑量為 5mg/kg</w:t>
            </w:r>
          </w:p>
        </w:tc>
      </w:tr>
      <w:tr>
        <w:trPr>
          <w:trHeight w:val="1923" w:hRule="atLeast"/>
        </w:trPr>
        <w:tc>
          <w:tcPr>
            <w:tcW w:w="977" w:type="dxa"/>
          </w:tcPr>
          <w:p>
            <w:pPr>
              <w:pStyle w:val="TableParagraph"/>
              <w:spacing w:before="17"/>
              <w:rPr>
                <w:b/>
                <w:sz w:val="39"/>
              </w:rPr>
            </w:pPr>
          </w:p>
          <w:p>
            <w:pPr>
              <w:pStyle w:val="TableParagraph"/>
              <w:spacing w:before="1"/>
              <w:ind w:left="95" w:right="86"/>
              <w:jc w:val="center"/>
              <w:rPr>
                <w:sz w:val="24"/>
              </w:rPr>
            </w:pPr>
            <w:r>
              <w:rPr>
                <w:sz w:val="24"/>
              </w:rPr>
              <w:t>1HP*</w:t>
            </w:r>
          </w:p>
        </w:tc>
        <w:tc>
          <w:tcPr>
            <w:tcW w:w="1021" w:type="dxa"/>
          </w:tcPr>
          <w:p>
            <w:pPr>
              <w:pStyle w:val="TableParagraph"/>
              <w:spacing w:before="17"/>
              <w:rPr>
                <w:b/>
                <w:sz w:val="39"/>
              </w:rPr>
            </w:pPr>
          </w:p>
          <w:p>
            <w:pPr>
              <w:pStyle w:val="TableParagraph"/>
              <w:spacing w:before="1"/>
              <w:ind w:left="150" w:right="140"/>
              <w:jc w:val="center"/>
              <w:rPr>
                <w:sz w:val="24"/>
              </w:rPr>
            </w:pPr>
            <w:r>
              <w:rPr>
                <w:sz w:val="24"/>
              </w:rPr>
              <w:t>1 個月</w:t>
            </w:r>
          </w:p>
        </w:tc>
        <w:tc>
          <w:tcPr>
            <w:tcW w:w="927" w:type="dxa"/>
          </w:tcPr>
          <w:p>
            <w:pPr>
              <w:pStyle w:val="TableParagraph"/>
              <w:spacing w:before="17"/>
              <w:rPr>
                <w:b/>
                <w:sz w:val="39"/>
              </w:rPr>
            </w:pPr>
          </w:p>
          <w:p>
            <w:pPr>
              <w:pStyle w:val="TableParagraph"/>
              <w:spacing w:before="1"/>
              <w:ind w:left="222"/>
              <w:rPr>
                <w:sz w:val="24"/>
              </w:rPr>
            </w:pPr>
            <w:r>
              <w:rPr>
                <w:sz w:val="24"/>
              </w:rPr>
              <w:t>每天</w:t>
            </w:r>
          </w:p>
        </w:tc>
        <w:tc>
          <w:tcPr>
            <w:tcW w:w="739" w:type="dxa"/>
          </w:tcPr>
          <w:p>
            <w:pPr>
              <w:pStyle w:val="TableParagraph"/>
              <w:spacing w:before="17"/>
              <w:rPr>
                <w:b/>
                <w:sz w:val="39"/>
              </w:rPr>
            </w:pPr>
          </w:p>
          <w:p>
            <w:pPr>
              <w:pStyle w:val="TableParagraph"/>
              <w:spacing w:before="1"/>
              <w:ind w:left="110" w:right="99"/>
              <w:jc w:val="center"/>
              <w:rPr>
                <w:sz w:val="24"/>
              </w:rPr>
            </w:pPr>
            <w:r>
              <w:rPr>
                <w:sz w:val="24"/>
              </w:rPr>
              <w:t>28</w:t>
            </w:r>
          </w:p>
        </w:tc>
        <w:tc>
          <w:tcPr>
            <w:tcW w:w="812" w:type="dxa"/>
          </w:tcPr>
          <w:p>
            <w:pPr>
              <w:pStyle w:val="TableParagraph"/>
              <w:spacing w:before="17"/>
              <w:rPr>
                <w:b/>
                <w:sz w:val="39"/>
              </w:rPr>
            </w:pPr>
          </w:p>
          <w:p>
            <w:pPr>
              <w:pStyle w:val="TableParagraph"/>
              <w:spacing w:before="1"/>
              <w:ind w:left="167"/>
              <w:rPr>
                <w:sz w:val="24"/>
              </w:rPr>
            </w:pPr>
            <w:r>
              <w:rPr>
                <w:sz w:val="24"/>
              </w:rPr>
              <w:t>必須</w:t>
            </w:r>
          </w:p>
        </w:tc>
        <w:tc>
          <w:tcPr>
            <w:tcW w:w="5440" w:type="dxa"/>
          </w:tcPr>
          <w:p>
            <w:pPr>
              <w:pStyle w:val="TableParagraph"/>
              <w:spacing w:line="376" w:lineRule="exact"/>
              <w:ind w:left="108"/>
              <w:rPr>
                <w:sz w:val="16"/>
              </w:rPr>
            </w:pPr>
            <w:r>
              <w:rPr>
                <w:sz w:val="24"/>
              </w:rPr>
              <w:t>INH 每次 300mg</w:t>
            </w:r>
            <w:r>
              <w:rPr>
                <w:position w:val="11"/>
                <w:sz w:val="16"/>
              </w:rPr>
              <w:t>***</w:t>
            </w:r>
          </w:p>
          <w:p>
            <w:pPr>
              <w:pStyle w:val="TableParagraph"/>
              <w:spacing w:line="376" w:lineRule="exact"/>
              <w:ind w:left="108"/>
              <w:rPr>
                <w:sz w:val="24"/>
              </w:rPr>
            </w:pPr>
            <w:r>
              <w:rPr>
                <w:sz w:val="24"/>
              </w:rPr>
              <w:t>RPT 每次最大劑量 600mg</w:t>
            </w:r>
          </w:p>
          <w:p>
            <w:pPr>
              <w:pStyle w:val="TableParagraph"/>
              <w:spacing w:line="376" w:lineRule="exact"/>
              <w:ind w:left="108"/>
              <w:rPr>
                <w:sz w:val="24"/>
              </w:rPr>
            </w:pPr>
            <w:r>
              <w:rPr>
                <w:sz w:val="24"/>
              </w:rPr>
              <w:t>A. &lt;35 kg 300 mg</w:t>
            </w:r>
          </w:p>
          <w:p>
            <w:pPr>
              <w:pStyle w:val="TableParagraph"/>
              <w:spacing w:line="376" w:lineRule="exact"/>
              <w:ind w:left="108"/>
              <w:rPr>
                <w:sz w:val="24"/>
              </w:rPr>
            </w:pPr>
            <w:r>
              <w:rPr>
                <w:sz w:val="24"/>
              </w:rPr>
              <w:t>B. 35-45 kg 450 mg</w:t>
            </w:r>
          </w:p>
          <w:p>
            <w:pPr>
              <w:pStyle w:val="TableParagraph"/>
              <w:spacing w:line="400" w:lineRule="exact"/>
              <w:ind w:left="108"/>
              <w:rPr>
                <w:sz w:val="24"/>
              </w:rPr>
            </w:pPr>
            <w:r>
              <w:rPr>
                <w:sz w:val="24"/>
              </w:rPr>
              <w:t>C. </w:t>
            </w:r>
            <w:r>
              <w:rPr>
                <w:rFonts w:ascii="Arial" w:hAnsi="Arial"/>
                <w:sz w:val="24"/>
              </w:rPr>
              <w:t>≥</w:t>
            </w:r>
            <w:r>
              <w:rPr>
                <w:sz w:val="24"/>
              </w:rPr>
              <w:t>45 kg 600 mg</w:t>
            </w:r>
          </w:p>
        </w:tc>
      </w:tr>
      <w:tr>
        <w:trPr>
          <w:trHeight w:val="1485" w:hRule="atLeast"/>
        </w:trPr>
        <w:tc>
          <w:tcPr>
            <w:tcW w:w="977" w:type="dxa"/>
          </w:tcPr>
          <w:p>
            <w:pPr>
              <w:pStyle w:val="TableParagraph"/>
              <w:rPr>
                <w:b/>
                <w:sz w:val="28"/>
              </w:rPr>
            </w:pPr>
          </w:p>
          <w:p>
            <w:pPr>
              <w:pStyle w:val="TableParagraph"/>
              <w:ind w:left="95" w:right="86"/>
              <w:jc w:val="center"/>
              <w:rPr>
                <w:sz w:val="24"/>
              </w:rPr>
            </w:pPr>
            <w:r>
              <w:rPr>
                <w:color w:val="C00000"/>
                <w:sz w:val="24"/>
              </w:rPr>
              <w:t>9FQ</w:t>
            </w:r>
          </w:p>
        </w:tc>
        <w:tc>
          <w:tcPr>
            <w:tcW w:w="1021" w:type="dxa"/>
          </w:tcPr>
          <w:p>
            <w:pPr>
              <w:pStyle w:val="TableParagraph"/>
              <w:rPr>
                <w:b/>
                <w:sz w:val="28"/>
              </w:rPr>
            </w:pPr>
          </w:p>
          <w:p>
            <w:pPr>
              <w:pStyle w:val="TableParagraph"/>
              <w:ind w:left="150" w:right="140"/>
              <w:jc w:val="center"/>
              <w:rPr>
                <w:sz w:val="24"/>
              </w:rPr>
            </w:pPr>
            <w:r>
              <w:rPr>
                <w:color w:val="C00000"/>
                <w:sz w:val="24"/>
              </w:rPr>
              <w:t>9 個月</w:t>
            </w:r>
          </w:p>
        </w:tc>
        <w:tc>
          <w:tcPr>
            <w:tcW w:w="927" w:type="dxa"/>
          </w:tcPr>
          <w:p>
            <w:pPr>
              <w:pStyle w:val="TableParagraph"/>
              <w:rPr>
                <w:b/>
                <w:sz w:val="28"/>
              </w:rPr>
            </w:pPr>
          </w:p>
          <w:p>
            <w:pPr>
              <w:pStyle w:val="TableParagraph"/>
              <w:ind w:left="222"/>
              <w:rPr>
                <w:sz w:val="24"/>
              </w:rPr>
            </w:pPr>
            <w:r>
              <w:rPr>
                <w:color w:val="C00000"/>
                <w:sz w:val="24"/>
              </w:rPr>
              <w:t>每天</w:t>
            </w:r>
          </w:p>
        </w:tc>
        <w:tc>
          <w:tcPr>
            <w:tcW w:w="739" w:type="dxa"/>
          </w:tcPr>
          <w:p>
            <w:pPr>
              <w:pStyle w:val="TableParagraph"/>
              <w:rPr>
                <w:b/>
                <w:sz w:val="28"/>
              </w:rPr>
            </w:pPr>
          </w:p>
          <w:p>
            <w:pPr>
              <w:pStyle w:val="TableParagraph"/>
              <w:ind w:left="110" w:right="99"/>
              <w:jc w:val="center"/>
              <w:rPr>
                <w:sz w:val="24"/>
              </w:rPr>
            </w:pPr>
            <w:r>
              <w:rPr>
                <w:color w:val="C00000"/>
                <w:sz w:val="24"/>
              </w:rPr>
              <w:t>270</w:t>
            </w:r>
          </w:p>
        </w:tc>
        <w:tc>
          <w:tcPr>
            <w:tcW w:w="812" w:type="dxa"/>
          </w:tcPr>
          <w:p>
            <w:pPr>
              <w:pStyle w:val="TableParagraph"/>
              <w:rPr>
                <w:b/>
                <w:sz w:val="28"/>
              </w:rPr>
            </w:pPr>
          </w:p>
          <w:p>
            <w:pPr>
              <w:pStyle w:val="TableParagraph"/>
              <w:ind w:left="167"/>
              <w:rPr>
                <w:sz w:val="24"/>
              </w:rPr>
            </w:pPr>
            <w:r>
              <w:rPr>
                <w:color w:val="C00000"/>
                <w:sz w:val="24"/>
              </w:rPr>
              <w:t>必須</w:t>
            </w:r>
          </w:p>
        </w:tc>
        <w:tc>
          <w:tcPr>
            <w:tcW w:w="5440" w:type="dxa"/>
          </w:tcPr>
          <w:p>
            <w:pPr>
              <w:pStyle w:val="TableParagraph"/>
              <w:numPr>
                <w:ilvl w:val="0"/>
                <w:numId w:val="132"/>
              </w:numPr>
              <w:tabs>
                <w:tab w:pos="588" w:val="left" w:leader="none"/>
                <w:tab w:pos="589" w:val="left" w:leader="none"/>
              </w:tabs>
              <w:spacing w:line="196" w:lineRule="auto" w:before="25" w:after="0"/>
              <w:ind w:left="588" w:right="1032" w:hanging="480"/>
              <w:jc w:val="left"/>
              <w:rPr>
                <w:sz w:val="24"/>
              </w:rPr>
            </w:pPr>
            <w:r>
              <w:rPr>
                <w:color w:val="C00000"/>
                <w:sz w:val="24"/>
              </w:rPr>
              <w:t>levofloxacin(LFX</w:t>
            </w:r>
            <w:r>
              <w:rPr>
                <w:color w:val="C00000"/>
                <w:spacing w:val="-2"/>
                <w:sz w:val="24"/>
              </w:rPr>
              <w:t>)劑量建議為 </w:t>
            </w:r>
            <w:r>
              <w:rPr>
                <w:color w:val="C00000"/>
                <w:sz w:val="24"/>
              </w:rPr>
              <w:t>15-20 mg/kg，</w:t>
            </w:r>
            <w:r>
              <w:rPr>
                <w:color w:val="C00000"/>
                <w:spacing w:val="-1"/>
                <w:sz w:val="24"/>
              </w:rPr>
              <w:t>每日最大劑量 </w:t>
            </w:r>
            <w:r>
              <w:rPr>
                <w:color w:val="C00000"/>
                <w:sz w:val="24"/>
              </w:rPr>
              <w:t>1000mg</w:t>
            </w:r>
          </w:p>
          <w:p>
            <w:pPr>
              <w:pStyle w:val="TableParagraph"/>
              <w:numPr>
                <w:ilvl w:val="0"/>
                <w:numId w:val="132"/>
              </w:numPr>
              <w:tabs>
                <w:tab w:pos="588" w:val="left" w:leader="none"/>
                <w:tab w:pos="589" w:val="left" w:leader="none"/>
              </w:tabs>
              <w:spacing w:line="355" w:lineRule="exact" w:before="0" w:after="0"/>
              <w:ind w:left="589" w:right="0" w:hanging="481"/>
              <w:jc w:val="left"/>
              <w:rPr>
                <w:sz w:val="24"/>
              </w:rPr>
            </w:pPr>
            <w:r>
              <w:rPr>
                <w:color w:val="C00000"/>
                <w:sz w:val="24"/>
              </w:rPr>
              <w:t>moxifloxacin(MFX)</w:t>
            </w:r>
            <w:r>
              <w:rPr>
                <w:color w:val="C00000"/>
                <w:spacing w:val="13"/>
                <w:sz w:val="24"/>
              </w:rPr>
              <w:t> 成人 </w:t>
            </w:r>
            <w:r>
              <w:rPr>
                <w:color w:val="C00000"/>
                <w:sz w:val="24"/>
              </w:rPr>
              <w:t>400mg，</w:t>
            </w:r>
            <w:r>
              <w:rPr>
                <w:color w:val="C00000"/>
                <w:spacing w:val="-1"/>
                <w:sz w:val="24"/>
              </w:rPr>
              <w:t>兒童 </w:t>
            </w:r>
            <w:r>
              <w:rPr>
                <w:color w:val="C00000"/>
                <w:sz w:val="24"/>
              </w:rPr>
              <w:t>10-</w:t>
            </w:r>
          </w:p>
          <w:p>
            <w:pPr>
              <w:pStyle w:val="TableParagraph"/>
              <w:spacing w:line="361" w:lineRule="exact"/>
              <w:ind w:left="588"/>
              <w:rPr>
                <w:sz w:val="24"/>
              </w:rPr>
            </w:pPr>
            <w:r>
              <w:rPr>
                <w:color w:val="C00000"/>
                <w:sz w:val="24"/>
              </w:rPr>
              <w:t>15mg/kg</w:t>
            </w:r>
          </w:p>
        </w:tc>
      </w:tr>
    </w:tbl>
    <w:p>
      <w:pPr>
        <w:pStyle w:val="BodyText"/>
        <w:spacing w:line="196" w:lineRule="auto" w:before="60"/>
        <w:ind w:left="947" w:right="1528" w:hanging="317"/>
      </w:pPr>
      <w:r>
        <w:rPr/>
        <w:t>* 3HP </w:t>
      </w:r>
      <w:r>
        <w:rPr>
          <w:color w:val="C00000"/>
        </w:rPr>
        <w:t>及 1HP </w:t>
      </w:r>
      <w:r>
        <w:rPr/>
        <w:t>處方可使用單劑型或複方劑型(每顆含 INH300mg/RPT300mg，fixed- dose combination，FDC)。</w:t>
      </w:r>
    </w:p>
    <w:p>
      <w:pPr>
        <w:pStyle w:val="BodyText"/>
        <w:spacing w:line="392" w:lineRule="exact"/>
        <w:ind w:left="631"/>
      </w:pPr>
      <w:r>
        <w:rPr/>
        <w:t>** 3HR 可依體重使用 INH+RMP 之二合一劑型。</w:t>
      </w:r>
    </w:p>
    <w:p>
      <w:pPr>
        <w:spacing w:after="0" w:line="392" w:lineRule="exact"/>
        <w:sectPr>
          <w:pgSz w:w="12250" w:h="17190"/>
          <w:pgMar w:header="0" w:footer="748" w:top="1640" w:bottom="1020" w:left="840" w:right="0"/>
        </w:sectPr>
      </w:pPr>
    </w:p>
    <w:p>
      <w:pPr>
        <w:pStyle w:val="BodyText"/>
        <w:spacing w:before="22"/>
        <w:ind w:left="631"/>
        <w:jc w:val="both"/>
      </w:pPr>
      <w:r>
        <w:rPr/>
        <w:pict>
          <v:group style="position:absolute;margin-left:573pt;margin-top:2.480718pt;width:39.4pt;height:189.75pt;mso-position-horizontal-relative:page;mso-position-vertical-relative:paragraph;z-index:251864064" coordorigin="11460,50" coordsize="788,3795">
            <v:shape style="position:absolute;left:11460;top:49;width:788;height:3795" coordorigin="11460,50" coordsize="788,3795" path="m12247,50l11625,50,11561,63,11508,98,11473,151,11460,215,11460,3679,11473,3744,11508,3796,11561,3832,11625,3845,12247,3845,12247,50xe" filled="true" fillcolor="#a6a6a6" stroked="false">
              <v:path arrowok="t"/>
              <v:fill type="solid"/>
            </v:shape>
            <v:shape style="position:absolute;left:11460;top:49;width:788;height:3795" type="#_x0000_t202" filled="false" stroked="false">
              <v:textbox inset="0,0,0,0">
                <w:txbxContent>
                  <w:p>
                    <w:pPr>
                      <w:spacing w:line="146" w:lineRule="auto" w:before="126"/>
                      <w:ind w:left="136" w:right="428" w:firstLine="0"/>
                      <w:jc w:val="both"/>
                      <w:rPr>
                        <w:sz w:val="22"/>
                      </w:rPr>
                    </w:pPr>
                    <w:r>
                      <w:rPr>
                        <w:sz w:val="22"/>
                      </w:rPr>
                      <w:t>第十章</w:t>
                    </w:r>
                  </w:p>
                  <w:p>
                    <w:pPr>
                      <w:spacing w:line="141" w:lineRule="auto" w:before="235"/>
                      <w:ind w:left="136" w:right="428" w:firstLine="0"/>
                      <w:jc w:val="both"/>
                      <w:rPr>
                        <w:sz w:val="22"/>
                      </w:rPr>
                    </w:pPr>
                    <w:r>
                      <w:rPr>
                        <w:sz w:val="22"/>
                      </w:rPr>
                      <w:t>潛伏結核感染診斷與治療</w:t>
                    </w:r>
                  </w:p>
                </w:txbxContent>
              </v:textbox>
              <w10:wrap type="none"/>
            </v:shape>
            <w10:wrap type="none"/>
          </v:group>
        </w:pict>
      </w:r>
      <w:r>
        <w:rPr/>
        <w:t>***</w:t>
      </w:r>
      <w:r>
        <w:rPr>
          <w:color w:val="C00000"/>
        </w:rPr>
        <w:t>疾管</w:t>
      </w:r>
      <w:r>
        <w:rPr/>
        <w:t>署公費採購之 isoniazid 300mg/Tab 藥品可使用於 3HP 及 1HP 處方</w:t>
      </w:r>
    </w:p>
    <w:p>
      <w:pPr>
        <w:pStyle w:val="Heading7"/>
        <w:numPr>
          <w:ilvl w:val="2"/>
          <w:numId w:val="122"/>
        </w:numPr>
        <w:tabs>
          <w:tab w:pos="1472" w:val="left" w:leader="none"/>
        </w:tabs>
        <w:spacing w:line="240" w:lineRule="auto" w:before="215" w:after="0"/>
        <w:ind w:left="1471" w:right="0" w:hanging="841"/>
        <w:jc w:val="both"/>
      </w:pPr>
      <w:bookmarkStart w:name="10.4.4 LTBI治療注意事項" w:id="134"/>
      <w:bookmarkEnd w:id="134"/>
      <w:r>
        <w:rPr>
          <w:b w:val="0"/>
        </w:rPr>
      </w:r>
      <w:bookmarkStart w:name="10.4.4 LTBI治療注意事項" w:id="135"/>
      <w:bookmarkEnd w:id="135"/>
      <w:r>
        <w:rPr>
          <w:color w:val="C00000"/>
        </w:rPr>
        <w:t>LT</w:t>
      </w:r>
      <w:r>
        <w:rPr>
          <w:color w:val="C00000"/>
        </w:rPr>
        <w:t>BI</w:t>
      </w:r>
      <w:r>
        <w:rPr>
          <w:color w:val="C00000"/>
          <w:spacing w:val="-1"/>
        </w:rPr>
        <w:t> 治療</w:t>
      </w:r>
      <w:r>
        <w:rPr/>
        <w:t>注意事項</w:t>
      </w:r>
    </w:p>
    <w:p>
      <w:pPr>
        <w:pStyle w:val="ListParagraph"/>
        <w:numPr>
          <w:ilvl w:val="3"/>
          <w:numId w:val="122"/>
        </w:numPr>
        <w:tabs>
          <w:tab w:pos="1396" w:val="left" w:leader="none"/>
        </w:tabs>
        <w:spacing w:line="228" w:lineRule="auto" w:before="39" w:after="0"/>
        <w:ind w:left="1395" w:right="1380" w:hanging="215"/>
        <w:jc w:val="both"/>
        <w:rPr>
          <w:sz w:val="22"/>
        </w:rPr>
      </w:pPr>
      <w:r>
        <w:rPr>
          <w:spacing w:val="3"/>
          <w:sz w:val="24"/>
        </w:rPr>
        <w:t>個案於 </w:t>
      </w:r>
      <w:r>
        <w:rPr>
          <w:sz w:val="24"/>
        </w:rPr>
        <w:t>LTBI</w:t>
      </w:r>
      <w:r>
        <w:rPr>
          <w:spacing w:val="2"/>
          <w:sz w:val="24"/>
        </w:rPr>
        <w:t> 治療前及治療中斷超過 </w:t>
      </w:r>
      <w:r>
        <w:rPr>
          <w:sz w:val="24"/>
        </w:rPr>
        <w:t>1</w:t>
      </w:r>
      <w:r>
        <w:rPr>
          <w:spacing w:val="-3"/>
          <w:sz w:val="24"/>
        </w:rPr>
        <w:t> 個月再接續治療者，皆須進行身體檢查、評</w:t>
      </w:r>
      <w:r>
        <w:rPr>
          <w:spacing w:val="5"/>
          <w:sz w:val="24"/>
        </w:rPr>
        <w:t>估與 </w:t>
      </w:r>
      <w:r>
        <w:rPr>
          <w:sz w:val="24"/>
        </w:rPr>
        <w:t>1</w:t>
      </w:r>
      <w:r>
        <w:rPr>
          <w:spacing w:val="3"/>
          <w:sz w:val="24"/>
        </w:rPr>
        <w:t> 個月內的胸部 </w:t>
      </w:r>
      <w:r>
        <w:rPr>
          <w:sz w:val="24"/>
        </w:rPr>
        <w:t>X</w:t>
      </w:r>
      <w:r>
        <w:rPr>
          <w:spacing w:val="3"/>
          <w:sz w:val="24"/>
        </w:rPr>
        <w:t> 光以排除活動性結核病；並瞭解個案是否合併慢性肝炎或</w:t>
      </w:r>
      <w:r>
        <w:rPr>
          <w:spacing w:val="-10"/>
          <w:sz w:val="24"/>
        </w:rPr>
        <w:t>愛滋病等共病；對於較易於治療中有肝炎的高風險族群，治療前及治療中應追蹤肝</w:t>
      </w:r>
      <w:r>
        <w:rPr>
          <w:spacing w:val="2"/>
          <w:sz w:val="24"/>
        </w:rPr>
        <w:t>功能檢驗。</w:t>
      </w:r>
    </w:p>
    <w:p>
      <w:pPr>
        <w:pStyle w:val="ListParagraph"/>
        <w:numPr>
          <w:ilvl w:val="3"/>
          <w:numId w:val="122"/>
        </w:numPr>
        <w:tabs>
          <w:tab w:pos="1396" w:val="left" w:leader="none"/>
        </w:tabs>
        <w:spacing w:line="228" w:lineRule="auto" w:before="3" w:after="0"/>
        <w:ind w:left="1395" w:right="1380" w:hanging="215"/>
        <w:jc w:val="both"/>
        <w:rPr>
          <w:color w:val="C00000"/>
          <w:sz w:val="22"/>
        </w:rPr>
      </w:pPr>
      <w:r>
        <w:rPr>
          <w:color w:val="C00000"/>
          <w:sz w:val="24"/>
        </w:rPr>
        <w:t>LTBI 治療期間應評估是否在治療期間發病的可能性，避免變成以  LTBI</w:t>
      </w:r>
      <w:r>
        <w:rPr>
          <w:color w:val="C00000"/>
          <w:spacing w:val="3"/>
          <w:sz w:val="24"/>
        </w:rPr>
        <w:t> 治療處方</w:t>
      </w:r>
      <w:r>
        <w:rPr>
          <w:color w:val="C00000"/>
          <w:spacing w:val="-1"/>
          <w:sz w:val="24"/>
        </w:rPr>
        <w:t>來治療結核病，導致治療處方不足進而產生抗藥的可能性，曾接受 </w:t>
      </w:r>
      <w:r>
        <w:rPr>
          <w:color w:val="C00000"/>
          <w:sz w:val="24"/>
        </w:rPr>
        <w:t>LTBI</w:t>
      </w:r>
      <w:r>
        <w:rPr>
          <w:color w:val="C00000"/>
          <w:spacing w:val="3"/>
          <w:sz w:val="24"/>
        </w:rPr>
        <w:t> 治療者倘</w:t>
      </w:r>
      <w:r>
        <w:rPr>
          <w:color w:val="C00000"/>
          <w:spacing w:val="2"/>
          <w:sz w:val="24"/>
        </w:rPr>
        <w:t>結核病發病應進行快速分子檢測(</w:t>
      </w:r>
      <w:r>
        <w:rPr>
          <w:color w:val="C00000"/>
          <w:sz w:val="24"/>
        </w:rPr>
        <w:t>GenoType)，以早期監測抗藥。</w:t>
      </w:r>
    </w:p>
    <w:p>
      <w:pPr>
        <w:pStyle w:val="ListParagraph"/>
        <w:numPr>
          <w:ilvl w:val="3"/>
          <w:numId w:val="122"/>
        </w:numPr>
        <w:tabs>
          <w:tab w:pos="1474" w:val="left" w:leader="none"/>
        </w:tabs>
        <w:spacing w:line="228" w:lineRule="auto" w:before="2" w:after="0"/>
        <w:ind w:left="1473" w:right="1380" w:hanging="293"/>
        <w:jc w:val="both"/>
        <w:rPr>
          <w:sz w:val="24"/>
        </w:rPr>
      </w:pPr>
      <w:r>
        <w:rPr>
          <w:spacing w:val="2"/>
          <w:sz w:val="24"/>
        </w:rPr>
        <w:t>接觸者其指標個案具抗藥性時，應依照指標個案抗藥性選擇有效且安全的治療處</w:t>
      </w:r>
      <w:r>
        <w:rPr>
          <w:spacing w:val="-4"/>
          <w:sz w:val="24"/>
        </w:rPr>
        <w:t>方，並搭配都治計畫完成療程；例如：</w:t>
      </w:r>
      <w:r>
        <w:rPr>
          <w:sz w:val="24"/>
        </w:rPr>
        <w:t>RMP</w:t>
      </w:r>
      <w:r>
        <w:rPr>
          <w:spacing w:val="1"/>
          <w:sz w:val="24"/>
        </w:rPr>
        <w:t> 單一抗藥轉為 </w:t>
      </w:r>
      <w:r>
        <w:rPr>
          <w:sz w:val="24"/>
        </w:rPr>
        <w:t>9H</w:t>
      </w:r>
      <w:r>
        <w:rPr>
          <w:spacing w:val="-2"/>
          <w:sz w:val="24"/>
        </w:rPr>
        <w:t> 治療；</w:t>
      </w:r>
      <w:r>
        <w:rPr>
          <w:sz w:val="24"/>
        </w:rPr>
        <w:t>INH</w:t>
      </w:r>
      <w:r>
        <w:rPr>
          <w:spacing w:val="3"/>
          <w:sz w:val="24"/>
        </w:rPr>
        <w:t> 單一抗</w:t>
      </w:r>
      <w:r>
        <w:rPr>
          <w:spacing w:val="9"/>
          <w:sz w:val="24"/>
        </w:rPr>
        <w:t>藥則轉為 </w:t>
      </w:r>
      <w:r>
        <w:rPr>
          <w:sz w:val="24"/>
        </w:rPr>
        <w:t>4R</w:t>
      </w:r>
      <w:r>
        <w:rPr>
          <w:spacing w:val="10"/>
          <w:sz w:val="24"/>
        </w:rPr>
        <w:t> 治療；</w:t>
      </w:r>
      <w:r>
        <w:rPr>
          <w:sz w:val="24"/>
        </w:rPr>
        <w:t>MDR</w:t>
      </w:r>
      <w:r>
        <w:rPr>
          <w:spacing w:val="6"/>
          <w:sz w:val="24"/>
        </w:rPr>
        <w:t> 抗藥者至抗藥性結核病醫療照護體系(</w:t>
      </w:r>
      <w:r>
        <w:rPr>
          <w:spacing w:val="3"/>
          <w:sz w:val="24"/>
        </w:rPr>
        <w:t>TMTC</w:t>
      </w:r>
      <w:r>
        <w:rPr>
          <w:spacing w:val="10"/>
          <w:sz w:val="24"/>
        </w:rPr>
        <w:t>)使用 </w:t>
      </w:r>
      <w:r>
        <w:rPr>
          <w:sz w:val="24"/>
        </w:rPr>
        <w:t>FQ </w:t>
      </w:r>
      <w:r>
        <w:rPr>
          <w:spacing w:val="3"/>
          <w:sz w:val="24"/>
        </w:rPr>
        <w:t>類藥物治療。</w:t>
      </w:r>
    </w:p>
    <w:p>
      <w:pPr>
        <w:pStyle w:val="ListParagraph"/>
        <w:numPr>
          <w:ilvl w:val="3"/>
          <w:numId w:val="122"/>
        </w:numPr>
        <w:tabs>
          <w:tab w:pos="1474" w:val="left" w:leader="none"/>
        </w:tabs>
        <w:spacing w:line="228" w:lineRule="auto" w:before="3" w:after="0"/>
        <w:ind w:left="1473" w:right="1374" w:hanging="293"/>
        <w:jc w:val="both"/>
        <w:rPr>
          <w:color w:val="C00000"/>
          <w:sz w:val="24"/>
        </w:rPr>
      </w:pPr>
      <w:r>
        <w:rPr>
          <w:spacing w:val="-14"/>
          <w:sz w:val="24"/>
        </w:rPr>
        <w:t>各處方間若因副作用或其他因素，得相互轉換；除指標個案對原治療處方抗藥外， </w:t>
      </w:r>
      <w:r>
        <w:rPr>
          <w:spacing w:val="3"/>
          <w:sz w:val="24"/>
        </w:rPr>
        <w:t>轉換後處方按已服用比例，接續服用滿該處方的療程，並儘可能不要短少</w:t>
      </w:r>
      <w:r>
        <w:rPr>
          <w:color w:val="C00000"/>
          <w:spacing w:val="2"/>
          <w:sz w:val="24"/>
        </w:rPr>
        <w:t>。接觸</w:t>
      </w:r>
      <w:r>
        <w:rPr>
          <w:color w:val="C00000"/>
          <w:spacing w:val="6"/>
          <w:sz w:val="24"/>
        </w:rPr>
        <w:t>者於 </w:t>
      </w:r>
      <w:r>
        <w:rPr>
          <w:color w:val="C00000"/>
          <w:sz w:val="24"/>
        </w:rPr>
        <w:t>LTBI</w:t>
      </w:r>
      <w:r>
        <w:rPr>
          <w:color w:val="C00000"/>
          <w:spacing w:val="3"/>
          <w:sz w:val="24"/>
        </w:rPr>
        <w:t> 治療期間或已完成 </w:t>
      </w:r>
      <w:r>
        <w:rPr>
          <w:color w:val="C00000"/>
          <w:sz w:val="24"/>
        </w:rPr>
        <w:t>LTBI</w:t>
      </w:r>
      <w:r>
        <w:rPr>
          <w:color w:val="C00000"/>
          <w:spacing w:val="3"/>
          <w:sz w:val="24"/>
        </w:rPr>
        <w:t> 治療後，發現指標個案藥敏具抗藥性，建議依指標個案藥敏情形重新治療，以確保治療效果。有效治療起日以接觸者與指標個案終止有效暴露日後開始計算；倘無法重新以有效處方治療，則建議至少完成該</w:t>
      </w:r>
      <w:r>
        <w:rPr>
          <w:color w:val="C00000"/>
          <w:spacing w:val="2"/>
          <w:sz w:val="24"/>
        </w:rPr>
        <w:t>療程，惟目前無證據確認其保護效果。</w:t>
      </w:r>
    </w:p>
    <w:p>
      <w:pPr>
        <w:pStyle w:val="ListParagraph"/>
        <w:numPr>
          <w:ilvl w:val="3"/>
          <w:numId w:val="122"/>
        </w:numPr>
        <w:tabs>
          <w:tab w:pos="1474" w:val="left" w:leader="none"/>
        </w:tabs>
        <w:spacing w:line="228" w:lineRule="auto" w:before="4" w:after="0"/>
        <w:ind w:left="1473" w:right="1325" w:hanging="293"/>
        <w:jc w:val="both"/>
        <w:rPr>
          <w:sz w:val="24"/>
        </w:rPr>
      </w:pPr>
      <w:r>
        <w:rPr>
          <w:sz w:val="24"/>
        </w:rPr>
        <w:t>LTBI</w:t>
      </w:r>
      <w:r>
        <w:rPr>
          <w:spacing w:val="3"/>
          <w:sz w:val="24"/>
        </w:rPr>
        <w:t> 治療因故中斷</w:t>
      </w:r>
      <w:r>
        <w:rPr>
          <w:color w:val="C00000"/>
          <w:spacing w:val="-4"/>
          <w:sz w:val="24"/>
        </w:rPr>
        <w:t>者</w:t>
      </w:r>
      <w:r>
        <w:rPr>
          <w:spacing w:val="-3"/>
          <w:sz w:val="24"/>
        </w:rPr>
        <w:t>，應瞭解中斷的原因，並盡力協助完成治療，避免因治療中</w:t>
      </w:r>
      <w:r>
        <w:rPr>
          <w:spacing w:val="-1"/>
          <w:sz w:val="24"/>
        </w:rPr>
        <w:t>斷產生後續發病和抗藥問題；接續 </w:t>
      </w:r>
      <w:r>
        <w:rPr>
          <w:sz w:val="24"/>
        </w:rPr>
        <w:t>LTBI</w:t>
      </w:r>
      <w:r>
        <w:rPr>
          <w:spacing w:val="-5"/>
          <w:sz w:val="24"/>
        </w:rPr>
        <w:t> 治療時，可不計中斷治療的時間，以接續</w:t>
      </w:r>
      <w:r>
        <w:rPr>
          <w:spacing w:val="-1"/>
          <w:sz w:val="24"/>
        </w:rPr>
        <w:t>完成療程為原則(例如: </w:t>
      </w:r>
      <w:r>
        <w:rPr>
          <w:color w:val="C00000"/>
          <w:sz w:val="24"/>
        </w:rPr>
        <w:t>1HP</w:t>
      </w:r>
      <w:r>
        <w:rPr>
          <w:color w:val="C00000"/>
          <w:spacing w:val="6"/>
          <w:sz w:val="24"/>
        </w:rPr>
        <w:t> </w:t>
      </w:r>
      <w:r>
        <w:rPr>
          <w:spacing w:val="3"/>
          <w:sz w:val="24"/>
        </w:rPr>
        <w:t>應服滿 </w:t>
      </w:r>
      <w:r>
        <w:rPr>
          <w:color w:val="C00000"/>
          <w:sz w:val="24"/>
        </w:rPr>
        <w:t>28</w:t>
      </w:r>
      <w:r>
        <w:rPr>
          <w:color w:val="C00000"/>
          <w:spacing w:val="2"/>
          <w:sz w:val="24"/>
        </w:rPr>
        <w:t> 天</w:t>
      </w:r>
      <w:r>
        <w:rPr>
          <w:sz w:val="24"/>
        </w:rPr>
        <w:t>、</w:t>
      </w:r>
      <w:r>
        <w:rPr>
          <w:color w:val="C00000"/>
          <w:sz w:val="24"/>
        </w:rPr>
        <w:t>3HP</w:t>
      </w:r>
      <w:r>
        <w:rPr>
          <w:color w:val="C00000"/>
          <w:spacing w:val="5"/>
          <w:sz w:val="24"/>
        </w:rPr>
        <w:t> </w:t>
      </w:r>
      <w:r>
        <w:rPr>
          <w:spacing w:val="3"/>
          <w:sz w:val="24"/>
        </w:rPr>
        <w:t>應服滿 </w:t>
      </w:r>
      <w:r>
        <w:rPr>
          <w:color w:val="C00000"/>
          <w:sz w:val="24"/>
        </w:rPr>
        <w:t>12</w:t>
      </w:r>
      <w:r>
        <w:rPr>
          <w:color w:val="C00000"/>
          <w:spacing w:val="2"/>
          <w:sz w:val="24"/>
        </w:rPr>
        <w:t> 劑次</w:t>
      </w:r>
      <w:r>
        <w:rPr>
          <w:sz w:val="24"/>
        </w:rPr>
        <w:t>、3HR</w:t>
      </w:r>
      <w:r>
        <w:rPr>
          <w:spacing w:val="3"/>
          <w:sz w:val="24"/>
        </w:rPr>
        <w:t> 應服滿 </w:t>
      </w:r>
      <w:r>
        <w:rPr>
          <w:sz w:val="24"/>
        </w:rPr>
        <w:t>90 </w:t>
      </w:r>
      <w:r>
        <w:rPr>
          <w:spacing w:val="-35"/>
          <w:sz w:val="24"/>
        </w:rPr>
        <w:t>天、</w:t>
      </w:r>
      <w:r>
        <w:rPr>
          <w:color w:val="C00000"/>
          <w:sz w:val="24"/>
        </w:rPr>
        <w:t>4R</w:t>
      </w:r>
      <w:r>
        <w:rPr>
          <w:color w:val="C00000"/>
          <w:spacing w:val="3"/>
          <w:sz w:val="24"/>
        </w:rPr>
        <w:t> 應服滿 </w:t>
      </w:r>
      <w:r>
        <w:rPr>
          <w:color w:val="C00000"/>
          <w:sz w:val="24"/>
        </w:rPr>
        <w:t>120</w:t>
      </w:r>
      <w:r>
        <w:rPr>
          <w:color w:val="C00000"/>
          <w:spacing w:val="3"/>
          <w:sz w:val="24"/>
        </w:rPr>
        <w:t> 天</w:t>
      </w:r>
      <w:r>
        <w:rPr>
          <w:spacing w:val="3"/>
          <w:sz w:val="24"/>
        </w:rPr>
        <w:t>或 </w:t>
      </w:r>
      <w:r>
        <w:rPr>
          <w:color w:val="C00000"/>
          <w:sz w:val="24"/>
        </w:rPr>
        <w:t>6H</w:t>
      </w:r>
      <w:r>
        <w:rPr>
          <w:color w:val="C00000"/>
          <w:spacing w:val="3"/>
          <w:sz w:val="24"/>
        </w:rPr>
        <w:t> </w:t>
      </w:r>
      <w:r>
        <w:rPr>
          <w:spacing w:val="3"/>
          <w:sz w:val="24"/>
        </w:rPr>
        <w:t>應服滿 </w:t>
      </w:r>
      <w:r>
        <w:rPr>
          <w:color w:val="C00000"/>
          <w:sz w:val="24"/>
        </w:rPr>
        <w:t>180</w:t>
      </w:r>
      <w:r>
        <w:rPr>
          <w:color w:val="C00000"/>
          <w:spacing w:val="3"/>
          <w:sz w:val="24"/>
        </w:rPr>
        <w:t> 天</w:t>
      </w:r>
      <w:r>
        <w:rPr>
          <w:spacing w:val="-37"/>
          <w:sz w:val="24"/>
        </w:rPr>
        <w:t>)。</w:t>
      </w:r>
      <w:r>
        <w:rPr>
          <w:color w:val="C00000"/>
          <w:sz w:val="24"/>
        </w:rPr>
        <w:t>但接續治療前須排除活動性結核病。</w:t>
      </w:r>
    </w:p>
    <w:p>
      <w:pPr>
        <w:pStyle w:val="ListParagraph"/>
        <w:numPr>
          <w:ilvl w:val="3"/>
          <w:numId w:val="122"/>
        </w:numPr>
        <w:tabs>
          <w:tab w:pos="1474" w:val="left" w:leader="none"/>
        </w:tabs>
        <w:spacing w:line="228" w:lineRule="auto" w:before="3" w:after="0"/>
        <w:ind w:left="1473" w:right="1385" w:hanging="293"/>
        <w:jc w:val="both"/>
        <w:rPr>
          <w:sz w:val="24"/>
        </w:rPr>
      </w:pPr>
      <w:r>
        <w:rPr>
          <w:spacing w:val="3"/>
          <w:sz w:val="24"/>
        </w:rPr>
        <w:t>曾完成 </w:t>
      </w:r>
      <w:r>
        <w:rPr>
          <w:sz w:val="24"/>
        </w:rPr>
        <w:t>LTBI</w:t>
      </w:r>
      <w:r>
        <w:rPr>
          <w:spacing w:val="-4"/>
          <w:sz w:val="24"/>
        </w:rPr>
        <w:t> 治療者或完治之結核病個案，如再次暴露結核菌被匡列為接觸者，仍</w:t>
      </w:r>
      <w:r>
        <w:rPr>
          <w:spacing w:val="3"/>
          <w:sz w:val="24"/>
        </w:rPr>
        <w:t>有再感染及發病風險，</w:t>
      </w:r>
      <w:r>
        <w:rPr>
          <w:color w:val="C00000"/>
          <w:spacing w:val="4"/>
          <w:sz w:val="24"/>
        </w:rPr>
        <w:t>針對</w:t>
      </w:r>
      <w:r>
        <w:rPr>
          <w:spacing w:val="3"/>
          <w:sz w:val="24"/>
        </w:rPr>
        <w:t>衛生單位轉介</w:t>
      </w:r>
      <w:r>
        <w:rPr>
          <w:color w:val="C00000"/>
          <w:spacing w:val="3"/>
          <w:sz w:val="24"/>
        </w:rPr>
        <w:t>個案，請</w:t>
      </w:r>
      <w:r>
        <w:rPr>
          <w:spacing w:val="3"/>
          <w:sz w:val="24"/>
        </w:rPr>
        <w:t>醫師</w:t>
      </w:r>
      <w:r>
        <w:rPr>
          <w:color w:val="C00000"/>
          <w:spacing w:val="3"/>
          <w:sz w:val="24"/>
        </w:rPr>
        <w:t>綜合</w:t>
      </w:r>
      <w:r>
        <w:rPr>
          <w:spacing w:val="3"/>
          <w:sz w:val="24"/>
        </w:rPr>
        <w:t>評估</w:t>
      </w:r>
      <w:r>
        <w:rPr>
          <w:color w:val="C00000"/>
          <w:spacing w:val="3"/>
          <w:sz w:val="24"/>
        </w:rPr>
        <w:t>發病風險</w:t>
      </w:r>
      <w:r>
        <w:rPr>
          <w:spacing w:val="2"/>
          <w:sz w:val="24"/>
        </w:rPr>
        <w:t>，再次進行 </w:t>
      </w:r>
      <w:r>
        <w:rPr>
          <w:sz w:val="24"/>
        </w:rPr>
        <w:t>LTBI</w:t>
      </w:r>
      <w:r>
        <w:rPr>
          <w:spacing w:val="3"/>
          <w:sz w:val="24"/>
        </w:rPr>
        <w:t> 治療，以預防發病。</w:t>
      </w:r>
    </w:p>
    <w:p>
      <w:pPr>
        <w:pStyle w:val="ListParagraph"/>
        <w:numPr>
          <w:ilvl w:val="3"/>
          <w:numId w:val="122"/>
        </w:numPr>
        <w:tabs>
          <w:tab w:pos="1474" w:val="left" w:leader="none"/>
        </w:tabs>
        <w:spacing w:line="228" w:lineRule="auto" w:before="3" w:after="0"/>
        <w:ind w:left="1473" w:right="1380" w:hanging="293"/>
        <w:jc w:val="both"/>
        <w:rPr>
          <w:sz w:val="23"/>
        </w:rPr>
      </w:pPr>
      <w:r>
        <w:rPr>
          <w:sz w:val="24"/>
        </w:rPr>
        <w:t>LTBI</w:t>
      </w:r>
      <w:r>
        <w:rPr>
          <w:spacing w:val="3"/>
          <w:sz w:val="24"/>
        </w:rPr>
        <w:t> 治療對象若於診斷未確定前，已經接受含 </w:t>
      </w:r>
      <w:r>
        <w:rPr>
          <w:sz w:val="24"/>
        </w:rPr>
        <w:t>RMP+PZA</w:t>
      </w:r>
      <w:r>
        <w:rPr>
          <w:spacing w:val="5"/>
          <w:sz w:val="24"/>
        </w:rPr>
        <w:t> 處方 </w:t>
      </w:r>
      <w:r>
        <w:rPr>
          <w:sz w:val="24"/>
        </w:rPr>
        <w:t>2</w:t>
      </w:r>
      <w:r>
        <w:rPr>
          <w:spacing w:val="6"/>
          <w:sz w:val="24"/>
        </w:rPr>
        <w:t> 個月以上或</w:t>
      </w:r>
      <w:r>
        <w:rPr>
          <w:sz w:val="24"/>
        </w:rPr>
        <w:t>INH+RMP</w:t>
      </w:r>
      <w:r>
        <w:rPr>
          <w:spacing w:val="15"/>
          <w:sz w:val="24"/>
        </w:rPr>
        <w:t> 處方 </w:t>
      </w:r>
      <w:r>
        <w:rPr>
          <w:sz w:val="24"/>
        </w:rPr>
        <w:t>3</w:t>
      </w:r>
      <w:r>
        <w:rPr>
          <w:spacing w:val="3"/>
          <w:sz w:val="24"/>
        </w:rPr>
        <w:t> 個月以上治療，即等同於已完成了 </w:t>
      </w:r>
      <w:r>
        <w:rPr>
          <w:sz w:val="24"/>
        </w:rPr>
        <w:t>LTBI</w:t>
      </w:r>
      <w:r>
        <w:rPr>
          <w:spacing w:val="3"/>
          <w:sz w:val="24"/>
        </w:rPr>
        <w:t> 治療，於排除活動性</w:t>
      </w:r>
      <w:r>
        <w:rPr>
          <w:spacing w:val="2"/>
          <w:sz w:val="24"/>
        </w:rPr>
        <w:t>結核病後，不需再重複 </w:t>
      </w:r>
      <w:r>
        <w:rPr>
          <w:sz w:val="24"/>
        </w:rPr>
        <w:t>LTBI</w:t>
      </w:r>
      <w:r>
        <w:rPr>
          <w:spacing w:val="1"/>
          <w:sz w:val="24"/>
        </w:rPr>
        <w:t> 治療。</w:t>
      </w:r>
    </w:p>
    <w:p>
      <w:pPr>
        <w:pStyle w:val="ListParagraph"/>
        <w:numPr>
          <w:ilvl w:val="3"/>
          <w:numId w:val="122"/>
        </w:numPr>
        <w:tabs>
          <w:tab w:pos="1474" w:val="left" w:leader="none"/>
        </w:tabs>
        <w:spacing w:line="228" w:lineRule="auto" w:before="2" w:after="0"/>
        <w:ind w:left="1473" w:right="1325" w:hanging="293"/>
        <w:jc w:val="both"/>
        <w:rPr>
          <w:color w:val="C00000"/>
          <w:sz w:val="22"/>
        </w:rPr>
      </w:pPr>
      <w:r>
        <w:rPr>
          <w:color w:val="C00000"/>
          <w:spacing w:val="3"/>
          <w:sz w:val="24"/>
        </w:rPr>
        <w:t>因應 </w:t>
      </w:r>
      <w:r>
        <w:rPr>
          <w:color w:val="C00000"/>
          <w:sz w:val="24"/>
        </w:rPr>
        <w:t>WHO</w:t>
      </w:r>
      <w:r>
        <w:rPr>
          <w:color w:val="C00000"/>
          <w:spacing w:val="-2"/>
          <w:sz w:val="24"/>
        </w:rPr>
        <w:t> 及國際趨勢建議，國家結核病計畫應提供醫療工作者 </w:t>
      </w:r>
      <w:r>
        <w:rPr>
          <w:color w:val="C00000"/>
          <w:sz w:val="24"/>
        </w:rPr>
        <w:t>LTBI</w:t>
      </w:r>
      <w:r>
        <w:rPr>
          <w:color w:val="C00000"/>
          <w:spacing w:val="-1"/>
          <w:sz w:val="24"/>
        </w:rPr>
        <w:t> 治療機會， </w:t>
      </w:r>
      <w:r>
        <w:rPr>
          <w:color w:val="C00000"/>
          <w:spacing w:val="2"/>
          <w:sz w:val="24"/>
        </w:rPr>
        <w:t>鼓勵 </w:t>
      </w:r>
      <w:r>
        <w:rPr>
          <w:color w:val="C00000"/>
          <w:sz w:val="24"/>
        </w:rPr>
        <w:t>LTBI</w:t>
      </w:r>
      <w:r>
        <w:rPr>
          <w:color w:val="C00000"/>
          <w:spacing w:val="2"/>
          <w:sz w:val="24"/>
        </w:rPr>
        <w:t> 檢驗陽性之醫療工作者加入 </w:t>
      </w:r>
      <w:r>
        <w:rPr>
          <w:color w:val="C00000"/>
          <w:sz w:val="24"/>
        </w:rPr>
        <w:t>LTBI</w:t>
      </w:r>
      <w:r>
        <w:rPr>
          <w:color w:val="C00000"/>
          <w:spacing w:val="3"/>
          <w:sz w:val="24"/>
        </w:rPr>
        <w:t> 治療。</w:t>
      </w:r>
    </w:p>
    <w:p>
      <w:pPr>
        <w:spacing w:after="0" w:line="228" w:lineRule="auto"/>
        <w:jc w:val="both"/>
        <w:rPr>
          <w:sz w:val="22"/>
        </w:rPr>
        <w:sectPr>
          <w:pgSz w:w="12250" w:h="17190"/>
          <w:pgMar w:header="0" w:footer="748" w:top="1420" w:bottom="1020" w:left="840" w:right="0"/>
        </w:sectPr>
      </w:pPr>
    </w:p>
    <w:p>
      <w:pPr>
        <w:pStyle w:val="BodyText"/>
        <w:spacing w:before="9"/>
        <w:rPr>
          <w:sz w:val="5"/>
        </w:rPr>
      </w:pPr>
    </w:p>
    <w:p>
      <w:pPr>
        <w:pStyle w:val="Heading6"/>
        <w:spacing w:before="37" w:after="56"/>
        <w:ind w:left="78"/>
        <w:jc w:val="center"/>
      </w:pPr>
      <w:r>
        <w:rPr/>
        <w:t>表 10-1 我國各種結核病高風險族群成年人之潛伏結核感染率暨未進行治療之結核病發病率及相關指標</w:t>
      </w:r>
    </w:p>
    <w:tbl>
      <w:tblPr>
        <w:tblW w:w="0" w:type="auto"/>
        <w:jc w:val="left"/>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3"/>
        <w:gridCol w:w="840"/>
        <w:gridCol w:w="838"/>
        <w:gridCol w:w="1396"/>
        <w:gridCol w:w="1451"/>
        <w:gridCol w:w="1515"/>
        <w:gridCol w:w="1683"/>
        <w:gridCol w:w="1598"/>
        <w:gridCol w:w="1776"/>
      </w:tblGrid>
      <w:tr>
        <w:trPr>
          <w:trHeight w:val="899" w:hRule="atLeast"/>
        </w:trPr>
        <w:tc>
          <w:tcPr>
            <w:tcW w:w="3083" w:type="dxa"/>
            <w:shd w:val="clear" w:color="auto" w:fill="F1F1F1"/>
          </w:tcPr>
          <w:p>
            <w:pPr>
              <w:pStyle w:val="TableParagraph"/>
              <w:spacing w:before="3"/>
              <w:rPr>
                <w:b/>
                <w:sz w:val="14"/>
              </w:rPr>
            </w:pPr>
          </w:p>
          <w:p>
            <w:pPr>
              <w:pStyle w:val="TableParagraph"/>
              <w:ind w:left="776"/>
              <w:rPr>
                <w:sz w:val="21"/>
              </w:rPr>
            </w:pPr>
            <w:r>
              <w:rPr>
                <w:sz w:val="21"/>
              </w:rPr>
              <w:t>Risk Population</w:t>
            </w:r>
          </w:p>
        </w:tc>
        <w:tc>
          <w:tcPr>
            <w:tcW w:w="840" w:type="dxa"/>
            <w:shd w:val="clear" w:color="auto" w:fill="F1F1F1"/>
          </w:tcPr>
          <w:p>
            <w:pPr>
              <w:pStyle w:val="TableParagraph"/>
              <w:spacing w:line="187" w:lineRule="auto" w:before="172"/>
              <w:ind w:left="225" w:right="17" w:hanging="168"/>
              <w:rPr>
                <w:sz w:val="21"/>
              </w:rPr>
            </w:pPr>
            <w:r>
              <w:rPr>
                <w:sz w:val="21"/>
              </w:rPr>
              <w:t>Sample Size</w:t>
            </w:r>
          </w:p>
        </w:tc>
        <w:tc>
          <w:tcPr>
            <w:tcW w:w="838" w:type="dxa"/>
            <w:shd w:val="clear" w:color="auto" w:fill="F1F1F1"/>
          </w:tcPr>
          <w:p>
            <w:pPr>
              <w:pStyle w:val="TableParagraph"/>
              <w:spacing w:line="187" w:lineRule="auto" w:before="22"/>
              <w:ind w:left="135" w:right="88" w:hanging="22"/>
              <w:rPr>
                <w:sz w:val="21"/>
              </w:rPr>
            </w:pPr>
            <w:r>
              <w:rPr>
                <w:sz w:val="21"/>
              </w:rPr>
              <w:t>Age， Mean</w:t>
            </w:r>
          </w:p>
          <w:p>
            <w:pPr>
              <w:pStyle w:val="TableParagraph"/>
              <w:spacing w:line="255" w:lineRule="exact"/>
              <w:ind w:left="138"/>
              <w:rPr>
                <w:sz w:val="21"/>
              </w:rPr>
            </w:pPr>
            <w:r>
              <w:rPr>
                <w:sz w:val="21"/>
              </w:rPr>
              <w:t>(year)</w:t>
            </w:r>
          </w:p>
        </w:tc>
        <w:tc>
          <w:tcPr>
            <w:tcW w:w="1396" w:type="dxa"/>
            <w:shd w:val="clear" w:color="auto" w:fill="F1F1F1"/>
          </w:tcPr>
          <w:p>
            <w:pPr>
              <w:pStyle w:val="TableParagraph"/>
              <w:spacing w:line="343" w:lineRule="exact" w:before="110"/>
              <w:ind w:left="278"/>
              <w:rPr>
                <w:sz w:val="21"/>
              </w:rPr>
            </w:pPr>
            <w:r>
              <w:rPr>
                <w:sz w:val="21"/>
              </w:rPr>
              <w:t>IGRA (+)</w:t>
            </w:r>
          </w:p>
          <w:p>
            <w:pPr>
              <w:pStyle w:val="TableParagraph"/>
              <w:spacing w:line="343" w:lineRule="exact"/>
              <w:ind w:left="328"/>
              <w:rPr>
                <w:sz w:val="21"/>
              </w:rPr>
            </w:pPr>
            <w:r>
              <w:rPr>
                <w:sz w:val="21"/>
              </w:rPr>
              <w:t>人數(%)</w:t>
            </w:r>
          </w:p>
        </w:tc>
        <w:tc>
          <w:tcPr>
            <w:tcW w:w="1451" w:type="dxa"/>
            <w:shd w:val="clear" w:color="auto" w:fill="F1F1F1"/>
          </w:tcPr>
          <w:p>
            <w:pPr>
              <w:pStyle w:val="TableParagraph"/>
              <w:spacing w:line="187" w:lineRule="auto" w:before="22"/>
              <w:ind w:left="63" w:right="50" w:firstLine="202"/>
              <w:rPr>
                <w:sz w:val="21"/>
              </w:rPr>
            </w:pPr>
            <w:r>
              <w:rPr>
                <w:sz w:val="21"/>
              </w:rPr>
              <w:t>IGRA結果</w:t>
            </w:r>
            <w:r>
              <w:rPr>
                <w:spacing w:val="-7"/>
                <w:sz w:val="21"/>
              </w:rPr>
              <w:t>Indeterminate</w:t>
            </w:r>
          </w:p>
          <w:p>
            <w:pPr>
              <w:pStyle w:val="TableParagraph"/>
              <w:spacing w:line="255" w:lineRule="exact"/>
              <w:ind w:left="355"/>
              <w:rPr>
                <w:sz w:val="21"/>
              </w:rPr>
            </w:pPr>
            <w:r>
              <w:rPr>
                <w:sz w:val="21"/>
              </w:rPr>
              <w:t>人數(%)</w:t>
            </w:r>
          </w:p>
        </w:tc>
        <w:tc>
          <w:tcPr>
            <w:tcW w:w="1515" w:type="dxa"/>
            <w:shd w:val="clear" w:color="auto" w:fill="F1F1F1"/>
          </w:tcPr>
          <w:p>
            <w:pPr>
              <w:pStyle w:val="TableParagraph"/>
              <w:spacing w:line="187" w:lineRule="auto" w:before="22"/>
              <w:ind w:left="95" w:right="87" w:hanging="2"/>
              <w:jc w:val="center"/>
              <w:rPr>
                <w:sz w:val="21"/>
              </w:rPr>
            </w:pPr>
            <w:r>
              <w:rPr>
                <w:sz w:val="21"/>
              </w:rPr>
              <w:t>Active TB in IGRA positive</w:t>
            </w:r>
          </w:p>
          <w:p>
            <w:pPr>
              <w:pStyle w:val="TableParagraph"/>
              <w:spacing w:line="255" w:lineRule="exact"/>
              <w:ind w:left="57" w:right="51"/>
              <w:jc w:val="center"/>
              <w:rPr>
                <w:sz w:val="21"/>
              </w:rPr>
            </w:pPr>
            <w:r>
              <w:rPr>
                <w:sz w:val="21"/>
              </w:rPr>
              <w:t>人 數 (%)</w:t>
            </w:r>
          </w:p>
        </w:tc>
        <w:tc>
          <w:tcPr>
            <w:tcW w:w="1683" w:type="dxa"/>
            <w:shd w:val="clear" w:color="auto" w:fill="F1F1F1"/>
          </w:tcPr>
          <w:p>
            <w:pPr>
              <w:pStyle w:val="TableParagraph"/>
              <w:spacing w:line="187" w:lineRule="auto" w:before="22"/>
              <w:ind w:left="179" w:firstLine="88"/>
              <w:rPr>
                <w:sz w:val="21"/>
              </w:rPr>
            </w:pPr>
            <w:r>
              <w:rPr>
                <w:sz w:val="21"/>
              </w:rPr>
              <w:t>Active TB in IGRA</w:t>
            </w:r>
            <w:r>
              <w:rPr>
                <w:spacing w:val="6"/>
                <w:sz w:val="21"/>
              </w:rPr>
              <w:t> </w:t>
            </w:r>
            <w:r>
              <w:rPr>
                <w:spacing w:val="-3"/>
                <w:sz w:val="21"/>
              </w:rPr>
              <w:t>positive</w:t>
            </w:r>
          </w:p>
          <w:p>
            <w:pPr>
              <w:pStyle w:val="TableParagraph"/>
              <w:spacing w:line="255" w:lineRule="exact"/>
              <w:ind w:left="274"/>
              <w:rPr>
                <w:sz w:val="21"/>
              </w:rPr>
            </w:pPr>
            <w:r>
              <w:rPr>
                <w:spacing w:val="-1"/>
                <w:sz w:val="21"/>
              </w:rPr>
              <w:t>(每100</w:t>
            </w:r>
            <w:r>
              <w:rPr>
                <w:sz w:val="21"/>
              </w:rPr>
              <w:t>人年)</w:t>
            </w:r>
          </w:p>
        </w:tc>
        <w:tc>
          <w:tcPr>
            <w:tcW w:w="1598" w:type="dxa"/>
            <w:shd w:val="clear" w:color="auto" w:fill="F1F1F1"/>
          </w:tcPr>
          <w:p>
            <w:pPr>
              <w:pStyle w:val="TableParagraph"/>
              <w:spacing w:line="187" w:lineRule="auto" w:before="22"/>
              <w:ind w:left="62" w:right="52" w:hanging="3"/>
              <w:jc w:val="center"/>
              <w:rPr>
                <w:sz w:val="21"/>
              </w:rPr>
            </w:pPr>
            <w:r>
              <w:rPr>
                <w:sz w:val="21"/>
              </w:rPr>
              <w:t>Number </w:t>
            </w:r>
            <w:r>
              <w:rPr>
                <w:spacing w:val="-4"/>
                <w:sz w:val="21"/>
              </w:rPr>
              <w:t>needed </w:t>
            </w:r>
            <w:r>
              <w:rPr>
                <w:spacing w:val="-3"/>
                <w:sz w:val="21"/>
              </w:rPr>
              <w:t>to </w:t>
            </w:r>
            <w:r>
              <w:rPr>
                <w:spacing w:val="-7"/>
                <w:sz w:val="21"/>
              </w:rPr>
              <w:t>treat</w:t>
            </w:r>
          </w:p>
          <w:p>
            <w:pPr>
              <w:pStyle w:val="TableParagraph"/>
              <w:spacing w:line="255" w:lineRule="exact"/>
              <w:ind w:left="507" w:right="501"/>
              <w:jc w:val="center"/>
              <w:rPr>
                <w:sz w:val="21"/>
              </w:rPr>
            </w:pPr>
            <w:r>
              <w:rPr>
                <w:sz w:val="21"/>
              </w:rPr>
              <w:t>***</w:t>
            </w:r>
          </w:p>
        </w:tc>
        <w:tc>
          <w:tcPr>
            <w:tcW w:w="1776" w:type="dxa"/>
            <w:shd w:val="clear" w:color="auto" w:fill="F1F1F1"/>
          </w:tcPr>
          <w:p>
            <w:pPr>
              <w:pStyle w:val="TableParagraph"/>
              <w:spacing w:line="187" w:lineRule="auto" w:before="22"/>
              <w:ind w:left="62" w:right="39" w:firstLine="421"/>
              <w:rPr>
                <w:sz w:val="21"/>
              </w:rPr>
            </w:pPr>
            <w:r>
              <w:rPr>
                <w:sz w:val="21"/>
              </w:rPr>
              <w:t>Number </w:t>
            </w:r>
            <w:r>
              <w:rPr>
                <w:spacing w:val="-4"/>
                <w:sz w:val="21"/>
              </w:rPr>
              <w:t>needed </w:t>
            </w:r>
            <w:r>
              <w:rPr>
                <w:spacing w:val="-3"/>
                <w:sz w:val="21"/>
              </w:rPr>
              <w:t>to </w:t>
            </w:r>
            <w:r>
              <w:rPr>
                <w:spacing w:val="-4"/>
                <w:sz w:val="21"/>
              </w:rPr>
              <w:t>screen</w:t>
            </w:r>
          </w:p>
          <w:p>
            <w:pPr>
              <w:pStyle w:val="TableParagraph"/>
              <w:spacing w:line="255" w:lineRule="exact"/>
              <w:ind w:left="699"/>
              <w:rPr>
                <w:sz w:val="21"/>
              </w:rPr>
            </w:pPr>
            <w:r>
              <w:rPr>
                <w:sz w:val="21"/>
              </w:rPr>
              <w:t>****</w:t>
            </w:r>
          </w:p>
        </w:tc>
      </w:tr>
      <w:tr>
        <w:trPr>
          <w:trHeight w:val="347" w:hRule="atLeast"/>
        </w:trPr>
        <w:tc>
          <w:tcPr>
            <w:tcW w:w="3083" w:type="dxa"/>
          </w:tcPr>
          <w:p>
            <w:pPr>
              <w:pStyle w:val="TableParagraph"/>
              <w:spacing w:line="328" w:lineRule="exact"/>
              <w:ind w:left="75"/>
              <w:rPr>
                <w:sz w:val="21"/>
              </w:rPr>
            </w:pPr>
            <w:r>
              <w:rPr>
                <w:sz w:val="21"/>
              </w:rPr>
              <w:t>Adult Contact </w:t>
            </w:r>
            <w:r>
              <w:rPr>
                <w:sz w:val="21"/>
                <w:vertAlign w:val="superscript"/>
              </w:rPr>
              <w:t>3</w:t>
            </w:r>
          </w:p>
        </w:tc>
        <w:tc>
          <w:tcPr>
            <w:tcW w:w="840" w:type="dxa"/>
          </w:tcPr>
          <w:p>
            <w:pPr>
              <w:pStyle w:val="TableParagraph"/>
              <w:spacing w:line="328" w:lineRule="exact"/>
              <w:ind w:right="130"/>
              <w:jc w:val="right"/>
              <w:rPr>
                <w:sz w:val="21"/>
              </w:rPr>
            </w:pPr>
            <w:r>
              <w:rPr>
                <w:sz w:val="21"/>
              </w:rPr>
              <w:t>2203</w:t>
            </w:r>
          </w:p>
        </w:tc>
        <w:tc>
          <w:tcPr>
            <w:tcW w:w="838" w:type="dxa"/>
          </w:tcPr>
          <w:p>
            <w:pPr>
              <w:pStyle w:val="TableParagraph"/>
              <w:spacing w:line="328" w:lineRule="exact"/>
              <w:ind w:left="189" w:right="185"/>
              <w:jc w:val="center"/>
              <w:rPr>
                <w:sz w:val="21"/>
              </w:rPr>
            </w:pPr>
            <w:r>
              <w:rPr>
                <w:sz w:val="21"/>
              </w:rPr>
              <w:t>45</w:t>
            </w:r>
          </w:p>
        </w:tc>
        <w:tc>
          <w:tcPr>
            <w:tcW w:w="1396" w:type="dxa"/>
          </w:tcPr>
          <w:p>
            <w:pPr>
              <w:pStyle w:val="TableParagraph"/>
              <w:spacing w:line="328" w:lineRule="exact"/>
              <w:ind w:left="74"/>
              <w:rPr>
                <w:sz w:val="21"/>
              </w:rPr>
            </w:pPr>
            <w:r>
              <w:rPr>
                <w:sz w:val="21"/>
              </w:rPr>
              <w:t>414 (18.8%*)</w:t>
            </w:r>
          </w:p>
        </w:tc>
        <w:tc>
          <w:tcPr>
            <w:tcW w:w="1451" w:type="dxa"/>
          </w:tcPr>
          <w:p>
            <w:pPr>
              <w:pStyle w:val="TableParagraph"/>
              <w:rPr>
                <w:rFonts w:ascii="Times New Roman"/>
                <w:sz w:val="20"/>
              </w:rPr>
            </w:pPr>
          </w:p>
        </w:tc>
        <w:tc>
          <w:tcPr>
            <w:tcW w:w="1515" w:type="dxa"/>
          </w:tcPr>
          <w:p>
            <w:pPr>
              <w:pStyle w:val="TableParagraph"/>
              <w:spacing w:line="328" w:lineRule="exact"/>
              <w:ind w:left="56" w:right="51"/>
              <w:jc w:val="center"/>
              <w:rPr>
                <w:sz w:val="21"/>
              </w:rPr>
            </w:pPr>
            <w:r>
              <w:rPr>
                <w:sz w:val="21"/>
              </w:rPr>
              <w:t>10 (2.4%)</w:t>
            </w:r>
          </w:p>
        </w:tc>
        <w:tc>
          <w:tcPr>
            <w:tcW w:w="1683" w:type="dxa"/>
          </w:tcPr>
          <w:p>
            <w:pPr>
              <w:pStyle w:val="TableParagraph"/>
              <w:rPr>
                <w:rFonts w:ascii="Times New Roman"/>
                <w:sz w:val="20"/>
              </w:rPr>
            </w:pPr>
          </w:p>
        </w:tc>
        <w:tc>
          <w:tcPr>
            <w:tcW w:w="1598" w:type="dxa"/>
          </w:tcPr>
          <w:p>
            <w:pPr>
              <w:pStyle w:val="TableParagraph"/>
              <w:spacing w:line="328" w:lineRule="exact"/>
              <w:ind w:left="507" w:right="504"/>
              <w:jc w:val="center"/>
              <w:rPr>
                <w:sz w:val="21"/>
              </w:rPr>
            </w:pPr>
            <w:r>
              <w:rPr>
                <w:sz w:val="21"/>
              </w:rPr>
              <w:t>42</w:t>
            </w:r>
          </w:p>
        </w:tc>
        <w:tc>
          <w:tcPr>
            <w:tcW w:w="1776" w:type="dxa"/>
          </w:tcPr>
          <w:p>
            <w:pPr>
              <w:pStyle w:val="TableParagraph"/>
              <w:spacing w:line="328" w:lineRule="exact"/>
              <w:ind w:left="594" w:right="594"/>
              <w:jc w:val="center"/>
              <w:rPr>
                <w:sz w:val="21"/>
              </w:rPr>
            </w:pPr>
            <w:r>
              <w:rPr>
                <w:sz w:val="21"/>
              </w:rPr>
              <w:t>222.2</w:t>
            </w:r>
          </w:p>
        </w:tc>
      </w:tr>
      <w:tr>
        <w:trPr>
          <w:trHeight w:val="348" w:hRule="atLeast"/>
        </w:trPr>
        <w:tc>
          <w:tcPr>
            <w:tcW w:w="3083" w:type="dxa"/>
          </w:tcPr>
          <w:p>
            <w:pPr>
              <w:pStyle w:val="TableParagraph"/>
              <w:spacing w:line="329" w:lineRule="exact"/>
              <w:ind w:left="75"/>
              <w:rPr>
                <w:sz w:val="21"/>
              </w:rPr>
            </w:pPr>
            <w:r>
              <w:rPr>
                <w:spacing w:val="-4"/>
                <w:sz w:val="21"/>
              </w:rPr>
              <w:t>Leukemia </w:t>
            </w:r>
            <w:r>
              <w:rPr>
                <w:spacing w:val="-3"/>
                <w:sz w:val="21"/>
              </w:rPr>
              <w:t>and </w:t>
            </w:r>
            <w:r>
              <w:rPr>
                <w:spacing w:val="-5"/>
                <w:sz w:val="21"/>
              </w:rPr>
              <w:t>Hemaoncology</w:t>
            </w:r>
            <w:r>
              <w:rPr>
                <w:spacing w:val="-5"/>
                <w:sz w:val="21"/>
                <w:vertAlign w:val="superscript"/>
              </w:rPr>
              <w:t>2</w:t>
            </w:r>
          </w:p>
        </w:tc>
        <w:tc>
          <w:tcPr>
            <w:tcW w:w="840" w:type="dxa"/>
          </w:tcPr>
          <w:p>
            <w:pPr>
              <w:pStyle w:val="TableParagraph"/>
              <w:spacing w:line="329" w:lineRule="exact"/>
              <w:ind w:right="130"/>
              <w:jc w:val="right"/>
              <w:rPr>
                <w:sz w:val="21"/>
              </w:rPr>
            </w:pPr>
            <w:r>
              <w:rPr>
                <w:sz w:val="21"/>
              </w:rPr>
              <w:t>49</w:t>
            </w:r>
          </w:p>
        </w:tc>
        <w:tc>
          <w:tcPr>
            <w:tcW w:w="838" w:type="dxa"/>
          </w:tcPr>
          <w:p>
            <w:pPr>
              <w:pStyle w:val="TableParagraph"/>
              <w:spacing w:line="329" w:lineRule="exact"/>
              <w:ind w:left="189" w:right="185"/>
              <w:jc w:val="center"/>
              <w:rPr>
                <w:sz w:val="21"/>
              </w:rPr>
            </w:pPr>
            <w:r>
              <w:rPr>
                <w:sz w:val="21"/>
              </w:rPr>
              <w:t>55.5</w:t>
            </w:r>
          </w:p>
        </w:tc>
        <w:tc>
          <w:tcPr>
            <w:tcW w:w="1396" w:type="dxa"/>
          </w:tcPr>
          <w:p>
            <w:pPr>
              <w:pStyle w:val="TableParagraph"/>
              <w:spacing w:line="329" w:lineRule="exact"/>
              <w:ind w:left="284"/>
              <w:rPr>
                <w:sz w:val="21"/>
              </w:rPr>
            </w:pPr>
            <w:r>
              <w:rPr>
                <w:sz w:val="21"/>
              </w:rPr>
              <w:t>7 (14.3%)</w:t>
            </w:r>
          </w:p>
        </w:tc>
        <w:tc>
          <w:tcPr>
            <w:tcW w:w="1451" w:type="dxa"/>
          </w:tcPr>
          <w:p>
            <w:pPr>
              <w:pStyle w:val="TableParagraph"/>
              <w:spacing w:line="329" w:lineRule="exact"/>
              <w:ind w:right="175"/>
              <w:jc w:val="right"/>
              <w:rPr>
                <w:sz w:val="21"/>
              </w:rPr>
            </w:pPr>
            <w:r>
              <w:rPr>
                <w:sz w:val="21"/>
              </w:rPr>
              <w:t>12 (24.5%)</w:t>
            </w:r>
          </w:p>
        </w:tc>
        <w:tc>
          <w:tcPr>
            <w:tcW w:w="1515" w:type="dxa"/>
          </w:tcPr>
          <w:p>
            <w:pPr>
              <w:pStyle w:val="TableParagraph"/>
              <w:spacing w:line="329" w:lineRule="exact"/>
              <w:ind w:left="160" w:right="51"/>
              <w:jc w:val="center"/>
              <w:rPr>
                <w:sz w:val="21"/>
              </w:rPr>
            </w:pPr>
            <w:r>
              <w:rPr>
                <w:sz w:val="21"/>
              </w:rPr>
              <w:t>2 (28.6%)</w:t>
            </w:r>
          </w:p>
        </w:tc>
        <w:tc>
          <w:tcPr>
            <w:tcW w:w="1683" w:type="dxa"/>
          </w:tcPr>
          <w:p>
            <w:pPr>
              <w:pStyle w:val="TableParagraph"/>
              <w:spacing w:line="329" w:lineRule="exact"/>
              <w:ind w:left="57" w:right="53"/>
              <w:jc w:val="center"/>
              <w:rPr>
                <w:sz w:val="21"/>
              </w:rPr>
            </w:pPr>
            <w:r>
              <w:rPr>
                <w:sz w:val="21"/>
              </w:rPr>
              <w:t>25.6 (2/7.8人年)</w:t>
            </w:r>
          </w:p>
        </w:tc>
        <w:tc>
          <w:tcPr>
            <w:tcW w:w="1598" w:type="dxa"/>
          </w:tcPr>
          <w:p>
            <w:pPr>
              <w:pStyle w:val="TableParagraph"/>
              <w:spacing w:line="329" w:lineRule="exact"/>
              <w:ind w:left="505" w:right="504"/>
              <w:jc w:val="center"/>
              <w:rPr>
                <w:sz w:val="21"/>
              </w:rPr>
            </w:pPr>
            <w:r>
              <w:rPr>
                <w:sz w:val="21"/>
              </w:rPr>
              <w:t>3.5</w:t>
            </w:r>
          </w:p>
        </w:tc>
        <w:tc>
          <w:tcPr>
            <w:tcW w:w="1776" w:type="dxa"/>
          </w:tcPr>
          <w:p>
            <w:pPr>
              <w:pStyle w:val="TableParagraph"/>
              <w:spacing w:line="329" w:lineRule="exact"/>
              <w:ind w:left="594" w:right="594"/>
              <w:jc w:val="center"/>
              <w:rPr>
                <w:sz w:val="21"/>
              </w:rPr>
            </w:pPr>
            <w:r>
              <w:rPr>
                <w:sz w:val="21"/>
              </w:rPr>
              <w:t>24.4</w:t>
            </w:r>
          </w:p>
        </w:tc>
      </w:tr>
      <w:tr>
        <w:trPr>
          <w:trHeight w:val="347" w:hRule="atLeast"/>
        </w:trPr>
        <w:tc>
          <w:tcPr>
            <w:tcW w:w="3083" w:type="dxa"/>
          </w:tcPr>
          <w:p>
            <w:pPr>
              <w:pStyle w:val="TableParagraph"/>
              <w:spacing w:line="328" w:lineRule="exact"/>
              <w:ind w:left="75"/>
              <w:rPr>
                <w:sz w:val="21"/>
              </w:rPr>
            </w:pPr>
            <w:r>
              <w:rPr>
                <w:sz w:val="21"/>
              </w:rPr>
              <w:t>Lung Cancer</w:t>
            </w:r>
            <w:r>
              <w:rPr>
                <w:sz w:val="21"/>
                <w:vertAlign w:val="superscript"/>
              </w:rPr>
              <w:t>2</w:t>
            </w:r>
          </w:p>
        </w:tc>
        <w:tc>
          <w:tcPr>
            <w:tcW w:w="840" w:type="dxa"/>
          </w:tcPr>
          <w:p>
            <w:pPr>
              <w:pStyle w:val="TableParagraph"/>
              <w:spacing w:line="328" w:lineRule="exact"/>
              <w:ind w:right="130"/>
              <w:jc w:val="right"/>
              <w:rPr>
                <w:sz w:val="21"/>
              </w:rPr>
            </w:pPr>
            <w:r>
              <w:rPr>
                <w:sz w:val="21"/>
              </w:rPr>
              <w:t>244</w:t>
            </w:r>
          </w:p>
        </w:tc>
        <w:tc>
          <w:tcPr>
            <w:tcW w:w="838" w:type="dxa"/>
          </w:tcPr>
          <w:p>
            <w:pPr>
              <w:pStyle w:val="TableParagraph"/>
              <w:spacing w:line="328" w:lineRule="exact"/>
              <w:ind w:left="189" w:right="185"/>
              <w:jc w:val="center"/>
              <w:rPr>
                <w:sz w:val="21"/>
              </w:rPr>
            </w:pPr>
            <w:r>
              <w:rPr>
                <w:sz w:val="21"/>
              </w:rPr>
              <w:t>68.6</w:t>
            </w:r>
          </w:p>
        </w:tc>
        <w:tc>
          <w:tcPr>
            <w:tcW w:w="1396" w:type="dxa"/>
          </w:tcPr>
          <w:p>
            <w:pPr>
              <w:pStyle w:val="TableParagraph"/>
              <w:spacing w:line="328" w:lineRule="exact"/>
              <w:ind w:left="178"/>
              <w:rPr>
                <w:sz w:val="21"/>
              </w:rPr>
            </w:pPr>
            <w:r>
              <w:rPr>
                <w:sz w:val="21"/>
              </w:rPr>
              <w:t>63 (25.8%)</w:t>
            </w:r>
          </w:p>
        </w:tc>
        <w:tc>
          <w:tcPr>
            <w:tcW w:w="1451" w:type="dxa"/>
          </w:tcPr>
          <w:p>
            <w:pPr>
              <w:pStyle w:val="TableParagraph"/>
              <w:spacing w:line="328" w:lineRule="exact"/>
              <w:ind w:right="175"/>
              <w:jc w:val="right"/>
              <w:rPr>
                <w:sz w:val="21"/>
              </w:rPr>
            </w:pPr>
            <w:r>
              <w:rPr>
                <w:sz w:val="21"/>
              </w:rPr>
              <w:t>22 (9.0%)</w:t>
            </w:r>
          </w:p>
        </w:tc>
        <w:tc>
          <w:tcPr>
            <w:tcW w:w="1515" w:type="dxa"/>
          </w:tcPr>
          <w:p>
            <w:pPr>
              <w:pStyle w:val="TableParagraph"/>
              <w:spacing w:line="328" w:lineRule="exact"/>
              <w:ind w:left="54" w:right="51"/>
              <w:jc w:val="center"/>
              <w:rPr>
                <w:sz w:val="21"/>
              </w:rPr>
            </w:pPr>
            <w:r>
              <w:rPr>
                <w:sz w:val="21"/>
              </w:rPr>
              <w:t>1 (1.6%)</w:t>
            </w:r>
          </w:p>
        </w:tc>
        <w:tc>
          <w:tcPr>
            <w:tcW w:w="1683" w:type="dxa"/>
          </w:tcPr>
          <w:p>
            <w:pPr>
              <w:pStyle w:val="TableParagraph"/>
              <w:spacing w:line="328" w:lineRule="exact"/>
              <w:ind w:left="57" w:right="53"/>
              <w:jc w:val="center"/>
              <w:rPr>
                <w:sz w:val="21"/>
              </w:rPr>
            </w:pPr>
            <w:r>
              <w:rPr>
                <w:sz w:val="21"/>
              </w:rPr>
              <w:t>0.7 (1/150人年)</w:t>
            </w:r>
          </w:p>
        </w:tc>
        <w:tc>
          <w:tcPr>
            <w:tcW w:w="1598" w:type="dxa"/>
          </w:tcPr>
          <w:p>
            <w:pPr>
              <w:pStyle w:val="TableParagraph"/>
              <w:spacing w:line="328" w:lineRule="exact"/>
              <w:ind w:left="505" w:right="504"/>
              <w:jc w:val="center"/>
              <w:rPr>
                <w:sz w:val="21"/>
              </w:rPr>
            </w:pPr>
            <w:r>
              <w:rPr>
                <w:sz w:val="21"/>
              </w:rPr>
              <w:t>62.5</w:t>
            </w:r>
          </w:p>
        </w:tc>
        <w:tc>
          <w:tcPr>
            <w:tcW w:w="1776" w:type="dxa"/>
          </w:tcPr>
          <w:p>
            <w:pPr>
              <w:pStyle w:val="TableParagraph"/>
              <w:spacing w:line="328" w:lineRule="exact"/>
              <w:ind w:left="594" w:right="595"/>
              <w:jc w:val="center"/>
              <w:rPr>
                <w:sz w:val="21"/>
              </w:rPr>
            </w:pPr>
            <w:r>
              <w:rPr>
                <w:sz w:val="21"/>
              </w:rPr>
              <w:t>250.0</w:t>
            </w:r>
          </w:p>
        </w:tc>
      </w:tr>
      <w:tr>
        <w:trPr>
          <w:trHeight w:val="347" w:hRule="atLeast"/>
        </w:trPr>
        <w:tc>
          <w:tcPr>
            <w:tcW w:w="3083" w:type="dxa"/>
          </w:tcPr>
          <w:p>
            <w:pPr>
              <w:pStyle w:val="TableParagraph"/>
              <w:spacing w:line="328" w:lineRule="exact"/>
              <w:ind w:left="75"/>
              <w:rPr>
                <w:sz w:val="21"/>
              </w:rPr>
            </w:pPr>
            <w:r>
              <w:rPr>
                <w:sz w:val="21"/>
              </w:rPr>
              <w:t>HIV</w:t>
            </w:r>
            <w:r>
              <w:rPr>
                <w:sz w:val="21"/>
                <w:vertAlign w:val="superscript"/>
              </w:rPr>
              <w:t>4</w:t>
            </w:r>
            <w:r>
              <w:rPr>
                <w:sz w:val="21"/>
                <w:vertAlign w:val="baseline"/>
              </w:rPr>
              <w:t>(Heterosexual)</w:t>
            </w:r>
          </w:p>
        </w:tc>
        <w:tc>
          <w:tcPr>
            <w:tcW w:w="840" w:type="dxa"/>
          </w:tcPr>
          <w:p>
            <w:pPr>
              <w:pStyle w:val="TableParagraph"/>
              <w:spacing w:line="328" w:lineRule="exact"/>
              <w:ind w:right="130"/>
              <w:jc w:val="right"/>
              <w:rPr>
                <w:sz w:val="21"/>
              </w:rPr>
            </w:pPr>
            <w:r>
              <w:rPr>
                <w:sz w:val="21"/>
              </w:rPr>
              <w:t>97</w:t>
            </w:r>
          </w:p>
        </w:tc>
        <w:tc>
          <w:tcPr>
            <w:tcW w:w="838" w:type="dxa"/>
          </w:tcPr>
          <w:p>
            <w:pPr>
              <w:pStyle w:val="TableParagraph"/>
              <w:spacing w:line="328" w:lineRule="exact"/>
              <w:ind w:left="189" w:right="185"/>
              <w:jc w:val="center"/>
              <w:rPr>
                <w:sz w:val="21"/>
              </w:rPr>
            </w:pPr>
            <w:r>
              <w:rPr>
                <w:sz w:val="21"/>
              </w:rPr>
              <w:t>39.8</w:t>
            </w:r>
          </w:p>
        </w:tc>
        <w:tc>
          <w:tcPr>
            <w:tcW w:w="1396" w:type="dxa"/>
          </w:tcPr>
          <w:p>
            <w:pPr>
              <w:pStyle w:val="TableParagraph"/>
              <w:spacing w:line="328" w:lineRule="exact"/>
              <w:ind w:right="82"/>
              <w:jc w:val="right"/>
              <w:rPr>
                <w:sz w:val="21"/>
              </w:rPr>
            </w:pPr>
            <w:r>
              <w:rPr>
                <w:sz w:val="21"/>
              </w:rPr>
              <w:t>10 (10.3%*)</w:t>
            </w:r>
          </w:p>
        </w:tc>
        <w:tc>
          <w:tcPr>
            <w:tcW w:w="1451" w:type="dxa"/>
          </w:tcPr>
          <w:p>
            <w:pPr>
              <w:pStyle w:val="TableParagraph"/>
              <w:spacing w:line="328" w:lineRule="exact"/>
              <w:ind w:right="175"/>
              <w:jc w:val="right"/>
              <w:rPr>
                <w:sz w:val="21"/>
              </w:rPr>
            </w:pPr>
            <w:r>
              <w:rPr>
                <w:sz w:val="21"/>
              </w:rPr>
              <w:t>(1.9%)</w:t>
            </w:r>
          </w:p>
        </w:tc>
        <w:tc>
          <w:tcPr>
            <w:tcW w:w="1515" w:type="dxa"/>
          </w:tcPr>
          <w:p>
            <w:pPr>
              <w:pStyle w:val="TableParagraph"/>
              <w:spacing w:line="328" w:lineRule="exact"/>
              <w:ind w:left="161" w:right="51"/>
              <w:jc w:val="center"/>
              <w:rPr>
                <w:sz w:val="21"/>
              </w:rPr>
            </w:pPr>
            <w:r>
              <w:rPr>
                <w:sz w:val="21"/>
              </w:rPr>
              <w:t>1 (10.0%)</w:t>
            </w:r>
          </w:p>
        </w:tc>
        <w:tc>
          <w:tcPr>
            <w:tcW w:w="1683" w:type="dxa"/>
          </w:tcPr>
          <w:p>
            <w:pPr>
              <w:pStyle w:val="TableParagraph"/>
              <w:rPr>
                <w:rFonts w:ascii="Times New Roman"/>
                <w:sz w:val="20"/>
              </w:rPr>
            </w:pPr>
          </w:p>
        </w:tc>
        <w:tc>
          <w:tcPr>
            <w:tcW w:w="1598" w:type="dxa"/>
          </w:tcPr>
          <w:p>
            <w:pPr>
              <w:pStyle w:val="TableParagraph"/>
              <w:spacing w:line="328" w:lineRule="exact"/>
              <w:ind w:left="507" w:right="504"/>
              <w:jc w:val="center"/>
              <w:rPr>
                <w:sz w:val="21"/>
              </w:rPr>
            </w:pPr>
            <w:r>
              <w:rPr>
                <w:sz w:val="21"/>
              </w:rPr>
              <w:t>10</w:t>
            </w:r>
          </w:p>
        </w:tc>
        <w:tc>
          <w:tcPr>
            <w:tcW w:w="1776" w:type="dxa"/>
          </w:tcPr>
          <w:p>
            <w:pPr>
              <w:pStyle w:val="TableParagraph"/>
              <w:spacing w:line="328" w:lineRule="exact"/>
              <w:ind w:left="594" w:right="595"/>
              <w:jc w:val="center"/>
              <w:rPr>
                <w:sz w:val="21"/>
              </w:rPr>
            </w:pPr>
            <w:r>
              <w:rPr>
                <w:sz w:val="21"/>
              </w:rPr>
              <w:t>97.1</w:t>
            </w:r>
          </w:p>
        </w:tc>
      </w:tr>
      <w:tr>
        <w:trPr>
          <w:trHeight w:val="348" w:hRule="atLeast"/>
        </w:trPr>
        <w:tc>
          <w:tcPr>
            <w:tcW w:w="3083" w:type="dxa"/>
          </w:tcPr>
          <w:p>
            <w:pPr>
              <w:pStyle w:val="TableParagraph"/>
              <w:spacing w:line="329" w:lineRule="exact"/>
              <w:ind w:left="75"/>
              <w:rPr>
                <w:sz w:val="21"/>
              </w:rPr>
            </w:pPr>
            <w:r>
              <w:rPr>
                <w:sz w:val="21"/>
              </w:rPr>
              <w:t>HIV</w:t>
            </w:r>
            <w:r>
              <w:rPr>
                <w:sz w:val="21"/>
                <w:vertAlign w:val="superscript"/>
              </w:rPr>
              <w:t>6</w:t>
            </w:r>
            <w:r>
              <w:rPr>
                <w:sz w:val="21"/>
                <w:vertAlign w:val="baseline"/>
              </w:rPr>
              <w:t> (mainly IVDU)</w:t>
            </w:r>
          </w:p>
        </w:tc>
        <w:tc>
          <w:tcPr>
            <w:tcW w:w="840" w:type="dxa"/>
          </w:tcPr>
          <w:p>
            <w:pPr>
              <w:pStyle w:val="TableParagraph"/>
              <w:spacing w:line="329" w:lineRule="exact"/>
              <w:ind w:right="130"/>
              <w:jc w:val="right"/>
              <w:rPr>
                <w:sz w:val="21"/>
              </w:rPr>
            </w:pPr>
            <w:r>
              <w:rPr>
                <w:sz w:val="21"/>
              </w:rPr>
              <w:t>772</w:t>
            </w:r>
          </w:p>
        </w:tc>
        <w:tc>
          <w:tcPr>
            <w:tcW w:w="838" w:type="dxa"/>
          </w:tcPr>
          <w:p>
            <w:pPr>
              <w:pStyle w:val="TableParagraph"/>
              <w:spacing w:line="329" w:lineRule="exact"/>
              <w:ind w:left="189" w:right="185"/>
              <w:jc w:val="center"/>
              <w:rPr>
                <w:sz w:val="21"/>
              </w:rPr>
            </w:pPr>
            <w:r>
              <w:rPr>
                <w:sz w:val="21"/>
              </w:rPr>
              <w:t>36.8</w:t>
            </w:r>
          </w:p>
        </w:tc>
        <w:tc>
          <w:tcPr>
            <w:tcW w:w="1396" w:type="dxa"/>
          </w:tcPr>
          <w:p>
            <w:pPr>
              <w:pStyle w:val="TableParagraph"/>
              <w:spacing w:line="329" w:lineRule="exact"/>
              <w:ind w:left="178"/>
              <w:rPr>
                <w:sz w:val="21"/>
              </w:rPr>
            </w:pPr>
            <w:r>
              <w:rPr>
                <w:sz w:val="21"/>
              </w:rPr>
              <w:t>90 (11.7%)</w:t>
            </w:r>
          </w:p>
        </w:tc>
        <w:tc>
          <w:tcPr>
            <w:tcW w:w="1451" w:type="dxa"/>
          </w:tcPr>
          <w:p>
            <w:pPr>
              <w:pStyle w:val="TableParagraph"/>
              <w:spacing w:line="329" w:lineRule="exact"/>
              <w:ind w:right="175"/>
              <w:jc w:val="right"/>
              <w:rPr>
                <w:sz w:val="21"/>
              </w:rPr>
            </w:pPr>
            <w:r>
              <w:rPr>
                <w:sz w:val="21"/>
              </w:rPr>
              <w:t>31 (4%)</w:t>
            </w:r>
          </w:p>
        </w:tc>
        <w:tc>
          <w:tcPr>
            <w:tcW w:w="1515" w:type="dxa"/>
          </w:tcPr>
          <w:p>
            <w:pPr>
              <w:pStyle w:val="TableParagraph"/>
              <w:spacing w:line="329" w:lineRule="exact"/>
              <w:ind w:left="54" w:right="51"/>
              <w:jc w:val="center"/>
              <w:rPr>
                <w:sz w:val="21"/>
              </w:rPr>
            </w:pPr>
            <w:r>
              <w:rPr>
                <w:sz w:val="21"/>
              </w:rPr>
              <w:t>6 (6.7%)</w:t>
            </w:r>
          </w:p>
        </w:tc>
        <w:tc>
          <w:tcPr>
            <w:tcW w:w="1683" w:type="dxa"/>
          </w:tcPr>
          <w:p>
            <w:pPr>
              <w:pStyle w:val="TableParagraph"/>
              <w:rPr>
                <w:rFonts w:ascii="Times New Roman"/>
                <w:sz w:val="20"/>
              </w:rPr>
            </w:pPr>
          </w:p>
        </w:tc>
        <w:tc>
          <w:tcPr>
            <w:tcW w:w="1598" w:type="dxa"/>
          </w:tcPr>
          <w:p>
            <w:pPr>
              <w:pStyle w:val="TableParagraph"/>
              <w:spacing w:line="329" w:lineRule="exact"/>
              <w:ind w:left="506" w:right="504"/>
              <w:jc w:val="center"/>
              <w:rPr>
                <w:sz w:val="21"/>
              </w:rPr>
            </w:pPr>
            <w:r>
              <w:rPr>
                <w:sz w:val="21"/>
              </w:rPr>
              <w:t>14.9</w:t>
            </w:r>
          </w:p>
        </w:tc>
        <w:tc>
          <w:tcPr>
            <w:tcW w:w="1776" w:type="dxa"/>
          </w:tcPr>
          <w:p>
            <w:pPr>
              <w:pStyle w:val="TableParagraph"/>
              <w:spacing w:line="329" w:lineRule="exact"/>
              <w:ind w:left="594" w:right="595"/>
              <w:jc w:val="center"/>
              <w:rPr>
                <w:sz w:val="21"/>
              </w:rPr>
            </w:pPr>
            <w:r>
              <w:rPr>
                <w:sz w:val="21"/>
              </w:rPr>
              <w:t>125</w:t>
            </w:r>
          </w:p>
        </w:tc>
      </w:tr>
      <w:tr>
        <w:trPr>
          <w:trHeight w:val="347" w:hRule="atLeast"/>
        </w:trPr>
        <w:tc>
          <w:tcPr>
            <w:tcW w:w="3083" w:type="dxa"/>
          </w:tcPr>
          <w:p>
            <w:pPr>
              <w:pStyle w:val="TableParagraph"/>
              <w:spacing w:line="328" w:lineRule="exact"/>
              <w:ind w:left="75"/>
              <w:rPr>
                <w:sz w:val="21"/>
              </w:rPr>
            </w:pPr>
            <w:r>
              <w:rPr>
                <w:sz w:val="21"/>
              </w:rPr>
              <w:t>HIV</w:t>
            </w:r>
            <w:r>
              <w:rPr>
                <w:sz w:val="21"/>
                <w:vertAlign w:val="superscript"/>
              </w:rPr>
              <w:t>4</w:t>
            </w:r>
            <w:r>
              <w:rPr>
                <w:sz w:val="21"/>
                <w:vertAlign w:val="baseline"/>
              </w:rPr>
              <w:t>(IVDU)</w:t>
            </w:r>
          </w:p>
        </w:tc>
        <w:tc>
          <w:tcPr>
            <w:tcW w:w="840" w:type="dxa"/>
          </w:tcPr>
          <w:p>
            <w:pPr>
              <w:pStyle w:val="TableParagraph"/>
              <w:spacing w:line="328" w:lineRule="exact"/>
              <w:ind w:right="130"/>
              <w:jc w:val="right"/>
              <w:rPr>
                <w:sz w:val="21"/>
              </w:rPr>
            </w:pPr>
            <w:r>
              <w:rPr>
                <w:sz w:val="21"/>
              </w:rPr>
              <w:t>362</w:t>
            </w:r>
          </w:p>
        </w:tc>
        <w:tc>
          <w:tcPr>
            <w:tcW w:w="838" w:type="dxa"/>
          </w:tcPr>
          <w:p>
            <w:pPr>
              <w:pStyle w:val="TableParagraph"/>
              <w:spacing w:line="328" w:lineRule="exact"/>
              <w:ind w:left="189" w:right="185"/>
              <w:jc w:val="center"/>
              <w:rPr>
                <w:sz w:val="21"/>
              </w:rPr>
            </w:pPr>
            <w:r>
              <w:rPr>
                <w:sz w:val="21"/>
              </w:rPr>
              <w:t>36.4</w:t>
            </w:r>
          </w:p>
        </w:tc>
        <w:tc>
          <w:tcPr>
            <w:tcW w:w="1396" w:type="dxa"/>
          </w:tcPr>
          <w:p>
            <w:pPr>
              <w:pStyle w:val="TableParagraph"/>
              <w:spacing w:line="328" w:lineRule="exact"/>
              <w:ind w:right="82"/>
              <w:jc w:val="right"/>
              <w:rPr>
                <w:sz w:val="21"/>
              </w:rPr>
            </w:pPr>
            <w:r>
              <w:rPr>
                <w:sz w:val="21"/>
              </w:rPr>
              <w:t>42 (11.6%*)</w:t>
            </w:r>
          </w:p>
        </w:tc>
        <w:tc>
          <w:tcPr>
            <w:tcW w:w="1451" w:type="dxa"/>
          </w:tcPr>
          <w:p>
            <w:pPr>
              <w:pStyle w:val="TableParagraph"/>
              <w:spacing w:line="328" w:lineRule="exact"/>
              <w:ind w:right="175"/>
              <w:jc w:val="right"/>
              <w:rPr>
                <w:sz w:val="21"/>
              </w:rPr>
            </w:pPr>
            <w:r>
              <w:rPr>
                <w:sz w:val="21"/>
              </w:rPr>
              <w:t>(3.9%)</w:t>
            </w:r>
          </w:p>
        </w:tc>
        <w:tc>
          <w:tcPr>
            <w:tcW w:w="1515" w:type="dxa"/>
          </w:tcPr>
          <w:p>
            <w:pPr>
              <w:pStyle w:val="TableParagraph"/>
              <w:spacing w:line="328" w:lineRule="exact"/>
              <w:ind w:left="54" w:right="51"/>
              <w:jc w:val="center"/>
              <w:rPr>
                <w:sz w:val="21"/>
              </w:rPr>
            </w:pPr>
            <w:r>
              <w:rPr>
                <w:sz w:val="21"/>
              </w:rPr>
              <w:t>1 (2.4%)</w:t>
            </w:r>
          </w:p>
        </w:tc>
        <w:tc>
          <w:tcPr>
            <w:tcW w:w="1683" w:type="dxa"/>
          </w:tcPr>
          <w:p>
            <w:pPr>
              <w:pStyle w:val="TableParagraph"/>
              <w:rPr>
                <w:rFonts w:ascii="Times New Roman"/>
                <w:sz w:val="20"/>
              </w:rPr>
            </w:pPr>
          </w:p>
        </w:tc>
        <w:tc>
          <w:tcPr>
            <w:tcW w:w="1598" w:type="dxa"/>
          </w:tcPr>
          <w:p>
            <w:pPr>
              <w:pStyle w:val="TableParagraph"/>
              <w:spacing w:line="328" w:lineRule="exact"/>
              <w:ind w:left="506" w:right="504"/>
              <w:jc w:val="center"/>
              <w:rPr>
                <w:sz w:val="21"/>
              </w:rPr>
            </w:pPr>
            <w:r>
              <w:rPr>
                <w:sz w:val="21"/>
              </w:rPr>
              <w:t>41.7</w:t>
            </w:r>
          </w:p>
        </w:tc>
        <w:tc>
          <w:tcPr>
            <w:tcW w:w="1776" w:type="dxa"/>
          </w:tcPr>
          <w:p>
            <w:pPr>
              <w:pStyle w:val="TableParagraph"/>
              <w:spacing w:line="328" w:lineRule="exact"/>
              <w:ind w:left="594" w:right="594"/>
              <w:jc w:val="center"/>
              <w:rPr>
                <w:sz w:val="21"/>
              </w:rPr>
            </w:pPr>
            <w:r>
              <w:rPr>
                <w:sz w:val="21"/>
              </w:rPr>
              <w:t>357.1</w:t>
            </w:r>
          </w:p>
        </w:tc>
      </w:tr>
      <w:tr>
        <w:trPr>
          <w:trHeight w:val="347" w:hRule="atLeast"/>
        </w:trPr>
        <w:tc>
          <w:tcPr>
            <w:tcW w:w="3083" w:type="dxa"/>
          </w:tcPr>
          <w:p>
            <w:pPr>
              <w:pStyle w:val="TableParagraph"/>
              <w:spacing w:line="328" w:lineRule="exact"/>
              <w:ind w:left="75"/>
              <w:rPr>
                <w:sz w:val="21"/>
              </w:rPr>
            </w:pPr>
            <w:r>
              <w:rPr>
                <w:sz w:val="21"/>
              </w:rPr>
              <w:t>IVDU</w:t>
            </w:r>
            <w:r>
              <w:rPr>
                <w:sz w:val="21"/>
                <w:vertAlign w:val="superscript"/>
              </w:rPr>
              <w:t>5</w:t>
            </w:r>
            <w:r>
              <w:rPr>
                <w:sz w:val="21"/>
                <w:vertAlign w:val="baseline"/>
              </w:rPr>
              <w:t>(HIV+)</w:t>
            </w:r>
          </w:p>
        </w:tc>
        <w:tc>
          <w:tcPr>
            <w:tcW w:w="840" w:type="dxa"/>
          </w:tcPr>
          <w:p>
            <w:pPr>
              <w:pStyle w:val="TableParagraph"/>
              <w:spacing w:line="328" w:lineRule="exact"/>
              <w:ind w:right="130"/>
              <w:jc w:val="right"/>
              <w:rPr>
                <w:sz w:val="21"/>
              </w:rPr>
            </w:pPr>
            <w:r>
              <w:rPr>
                <w:sz w:val="21"/>
              </w:rPr>
              <w:t>4298</w:t>
            </w:r>
          </w:p>
        </w:tc>
        <w:tc>
          <w:tcPr>
            <w:tcW w:w="838" w:type="dxa"/>
          </w:tcPr>
          <w:p>
            <w:pPr>
              <w:pStyle w:val="TableParagraph"/>
              <w:rPr>
                <w:rFonts w:ascii="Times New Roman"/>
                <w:sz w:val="20"/>
              </w:rPr>
            </w:pPr>
          </w:p>
        </w:tc>
        <w:tc>
          <w:tcPr>
            <w:tcW w:w="1396" w:type="dxa"/>
          </w:tcPr>
          <w:p>
            <w:pPr>
              <w:pStyle w:val="TableParagraph"/>
              <w:rPr>
                <w:rFonts w:ascii="Times New Roman"/>
                <w:sz w:val="20"/>
              </w:rPr>
            </w:pPr>
          </w:p>
        </w:tc>
        <w:tc>
          <w:tcPr>
            <w:tcW w:w="1451" w:type="dxa"/>
          </w:tcPr>
          <w:p>
            <w:pPr>
              <w:pStyle w:val="TableParagraph"/>
              <w:rPr>
                <w:rFonts w:ascii="Times New Roman"/>
                <w:sz w:val="20"/>
              </w:rPr>
            </w:pPr>
          </w:p>
        </w:tc>
        <w:tc>
          <w:tcPr>
            <w:tcW w:w="1515" w:type="dxa"/>
          </w:tcPr>
          <w:p>
            <w:pPr>
              <w:pStyle w:val="TableParagraph"/>
              <w:spacing w:line="328" w:lineRule="exact"/>
              <w:ind w:left="55" w:right="51"/>
              <w:jc w:val="center"/>
              <w:rPr>
                <w:sz w:val="21"/>
              </w:rPr>
            </w:pPr>
            <w:r>
              <w:rPr>
                <w:sz w:val="21"/>
              </w:rPr>
              <w:t>13**</w:t>
            </w:r>
          </w:p>
        </w:tc>
        <w:tc>
          <w:tcPr>
            <w:tcW w:w="1683" w:type="dxa"/>
          </w:tcPr>
          <w:p>
            <w:pPr>
              <w:pStyle w:val="TableParagraph"/>
              <w:rPr>
                <w:rFonts w:ascii="Times New Roman"/>
                <w:sz w:val="20"/>
              </w:rPr>
            </w:pPr>
          </w:p>
        </w:tc>
        <w:tc>
          <w:tcPr>
            <w:tcW w:w="1598" w:type="dxa"/>
          </w:tcPr>
          <w:p>
            <w:pPr>
              <w:pStyle w:val="TableParagraph"/>
              <w:rPr>
                <w:rFonts w:ascii="Times New Roman"/>
                <w:sz w:val="20"/>
              </w:rPr>
            </w:pPr>
          </w:p>
        </w:tc>
        <w:tc>
          <w:tcPr>
            <w:tcW w:w="1776" w:type="dxa"/>
          </w:tcPr>
          <w:p>
            <w:pPr>
              <w:pStyle w:val="TableParagraph"/>
              <w:spacing w:line="328" w:lineRule="exact"/>
              <w:ind w:left="594" w:right="594"/>
              <w:jc w:val="center"/>
              <w:rPr>
                <w:sz w:val="21"/>
              </w:rPr>
            </w:pPr>
            <w:r>
              <w:rPr>
                <w:sz w:val="21"/>
              </w:rPr>
              <w:t>333.3</w:t>
            </w:r>
          </w:p>
        </w:tc>
      </w:tr>
      <w:tr>
        <w:trPr>
          <w:trHeight w:val="348" w:hRule="atLeast"/>
        </w:trPr>
        <w:tc>
          <w:tcPr>
            <w:tcW w:w="3083" w:type="dxa"/>
          </w:tcPr>
          <w:p>
            <w:pPr>
              <w:pStyle w:val="TableParagraph"/>
              <w:spacing w:line="329" w:lineRule="exact"/>
              <w:ind w:left="75"/>
              <w:rPr>
                <w:sz w:val="21"/>
              </w:rPr>
            </w:pPr>
            <w:r>
              <w:rPr>
                <w:sz w:val="21"/>
              </w:rPr>
              <w:t>HIV</w:t>
            </w:r>
            <w:r>
              <w:rPr>
                <w:sz w:val="21"/>
                <w:vertAlign w:val="superscript"/>
              </w:rPr>
              <w:t>4</w:t>
            </w:r>
            <w:r>
              <w:rPr>
                <w:sz w:val="21"/>
                <w:vertAlign w:val="baseline"/>
              </w:rPr>
              <w:t> (MSM)</w:t>
            </w:r>
          </w:p>
        </w:tc>
        <w:tc>
          <w:tcPr>
            <w:tcW w:w="840" w:type="dxa"/>
          </w:tcPr>
          <w:p>
            <w:pPr>
              <w:pStyle w:val="TableParagraph"/>
              <w:spacing w:line="329" w:lineRule="exact"/>
              <w:ind w:right="130"/>
              <w:jc w:val="right"/>
              <w:rPr>
                <w:sz w:val="21"/>
              </w:rPr>
            </w:pPr>
            <w:r>
              <w:rPr>
                <w:sz w:val="21"/>
              </w:rPr>
              <w:t>450</w:t>
            </w:r>
          </w:p>
        </w:tc>
        <w:tc>
          <w:tcPr>
            <w:tcW w:w="838" w:type="dxa"/>
          </w:tcPr>
          <w:p>
            <w:pPr>
              <w:pStyle w:val="TableParagraph"/>
              <w:spacing w:line="329" w:lineRule="exact"/>
              <w:ind w:left="189" w:right="185"/>
              <w:jc w:val="center"/>
              <w:rPr>
                <w:sz w:val="21"/>
              </w:rPr>
            </w:pPr>
            <w:r>
              <w:rPr>
                <w:sz w:val="21"/>
              </w:rPr>
              <w:t>35.5</w:t>
            </w:r>
          </w:p>
        </w:tc>
        <w:tc>
          <w:tcPr>
            <w:tcW w:w="1396" w:type="dxa"/>
          </w:tcPr>
          <w:p>
            <w:pPr>
              <w:pStyle w:val="TableParagraph"/>
              <w:spacing w:line="329" w:lineRule="exact"/>
              <w:ind w:left="178"/>
              <w:rPr>
                <w:sz w:val="21"/>
              </w:rPr>
            </w:pPr>
            <w:r>
              <w:rPr>
                <w:sz w:val="21"/>
              </w:rPr>
              <w:t>29 (6.4%*)</w:t>
            </w:r>
          </w:p>
        </w:tc>
        <w:tc>
          <w:tcPr>
            <w:tcW w:w="1451" w:type="dxa"/>
          </w:tcPr>
          <w:p>
            <w:pPr>
              <w:pStyle w:val="TableParagraph"/>
              <w:spacing w:line="329" w:lineRule="exact"/>
              <w:ind w:right="175"/>
              <w:jc w:val="right"/>
              <w:rPr>
                <w:sz w:val="21"/>
              </w:rPr>
            </w:pPr>
            <w:r>
              <w:rPr>
                <w:sz w:val="21"/>
              </w:rPr>
              <w:t>(4.7%)</w:t>
            </w:r>
          </w:p>
        </w:tc>
        <w:tc>
          <w:tcPr>
            <w:tcW w:w="1515" w:type="dxa"/>
          </w:tcPr>
          <w:p>
            <w:pPr>
              <w:pStyle w:val="TableParagraph"/>
              <w:spacing w:line="329" w:lineRule="exact"/>
              <w:ind w:left="161" w:right="51"/>
              <w:jc w:val="center"/>
              <w:rPr>
                <w:sz w:val="21"/>
              </w:rPr>
            </w:pPr>
            <w:r>
              <w:rPr>
                <w:sz w:val="21"/>
              </w:rPr>
              <w:t>3 (10.3%)</w:t>
            </w:r>
          </w:p>
        </w:tc>
        <w:tc>
          <w:tcPr>
            <w:tcW w:w="1683" w:type="dxa"/>
          </w:tcPr>
          <w:p>
            <w:pPr>
              <w:pStyle w:val="TableParagraph"/>
              <w:rPr>
                <w:rFonts w:ascii="Times New Roman"/>
                <w:sz w:val="20"/>
              </w:rPr>
            </w:pPr>
          </w:p>
        </w:tc>
        <w:tc>
          <w:tcPr>
            <w:tcW w:w="1598" w:type="dxa"/>
          </w:tcPr>
          <w:p>
            <w:pPr>
              <w:pStyle w:val="TableParagraph"/>
              <w:spacing w:line="329" w:lineRule="exact"/>
              <w:ind w:left="506" w:right="504"/>
              <w:jc w:val="center"/>
              <w:rPr>
                <w:sz w:val="21"/>
              </w:rPr>
            </w:pPr>
            <w:r>
              <w:rPr>
                <w:sz w:val="21"/>
              </w:rPr>
              <w:t>9.7</w:t>
            </w:r>
          </w:p>
        </w:tc>
        <w:tc>
          <w:tcPr>
            <w:tcW w:w="1776" w:type="dxa"/>
          </w:tcPr>
          <w:p>
            <w:pPr>
              <w:pStyle w:val="TableParagraph"/>
              <w:spacing w:line="329" w:lineRule="exact"/>
              <w:ind w:left="594" w:right="595"/>
              <w:jc w:val="center"/>
              <w:rPr>
                <w:sz w:val="21"/>
              </w:rPr>
            </w:pPr>
            <w:r>
              <w:rPr>
                <w:sz w:val="21"/>
              </w:rPr>
              <w:t>149.3</w:t>
            </w:r>
          </w:p>
        </w:tc>
      </w:tr>
      <w:tr>
        <w:trPr>
          <w:trHeight w:val="347" w:hRule="atLeast"/>
        </w:trPr>
        <w:tc>
          <w:tcPr>
            <w:tcW w:w="3083" w:type="dxa"/>
          </w:tcPr>
          <w:p>
            <w:pPr>
              <w:pStyle w:val="TableParagraph"/>
              <w:spacing w:line="328" w:lineRule="exact"/>
              <w:ind w:left="75"/>
              <w:rPr>
                <w:sz w:val="21"/>
              </w:rPr>
            </w:pPr>
            <w:r>
              <w:rPr>
                <w:sz w:val="21"/>
              </w:rPr>
              <w:t>HIV</w:t>
            </w:r>
            <w:r>
              <w:rPr>
                <w:sz w:val="21"/>
                <w:vertAlign w:val="superscript"/>
              </w:rPr>
              <w:t>7</w:t>
            </w:r>
            <w:r>
              <w:rPr>
                <w:sz w:val="21"/>
                <w:vertAlign w:val="baseline"/>
              </w:rPr>
              <w:t> (mainly MSM)</w:t>
            </w:r>
          </w:p>
        </w:tc>
        <w:tc>
          <w:tcPr>
            <w:tcW w:w="840" w:type="dxa"/>
          </w:tcPr>
          <w:p>
            <w:pPr>
              <w:pStyle w:val="TableParagraph"/>
              <w:spacing w:line="328" w:lineRule="exact"/>
              <w:ind w:right="130"/>
              <w:jc w:val="right"/>
              <w:rPr>
                <w:sz w:val="21"/>
              </w:rPr>
            </w:pPr>
            <w:r>
              <w:rPr>
                <w:sz w:val="21"/>
              </w:rPr>
              <w:t>608</w:t>
            </w:r>
          </w:p>
        </w:tc>
        <w:tc>
          <w:tcPr>
            <w:tcW w:w="838" w:type="dxa"/>
          </w:tcPr>
          <w:p>
            <w:pPr>
              <w:pStyle w:val="TableParagraph"/>
              <w:rPr>
                <w:rFonts w:ascii="Times New Roman"/>
                <w:sz w:val="20"/>
              </w:rPr>
            </w:pPr>
          </w:p>
        </w:tc>
        <w:tc>
          <w:tcPr>
            <w:tcW w:w="1396" w:type="dxa"/>
          </w:tcPr>
          <w:p>
            <w:pPr>
              <w:pStyle w:val="TableParagraph"/>
              <w:spacing w:line="328" w:lineRule="exact"/>
              <w:ind w:left="179"/>
              <w:rPr>
                <w:sz w:val="21"/>
              </w:rPr>
            </w:pPr>
            <w:r>
              <w:rPr>
                <w:sz w:val="21"/>
              </w:rPr>
              <w:t>64 (10.5%)</w:t>
            </w:r>
          </w:p>
        </w:tc>
        <w:tc>
          <w:tcPr>
            <w:tcW w:w="1451" w:type="dxa"/>
          </w:tcPr>
          <w:p>
            <w:pPr>
              <w:pStyle w:val="TableParagraph"/>
              <w:spacing w:line="328" w:lineRule="exact"/>
              <w:ind w:right="175"/>
              <w:jc w:val="right"/>
              <w:rPr>
                <w:sz w:val="21"/>
              </w:rPr>
            </w:pPr>
            <w:r>
              <w:rPr>
                <w:sz w:val="21"/>
              </w:rPr>
              <w:t>10 (1.6%)</w:t>
            </w:r>
          </w:p>
        </w:tc>
        <w:tc>
          <w:tcPr>
            <w:tcW w:w="1515" w:type="dxa"/>
          </w:tcPr>
          <w:p>
            <w:pPr>
              <w:pStyle w:val="TableParagraph"/>
              <w:spacing w:line="328" w:lineRule="exact"/>
              <w:ind w:left="55" w:right="51"/>
              <w:jc w:val="center"/>
              <w:rPr>
                <w:sz w:val="21"/>
              </w:rPr>
            </w:pPr>
            <w:r>
              <w:rPr>
                <w:sz w:val="21"/>
              </w:rPr>
              <w:t>1 (1.6%)</w:t>
            </w:r>
          </w:p>
        </w:tc>
        <w:tc>
          <w:tcPr>
            <w:tcW w:w="1683" w:type="dxa"/>
          </w:tcPr>
          <w:p>
            <w:pPr>
              <w:pStyle w:val="TableParagraph"/>
              <w:rPr>
                <w:rFonts w:ascii="Times New Roman"/>
                <w:sz w:val="20"/>
              </w:rPr>
            </w:pPr>
          </w:p>
        </w:tc>
        <w:tc>
          <w:tcPr>
            <w:tcW w:w="1598" w:type="dxa"/>
          </w:tcPr>
          <w:p>
            <w:pPr>
              <w:pStyle w:val="TableParagraph"/>
              <w:spacing w:line="328" w:lineRule="exact"/>
              <w:ind w:left="507" w:right="504"/>
              <w:jc w:val="center"/>
              <w:rPr>
                <w:sz w:val="21"/>
              </w:rPr>
            </w:pPr>
            <w:r>
              <w:rPr>
                <w:sz w:val="21"/>
              </w:rPr>
              <w:t>62.5</w:t>
            </w:r>
          </w:p>
        </w:tc>
        <w:tc>
          <w:tcPr>
            <w:tcW w:w="1776" w:type="dxa"/>
          </w:tcPr>
          <w:p>
            <w:pPr>
              <w:pStyle w:val="TableParagraph"/>
              <w:spacing w:line="328" w:lineRule="exact"/>
              <w:ind w:left="594" w:right="594"/>
              <w:jc w:val="center"/>
              <w:rPr>
                <w:sz w:val="21"/>
              </w:rPr>
            </w:pPr>
            <w:r>
              <w:rPr>
                <w:sz w:val="21"/>
              </w:rPr>
              <w:t>500</w:t>
            </w:r>
          </w:p>
        </w:tc>
      </w:tr>
      <w:tr>
        <w:trPr>
          <w:trHeight w:val="347" w:hRule="atLeast"/>
        </w:trPr>
        <w:tc>
          <w:tcPr>
            <w:tcW w:w="3083" w:type="dxa"/>
          </w:tcPr>
          <w:p>
            <w:pPr>
              <w:pStyle w:val="TableParagraph"/>
              <w:spacing w:line="328" w:lineRule="exact"/>
              <w:ind w:left="75"/>
              <w:rPr>
                <w:sz w:val="21"/>
              </w:rPr>
            </w:pPr>
            <w:r>
              <w:rPr>
                <w:sz w:val="21"/>
              </w:rPr>
              <w:t>IVDU</w:t>
            </w:r>
            <w:r>
              <w:rPr>
                <w:sz w:val="21"/>
                <w:vertAlign w:val="superscript"/>
              </w:rPr>
              <w:t>5</w:t>
            </w:r>
            <w:r>
              <w:rPr>
                <w:sz w:val="21"/>
                <w:vertAlign w:val="baseline"/>
              </w:rPr>
              <w:t>(HIV-)</w:t>
            </w:r>
          </w:p>
        </w:tc>
        <w:tc>
          <w:tcPr>
            <w:tcW w:w="840" w:type="dxa"/>
          </w:tcPr>
          <w:p>
            <w:pPr>
              <w:pStyle w:val="TableParagraph"/>
              <w:spacing w:line="328" w:lineRule="exact"/>
              <w:ind w:right="130"/>
              <w:jc w:val="right"/>
              <w:rPr>
                <w:sz w:val="21"/>
              </w:rPr>
            </w:pPr>
            <w:r>
              <w:rPr>
                <w:sz w:val="21"/>
              </w:rPr>
              <w:t>32430</w:t>
            </w:r>
          </w:p>
        </w:tc>
        <w:tc>
          <w:tcPr>
            <w:tcW w:w="838" w:type="dxa"/>
          </w:tcPr>
          <w:p>
            <w:pPr>
              <w:pStyle w:val="TableParagraph"/>
              <w:rPr>
                <w:rFonts w:ascii="Times New Roman"/>
                <w:sz w:val="20"/>
              </w:rPr>
            </w:pPr>
          </w:p>
        </w:tc>
        <w:tc>
          <w:tcPr>
            <w:tcW w:w="1396" w:type="dxa"/>
          </w:tcPr>
          <w:p>
            <w:pPr>
              <w:pStyle w:val="TableParagraph"/>
              <w:rPr>
                <w:rFonts w:ascii="Times New Roman"/>
                <w:sz w:val="20"/>
              </w:rPr>
            </w:pPr>
          </w:p>
        </w:tc>
        <w:tc>
          <w:tcPr>
            <w:tcW w:w="1451" w:type="dxa"/>
          </w:tcPr>
          <w:p>
            <w:pPr>
              <w:pStyle w:val="TableParagraph"/>
              <w:rPr>
                <w:rFonts w:ascii="Times New Roman"/>
                <w:sz w:val="20"/>
              </w:rPr>
            </w:pPr>
          </w:p>
        </w:tc>
        <w:tc>
          <w:tcPr>
            <w:tcW w:w="1515" w:type="dxa"/>
          </w:tcPr>
          <w:p>
            <w:pPr>
              <w:pStyle w:val="TableParagraph"/>
              <w:spacing w:line="328" w:lineRule="exact"/>
              <w:ind w:left="55" w:right="51"/>
              <w:jc w:val="center"/>
              <w:rPr>
                <w:sz w:val="21"/>
              </w:rPr>
            </w:pPr>
            <w:r>
              <w:rPr>
                <w:sz w:val="21"/>
              </w:rPr>
              <w:t>33**</w:t>
            </w:r>
          </w:p>
        </w:tc>
        <w:tc>
          <w:tcPr>
            <w:tcW w:w="1683" w:type="dxa"/>
          </w:tcPr>
          <w:p>
            <w:pPr>
              <w:pStyle w:val="TableParagraph"/>
              <w:rPr>
                <w:rFonts w:ascii="Times New Roman"/>
                <w:sz w:val="20"/>
              </w:rPr>
            </w:pPr>
          </w:p>
        </w:tc>
        <w:tc>
          <w:tcPr>
            <w:tcW w:w="1598" w:type="dxa"/>
          </w:tcPr>
          <w:p>
            <w:pPr>
              <w:pStyle w:val="TableParagraph"/>
              <w:rPr>
                <w:rFonts w:ascii="Times New Roman"/>
                <w:sz w:val="20"/>
              </w:rPr>
            </w:pPr>
          </w:p>
        </w:tc>
        <w:tc>
          <w:tcPr>
            <w:tcW w:w="1776" w:type="dxa"/>
          </w:tcPr>
          <w:p>
            <w:pPr>
              <w:pStyle w:val="TableParagraph"/>
              <w:spacing w:line="328" w:lineRule="exact"/>
              <w:ind w:left="594" w:right="594"/>
              <w:jc w:val="center"/>
              <w:rPr>
                <w:sz w:val="21"/>
              </w:rPr>
            </w:pPr>
            <w:r>
              <w:rPr>
                <w:sz w:val="21"/>
              </w:rPr>
              <w:t>1000</w:t>
            </w:r>
          </w:p>
        </w:tc>
      </w:tr>
      <w:tr>
        <w:trPr>
          <w:trHeight w:val="348" w:hRule="atLeast"/>
        </w:trPr>
        <w:tc>
          <w:tcPr>
            <w:tcW w:w="3083" w:type="dxa"/>
          </w:tcPr>
          <w:p>
            <w:pPr>
              <w:pStyle w:val="TableParagraph"/>
              <w:spacing w:line="329" w:lineRule="exact"/>
              <w:ind w:left="75"/>
              <w:rPr>
                <w:sz w:val="21"/>
              </w:rPr>
            </w:pPr>
            <w:r>
              <w:rPr>
                <w:sz w:val="21"/>
              </w:rPr>
              <w:t>Type </w:t>
            </w:r>
            <w:r>
              <w:rPr>
                <w:sz w:val="21"/>
                <w:vertAlign w:val="superscript"/>
              </w:rPr>
              <w:t>2</w:t>
            </w:r>
            <w:r>
              <w:rPr>
                <w:sz w:val="21"/>
                <w:vertAlign w:val="baseline"/>
              </w:rPr>
              <w:t> DM</w:t>
            </w:r>
            <w:r>
              <w:rPr>
                <w:sz w:val="21"/>
                <w:vertAlign w:val="superscript"/>
              </w:rPr>
              <w:t>2</w:t>
            </w:r>
          </w:p>
        </w:tc>
        <w:tc>
          <w:tcPr>
            <w:tcW w:w="840" w:type="dxa"/>
          </w:tcPr>
          <w:p>
            <w:pPr>
              <w:pStyle w:val="TableParagraph"/>
              <w:spacing w:line="329" w:lineRule="exact"/>
              <w:ind w:right="130"/>
              <w:jc w:val="right"/>
              <w:rPr>
                <w:sz w:val="21"/>
              </w:rPr>
            </w:pPr>
            <w:r>
              <w:rPr>
                <w:sz w:val="21"/>
              </w:rPr>
              <w:t>1316</w:t>
            </w:r>
          </w:p>
        </w:tc>
        <w:tc>
          <w:tcPr>
            <w:tcW w:w="838" w:type="dxa"/>
          </w:tcPr>
          <w:p>
            <w:pPr>
              <w:pStyle w:val="TableParagraph"/>
              <w:spacing w:line="329" w:lineRule="exact"/>
              <w:ind w:left="189" w:right="185"/>
              <w:jc w:val="center"/>
              <w:rPr>
                <w:sz w:val="21"/>
              </w:rPr>
            </w:pPr>
            <w:r>
              <w:rPr>
                <w:sz w:val="21"/>
              </w:rPr>
              <w:t>56.6</w:t>
            </w:r>
          </w:p>
        </w:tc>
        <w:tc>
          <w:tcPr>
            <w:tcW w:w="1396" w:type="dxa"/>
          </w:tcPr>
          <w:p>
            <w:pPr>
              <w:pStyle w:val="TableParagraph"/>
              <w:spacing w:line="329" w:lineRule="exact"/>
              <w:ind w:left="74"/>
              <w:rPr>
                <w:sz w:val="21"/>
              </w:rPr>
            </w:pPr>
            <w:r>
              <w:rPr>
                <w:sz w:val="21"/>
              </w:rPr>
              <w:t>313 (23.8%)</w:t>
            </w:r>
          </w:p>
        </w:tc>
        <w:tc>
          <w:tcPr>
            <w:tcW w:w="1451" w:type="dxa"/>
          </w:tcPr>
          <w:p>
            <w:pPr>
              <w:pStyle w:val="TableParagraph"/>
              <w:spacing w:line="329" w:lineRule="exact"/>
              <w:ind w:right="175"/>
              <w:jc w:val="right"/>
              <w:rPr>
                <w:sz w:val="21"/>
              </w:rPr>
            </w:pPr>
            <w:r>
              <w:rPr>
                <w:sz w:val="21"/>
              </w:rPr>
              <w:t>7 (0.5%)</w:t>
            </w:r>
          </w:p>
        </w:tc>
        <w:tc>
          <w:tcPr>
            <w:tcW w:w="1515" w:type="dxa"/>
          </w:tcPr>
          <w:p>
            <w:pPr>
              <w:pStyle w:val="TableParagraph"/>
              <w:spacing w:line="329" w:lineRule="exact"/>
              <w:ind w:left="54" w:right="51"/>
              <w:jc w:val="center"/>
              <w:rPr>
                <w:sz w:val="21"/>
              </w:rPr>
            </w:pPr>
            <w:r>
              <w:rPr>
                <w:sz w:val="21"/>
              </w:rPr>
              <w:t>2 (0.6%)</w:t>
            </w:r>
          </w:p>
        </w:tc>
        <w:tc>
          <w:tcPr>
            <w:tcW w:w="1683" w:type="dxa"/>
          </w:tcPr>
          <w:p>
            <w:pPr>
              <w:pStyle w:val="TableParagraph"/>
              <w:spacing w:line="329" w:lineRule="exact"/>
              <w:ind w:left="57" w:right="53"/>
              <w:jc w:val="center"/>
              <w:rPr>
                <w:sz w:val="21"/>
              </w:rPr>
            </w:pPr>
            <w:r>
              <w:rPr>
                <w:sz w:val="21"/>
              </w:rPr>
              <w:t>0.2 (2/817人年)</w:t>
            </w:r>
          </w:p>
        </w:tc>
        <w:tc>
          <w:tcPr>
            <w:tcW w:w="1598" w:type="dxa"/>
          </w:tcPr>
          <w:p>
            <w:pPr>
              <w:pStyle w:val="TableParagraph"/>
              <w:spacing w:line="329" w:lineRule="exact"/>
              <w:ind w:left="507" w:right="504"/>
              <w:jc w:val="center"/>
              <w:rPr>
                <w:sz w:val="21"/>
              </w:rPr>
            </w:pPr>
            <w:r>
              <w:rPr>
                <w:sz w:val="21"/>
              </w:rPr>
              <w:t>166.7</w:t>
            </w:r>
          </w:p>
        </w:tc>
        <w:tc>
          <w:tcPr>
            <w:tcW w:w="1776" w:type="dxa"/>
          </w:tcPr>
          <w:p>
            <w:pPr>
              <w:pStyle w:val="TableParagraph"/>
              <w:spacing w:line="329" w:lineRule="exact"/>
              <w:ind w:left="594" w:right="594"/>
              <w:jc w:val="center"/>
              <w:rPr>
                <w:sz w:val="21"/>
              </w:rPr>
            </w:pPr>
            <w:r>
              <w:rPr>
                <w:sz w:val="21"/>
              </w:rPr>
              <w:t>666.7</w:t>
            </w:r>
          </w:p>
        </w:tc>
      </w:tr>
      <w:tr>
        <w:trPr>
          <w:trHeight w:val="347" w:hRule="atLeast"/>
        </w:trPr>
        <w:tc>
          <w:tcPr>
            <w:tcW w:w="3083" w:type="dxa"/>
          </w:tcPr>
          <w:p>
            <w:pPr>
              <w:pStyle w:val="TableParagraph"/>
              <w:spacing w:line="328" w:lineRule="exact"/>
              <w:ind w:left="75"/>
              <w:rPr>
                <w:sz w:val="21"/>
              </w:rPr>
            </w:pPr>
            <w:r>
              <w:rPr>
                <w:sz w:val="21"/>
              </w:rPr>
              <w:t>CKD</w:t>
            </w:r>
            <w:r>
              <w:rPr>
                <w:sz w:val="21"/>
                <w:vertAlign w:val="superscript"/>
              </w:rPr>
              <w:t>2</w:t>
            </w:r>
          </w:p>
        </w:tc>
        <w:tc>
          <w:tcPr>
            <w:tcW w:w="840" w:type="dxa"/>
          </w:tcPr>
          <w:p>
            <w:pPr>
              <w:pStyle w:val="TableParagraph"/>
              <w:spacing w:line="328" w:lineRule="exact"/>
              <w:ind w:right="130"/>
              <w:jc w:val="right"/>
              <w:rPr>
                <w:sz w:val="21"/>
              </w:rPr>
            </w:pPr>
            <w:r>
              <w:rPr>
                <w:sz w:val="21"/>
              </w:rPr>
              <w:t>63</w:t>
            </w:r>
          </w:p>
        </w:tc>
        <w:tc>
          <w:tcPr>
            <w:tcW w:w="838" w:type="dxa"/>
          </w:tcPr>
          <w:p>
            <w:pPr>
              <w:pStyle w:val="TableParagraph"/>
              <w:spacing w:line="328" w:lineRule="exact"/>
              <w:ind w:left="189" w:right="185"/>
              <w:jc w:val="center"/>
              <w:rPr>
                <w:sz w:val="21"/>
              </w:rPr>
            </w:pPr>
            <w:r>
              <w:rPr>
                <w:sz w:val="21"/>
              </w:rPr>
              <w:t>61.8</w:t>
            </w:r>
          </w:p>
        </w:tc>
        <w:tc>
          <w:tcPr>
            <w:tcW w:w="1396" w:type="dxa"/>
          </w:tcPr>
          <w:p>
            <w:pPr>
              <w:pStyle w:val="TableParagraph"/>
              <w:spacing w:line="328" w:lineRule="exact"/>
              <w:ind w:left="284"/>
              <w:rPr>
                <w:sz w:val="21"/>
              </w:rPr>
            </w:pPr>
            <w:r>
              <w:rPr>
                <w:sz w:val="21"/>
              </w:rPr>
              <w:t>7 (11.1%)</w:t>
            </w:r>
          </w:p>
        </w:tc>
        <w:tc>
          <w:tcPr>
            <w:tcW w:w="1451" w:type="dxa"/>
          </w:tcPr>
          <w:p>
            <w:pPr>
              <w:pStyle w:val="TableParagraph"/>
              <w:spacing w:line="328" w:lineRule="exact"/>
              <w:ind w:right="175"/>
              <w:jc w:val="right"/>
              <w:rPr>
                <w:sz w:val="21"/>
              </w:rPr>
            </w:pPr>
            <w:r>
              <w:rPr>
                <w:sz w:val="21"/>
              </w:rPr>
              <w:t>2 (3.2%)</w:t>
            </w:r>
          </w:p>
        </w:tc>
        <w:tc>
          <w:tcPr>
            <w:tcW w:w="1515" w:type="dxa"/>
          </w:tcPr>
          <w:p>
            <w:pPr>
              <w:pStyle w:val="TableParagraph"/>
              <w:spacing w:line="328" w:lineRule="exact"/>
              <w:ind w:left="55" w:right="51"/>
              <w:jc w:val="center"/>
              <w:rPr>
                <w:sz w:val="21"/>
              </w:rPr>
            </w:pPr>
            <w:r>
              <w:rPr>
                <w:sz w:val="21"/>
              </w:rPr>
              <w:t>0 (-)</w:t>
            </w:r>
          </w:p>
        </w:tc>
        <w:tc>
          <w:tcPr>
            <w:tcW w:w="1683" w:type="dxa"/>
          </w:tcPr>
          <w:p>
            <w:pPr>
              <w:pStyle w:val="TableParagraph"/>
              <w:rPr>
                <w:rFonts w:ascii="Times New Roman"/>
                <w:sz w:val="20"/>
              </w:rPr>
            </w:pPr>
          </w:p>
        </w:tc>
        <w:tc>
          <w:tcPr>
            <w:tcW w:w="1598" w:type="dxa"/>
          </w:tcPr>
          <w:p>
            <w:pPr>
              <w:pStyle w:val="TableParagraph"/>
              <w:rPr>
                <w:rFonts w:ascii="Times New Roman"/>
                <w:sz w:val="20"/>
              </w:rPr>
            </w:pPr>
          </w:p>
        </w:tc>
        <w:tc>
          <w:tcPr>
            <w:tcW w:w="1776" w:type="dxa"/>
          </w:tcPr>
          <w:p>
            <w:pPr>
              <w:pStyle w:val="TableParagraph"/>
              <w:rPr>
                <w:rFonts w:ascii="Times New Roman"/>
                <w:sz w:val="20"/>
              </w:rPr>
            </w:pPr>
          </w:p>
        </w:tc>
      </w:tr>
      <w:tr>
        <w:trPr>
          <w:trHeight w:val="647" w:hRule="atLeast"/>
        </w:trPr>
        <w:tc>
          <w:tcPr>
            <w:tcW w:w="3083" w:type="dxa"/>
          </w:tcPr>
          <w:p>
            <w:pPr>
              <w:pStyle w:val="TableParagraph"/>
              <w:spacing w:line="328" w:lineRule="exact"/>
              <w:ind w:left="75"/>
              <w:rPr>
                <w:sz w:val="21"/>
              </w:rPr>
            </w:pPr>
            <w:r>
              <w:rPr>
                <w:sz w:val="21"/>
              </w:rPr>
              <w:t>For Kidney Transplantation</w:t>
            </w:r>
          </w:p>
          <w:p>
            <w:pPr>
              <w:pStyle w:val="TableParagraph"/>
              <w:spacing w:line="300" w:lineRule="exact"/>
              <w:ind w:left="75"/>
              <w:rPr>
                <w:sz w:val="21"/>
              </w:rPr>
            </w:pPr>
            <w:r>
              <w:rPr>
                <w:sz w:val="21"/>
              </w:rPr>
              <w:t>Evaluation</w:t>
            </w:r>
            <w:r>
              <w:rPr>
                <w:sz w:val="21"/>
                <w:vertAlign w:val="superscript"/>
              </w:rPr>
              <w:t>2</w:t>
            </w:r>
          </w:p>
        </w:tc>
        <w:tc>
          <w:tcPr>
            <w:tcW w:w="840" w:type="dxa"/>
          </w:tcPr>
          <w:p>
            <w:pPr>
              <w:pStyle w:val="TableParagraph"/>
              <w:spacing w:before="134"/>
              <w:ind w:right="130"/>
              <w:jc w:val="right"/>
              <w:rPr>
                <w:sz w:val="21"/>
              </w:rPr>
            </w:pPr>
            <w:r>
              <w:rPr>
                <w:sz w:val="21"/>
              </w:rPr>
              <w:t>109</w:t>
            </w:r>
          </w:p>
        </w:tc>
        <w:tc>
          <w:tcPr>
            <w:tcW w:w="838" w:type="dxa"/>
          </w:tcPr>
          <w:p>
            <w:pPr>
              <w:pStyle w:val="TableParagraph"/>
              <w:spacing w:before="134"/>
              <w:ind w:left="189" w:right="185"/>
              <w:jc w:val="center"/>
              <w:rPr>
                <w:sz w:val="21"/>
              </w:rPr>
            </w:pPr>
            <w:r>
              <w:rPr>
                <w:sz w:val="21"/>
              </w:rPr>
              <w:t>47.5</w:t>
            </w:r>
          </w:p>
        </w:tc>
        <w:tc>
          <w:tcPr>
            <w:tcW w:w="1396" w:type="dxa"/>
          </w:tcPr>
          <w:p>
            <w:pPr>
              <w:pStyle w:val="TableParagraph"/>
              <w:spacing w:before="134"/>
              <w:ind w:left="284"/>
              <w:rPr>
                <w:sz w:val="21"/>
              </w:rPr>
            </w:pPr>
            <w:r>
              <w:rPr>
                <w:sz w:val="21"/>
              </w:rPr>
              <w:t>9 (8.3%)</w:t>
            </w:r>
          </w:p>
        </w:tc>
        <w:tc>
          <w:tcPr>
            <w:tcW w:w="1451" w:type="dxa"/>
          </w:tcPr>
          <w:p>
            <w:pPr>
              <w:pStyle w:val="TableParagraph"/>
              <w:spacing w:before="134"/>
              <w:ind w:right="175"/>
              <w:jc w:val="right"/>
              <w:rPr>
                <w:sz w:val="21"/>
              </w:rPr>
            </w:pPr>
            <w:r>
              <w:rPr>
                <w:sz w:val="21"/>
              </w:rPr>
              <w:t>10 (9.21%)</w:t>
            </w:r>
          </w:p>
        </w:tc>
        <w:tc>
          <w:tcPr>
            <w:tcW w:w="1515" w:type="dxa"/>
          </w:tcPr>
          <w:p>
            <w:pPr>
              <w:pStyle w:val="TableParagraph"/>
              <w:spacing w:before="134"/>
              <w:ind w:left="56" w:right="51"/>
              <w:jc w:val="center"/>
              <w:rPr>
                <w:sz w:val="21"/>
              </w:rPr>
            </w:pPr>
            <w:r>
              <w:rPr>
                <w:sz w:val="21"/>
              </w:rPr>
              <w:t>0 (-)</w:t>
            </w:r>
          </w:p>
        </w:tc>
        <w:tc>
          <w:tcPr>
            <w:tcW w:w="1683" w:type="dxa"/>
          </w:tcPr>
          <w:p>
            <w:pPr>
              <w:pStyle w:val="TableParagraph"/>
              <w:rPr>
                <w:rFonts w:ascii="Times New Roman"/>
                <w:sz w:val="20"/>
              </w:rPr>
            </w:pPr>
          </w:p>
        </w:tc>
        <w:tc>
          <w:tcPr>
            <w:tcW w:w="1598" w:type="dxa"/>
          </w:tcPr>
          <w:p>
            <w:pPr>
              <w:pStyle w:val="TableParagraph"/>
              <w:rPr>
                <w:rFonts w:ascii="Times New Roman"/>
                <w:sz w:val="20"/>
              </w:rPr>
            </w:pPr>
          </w:p>
        </w:tc>
        <w:tc>
          <w:tcPr>
            <w:tcW w:w="1776" w:type="dxa"/>
          </w:tcPr>
          <w:p>
            <w:pPr>
              <w:pStyle w:val="TableParagraph"/>
              <w:rPr>
                <w:rFonts w:ascii="Times New Roman"/>
                <w:sz w:val="20"/>
              </w:rPr>
            </w:pPr>
          </w:p>
        </w:tc>
      </w:tr>
      <w:tr>
        <w:trPr>
          <w:trHeight w:val="348" w:hRule="atLeast"/>
        </w:trPr>
        <w:tc>
          <w:tcPr>
            <w:tcW w:w="3083" w:type="dxa"/>
          </w:tcPr>
          <w:p>
            <w:pPr>
              <w:pStyle w:val="TableParagraph"/>
              <w:spacing w:line="329" w:lineRule="exact"/>
              <w:ind w:left="75"/>
              <w:rPr>
                <w:sz w:val="21"/>
              </w:rPr>
            </w:pPr>
            <w:r>
              <w:rPr>
                <w:sz w:val="21"/>
              </w:rPr>
              <w:t>Dialysis</w:t>
            </w:r>
            <w:r>
              <w:rPr>
                <w:sz w:val="21"/>
                <w:vertAlign w:val="superscript"/>
              </w:rPr>
              <w:t>2</w:t>
            </w:r>
          </w:p>
        </w:tc>
        <w:tc>
          <w:tcPr>
            <w:tcW w:w="840" w:type="dxa"/>
          </w:tcPr>
          <w:p>
            <w:pPr>
              <w:pStyle w:val="TableParagraph"/>
              <w:spacing w:line="329" w:lineRule="exact"/>
              <w:ind w:right="130"/>
              <w:jc w:val="right"/>
              <w:rPr>
                <w:sz w:val="21"/>
              </w:rPr>
            </w:pPr>
            <w:r>
              <w:rPr>
                <w:sz w:val="21"/>
              </w:rPr>
              <w:t>940</w:t>
            </w:r>
          </w:p>
        </w:tc>
        <w:tc>
          <w:tcPr>
            <w:tcW w:w="838" w:type="dxa"/>
          </w:tcPr>
          <w:p>
            <w:pPr>
              <w:pStyle w:val="TableParagraph"/>
              <w:spacing w:line="329" w:lineRule="exact"/>
              <w:ind w:left="189" w:right="185"/>
              <w:jc w:val="center"/>
              <w:rPr>
                <w:sz w:val="21"/>
              </w:rPr>
            </w:pPr>
            <w:r>
              <w:rPr>
                <w:sz w:val="21"/>
              </w:rPr>
              <w:t>59.3</w:t>
            </w:r>
          </w:p>
        </w:tc>
        <w:tc>
          <w:tcPr>
            <w:tcW w:w="1396" w:type="dxa"/>
          </w:tcPr>
          <w:p>
            <w:pPr>
              <w:pStyle w:val="TableParagraph"/>
              <w:spacing w:line="329" w:lineRule="exact"/>
              <w:ind w:left="74"/>
              <w:rPr>
                <w:sz w:val="21"/>
              </w:rPr>
            </w:pPr>
            <w:r>
              <w:rPr>
                <w:sz w:val="21"/>
              </w:rPr>
              <w:t>193 (20.5%)</w:t>
            </w:r>
          </w:p>
        </w:tc>
        <w:tc>
          <w:tcPr>
            <w:tcW w:w="1451" w:type="dxa"/>
          </w:tcPr>
          <w:p>
            <w:pPr>
              <w:pStyle w:val="TableParagraph"/>
              <w:spacing w:line="329" w:lineRule="exact"/>
              <w:ind w:right="175"/>
              <w:jc w:val="right"/>
              <w:rPr>
                <w:sz w:val="21"/>
              </w:rPr>
            </w:pPr>
            <w:r>
              <w:rPr>
                <w:sz w:val="21"/>
              </w:rPr>
              <w:t>34 (3.6%)</w:t>
            </w:r>
          </w:p>
        </w:tc>
        <w:tc>
          <w:tcPr>
            <w:tcW w:w="1515" w:type="dxa"/>
          </w:tcPr>
          <w:p>
            <w:pPr>
              <w:pStyle w:val="TableParagraph"/>
              <w:spacing w:line="329" w:lineRule="exact"/>
              <w:ind w:left="54" w:right="51"/>
              <w:jc w:val="center"/>
              <w:rPr>
                <w:sz w:val="21"/>
              </w:rPr>
            </w:pPr>
            <w:r>
              <w:rPr>
                <w:sz w:val="21"/>
              </w:rPr>
              <w:t>3 (1.6%)</w:t>
            </w:r>
          </w:p>
        </w:tc>
        <w:tc>
          <w:tcPr>
            <w:tcW w:w="1683" w:type="dxa"/>
          </w:tcPr>
          <w:p>
            <w:pPr>
              <w:pStyle w:val="TableParagraph"/>
              <w:spacing w:line="329" w:lineRule="exact"/>
              <w:ind w:left="55" w:right="53"/>
              <w:jc w:val="center"/>
              <w:rPr>
                <w:sz w:val="21"/>
              </w:rPr>
            </w:pPr>
            <w:r>
              <w:rPr>
                <w:sz w:val="21"/>
              </w:rPr>
              <w:t>0.48</w:t>
            </w:r>
          </w:p>
        </w:tc>
        <w:tc>
          <w:tcPr>
            <w:tcW w:w="1598" w:type="dxa"/>
          </w:tcPr>
          <w:p>
            <w:pPr>
              <w:pStyle w:val="TableParagraph"/>
              <w:spacing w:line="329" w:lineRule="exact"/>
              <w:ind w:left="506" w:right="504"/>
              <w:jc w:val="center"/>
              <w:rPr>
                <w:sz w:val="21"/>
              </w:rPr>
            </w:pPr>
            <w:r>
              <w:rPr>
                <w:sz w:val="21"/>
              </w:rPr>
              <w:t>64.3</w:t>
            </w:r>
          </w:p>
        </w:tc>
        <w:tc>
          <w:tcPr>
            <w:tcW w:w="1776" w:type="dxa"/>
          </w:tcPr>
          <w:p>
            <w:pPr>
              <w:pStyle w:val="TableParagraph"/>
              <w:spacing w:line="329" w:lineRule="exact"/>
              <w:ind w:left="594" w:right="595"/>
              <w:jc w:val="center"/>
              <w:rPr>
                <w:sz w:val="21"/>
              </w:rPr>
            </w:pPr>
            <w:r>
              <w:rPr>
                <w:sz w:val="21"/>
              </w:rPr>
              <w:t>313</w:t>
            </w:r>
          </w:p>
        </w:tc>
      </w:tr>
      <w:tr>
        <w:trPr>
          <w:trHeight w:val="347" w:hRule="atLeast"/>
        </w:trPr>
        <w:tc>
          <w:tcPr>
            <w:tcW w:w="3083" w:type="dxa"/>
          </w:tcPr>
          <w:p>
            <w:pPr>
              <w:pStyle w:val="TableParagraph"/>
              <w:spacing w:line="328" w:lineRule="exact"/>
              <w:ind w:left="75"/>
              <w:rPr>
                <w:sz w:val="21"/>
              </w:rPr>
            </w:pPr>
            <w:r>
              <w:rPr>
                <w:sz w:val="21"/>
              </w:rPr>
              <w:t>RA with TNF α Blocker</w:t>
            </w:r>
            <w:r>
              <w:rPr>
                <w:sz w:val="21"/>
                <w:vertAlign w:val="superscript"/>
              </w:rPr>
              <w:t>1</w:t>
            </w:r>
          </w:p>
        </w:tc>
        <w:tc>
          <w:tcPr>
            <w:tcW w:w="840" w:type="dxa"/>
          </w:tcPr>
          <w:p>
            <w:pPr>
              <w:pStyle w:val="TableParagraph"/>
              <w:spacing w:line="328" w:lineRule="exact"/>
              <w:ind w:right="130"/>
              <w:jc w:val="right"/>
              <w:rPr>
                <w:sz w:val="21"/>
              </w:rPr>
            </w:pPr>
            <w:r>
              <w:rPr>
                <w:sz w:val="21"/>
              </w:rPr>
              <w:t>242</w:t>
            </w:r>
          </w:p>
        </w:tc>
        <w:tc>
          <w:tcPr>
            <w:tcW w:w="838" w:type="dxa"/>
          </w:tcPr>
          <w:p>
            <w:pPr>
              <w:pStyle w:val="TableParagraph"/>
              <w:spacing w:line="328" w:lineRule="exact"/>
              <w:ind w:left="189" w:right="185"/>
              <w:jc w:val="center"/>
              <w:rPr>
                <w:sz w:val="21"/>
              </w:rPr>
            </w:pPr>
            <w:r>
              <w:rPr>
                <w:sz w:val="21"/>
              </w:rPr>
              <w:t>54.7</w:t>
            </w:r>
          </w:p>
        </w:tc>
        <w:tc>
          <w:tcPr>
            <w:tcW w:w="1396" w:type="dxa"/>
          </w:tcPr>
          <w:p>
            <w:pPr>
              <w:pStyle w:val="TableParagraph"/>
              <w:spacing w:line="328" w:lineRule="exact"/>
              <w:ind w:left="178"/>
              <w:rPr>
                <w:sz w:val="21"/>
              </w:rPr>
            </w:pPr>
            <w:r>
              <w:rPr>
                <w:sz w:val="21"/>
              </w:rPr>
              <w:t>45 (18.6%)</w:t>
            </w:r>
          </w:p>
        </w:tc>
        <w:tc>
          <w:tcPr>
            <w:tcW w:w="1451" w:type="dxa"/>
          </w:tcPr>
          <w:p>
            <w:pPr>
              <w:pStyle w:val="TableParagraph"/>
              <w:spacing w:line="328" w:lineRule="exact"/>
              <w:ind w:right="175"/>
              <w:jc w:val="right"/>
              <w:rPr>
                <w:sz w:val="21"/>
              </w:rPr>
            </w:pPr>
            <w:r>
              <w:rPr>
                <w:sz w:val="21"/>
              </w:rPr>
              <w:t>9 (3.7%)</w:t>
            </w:r>
          </w:p>
        </w:tc>
        <w:tc>
          <w:tcPr>
            <w:tcW w:w="1515" w:type="dxa"/>
          </w:tcPr>
          <w:p>
            <w:pPr>
              <w:pStyle w:val="TableParagraph"/>
              <w:spacing w:line="328" w:lineRule="exact"/>
              <w:ind w:left="54" w:right="51"/>
              <w:jc w:val="center"/>
              <w:rPr>
                <w:sz w:val="21"/>
              </w:rPr>
            </w:pPr>
            <w:r>
              <w:rPr>
                <w:sz w:val="21"/>
              </w:rPr>
              <w:t>3 (6.7%)</w:t>
            </w:r>
          </w:p>
        </w:tc>
        <w:tc>
          <w:tcPr>
            <w:tcW w:w="1683" w:type="dxa"/>
          </w:tcPr>
          <w:p>
            <w:pPr>
              <w:pStyle w:val="TableParagraph"/>
              <w:rPr>
                <w:rFonts w:ascii="Times New Roman"/>
                <w:sz w:val="20"/>
              </w:rPr>
            </w:pPr>
          </w:p>
        </w:tc>
        <w:tc>
          <w:tcPr>
            <w:tcW w:w="1598" w:type="dxa"/>
          </w:tcPr>
          <w:p>
            <w:pPr>
              <w:pStyle w:val="TableParagraph"/>
              <w:spacing w:line="328" w:lineRule="exact"/>
              <w:ind w:left="506" w:right="504"/>
              <w:jc w:val="center"/>
              <w:rPr>
                <w:sz w:val="21"/>
              </w:rPr>
            </w:pPr>
            <w:r>
              <w:rPr>
                <w:sz w:val="21"/>
              </w:rPr>
              <w:t>14.9</w:t>
            </w:r>
          </w:p>
        </w:tc>
        <w:tc>
          <w:tcPr>
            <w:tcW w:w="1776" w:type="dxa"/>
          </w:tcPr>
          <w:p>
            <w:pPr>
              <w:pStyle w:val="TableParagraph"/>
              <w:spacing w:line="328" w:lineRule="exact"/>
              <w:ind w:left="594" w:right="595"/>
              <w:jc w:val="center"/>
              <w:rPr>
                <w:sz w:val="21"/>
              </w:rPr>
            </w:pPr>
            <w:r>
              <w:rPr>
                <w:sz w:val="21"/>
              </w:rPr>
              <w:t>80.6</w:t>
            </w:r>
          </w:p>
        </w:tc>
      </w:tr>
      <w:tr>
        <w:trPr>
          <w:trHeight w:val="947" w:hRule="atLeast"/>
        </w:trPr>
        <w:tc>
          <w:tcPr>
            <w:tcW w:w="3083" w:type="dxa"/>
          </w:tcPr>
          <w:p>
            <w:pPr>
              <w:pStyle w:val="TableParagraph"/>
              <w:spacing w:line="187" w:lineRule="auto" w:before="46"/>
              <w:ind w:left="75" w:right="332"/>
              <w:rPr>
                <w:sz w:val="21"/>
              </w:rPr>
            </w:pPr>
            <w:r>
              <w:rPr>
                <w:sz w:val="21"/>
              </w:rPr>
              <w:t>RA and other Autoimmune Diseases (RA: 55%, 22% on</w:t>
            </w:r>
          </w:p>
          <w:p>
            <w:pPr>
              <w:pStyle w:val="TableParagraph"/>
              <w:spacing w:line="279" w:lineRule="exact"/>
              <w:ind w:left="75"/>
              <w:rPr>
                <w:sz w:val="21"/>
              </w:rPr>
            </w:pPr>
            <w:r>
              <w:rPr>
                <w:sz w:val="21"/>
              </w:rPr>
              <w:t>TNF α Blocker)</w:t>
            </w:r>
            <w:r>
              <w:rPr>
                <w:sz w:val="21"/>
                <w:vertAlign w:val="superscript"/>
              </w:rPr>
              <w:t>2</w:t>
            </w:r>
          </w:p>
        </w:tc>
        <w:tc>
          <w:tcPr>
            <w:tcW w:w="840" w:type="dxa"/>
          </w:tcPr>
          <w:p>
            <w:pPr>
              <w:pStyle w:val="TableParagraph"/>
              <w:spacing w:before="8"/>
              <w:rPr>
                <w:b/>
                <w:sz w:val="15"/>
              </w:rPr>
            </w:pPr>
          </w:p>
          <w:p>
            <w:pPr>
              <w:pStyle w:val="TableParagraph"/>
              <w:ind w:right="130"/>
              <w:jc w:val="right"/>
              <w:rPr>
                <w:sz w:val="21"/>
              </w:rPr>
            </w:pPr>
            <w:r>
              <w:rPr>
                <w:sz w:val="21"/>
              </w:rPr>
              <w:t>229</w:t>
            </w:r>
          </w:p>
        </w:tc>
        <w:tc>
          <w:tcPr>
            <w:tcW w:w="838" w:type="dxa"/>
          </w:tcPr>
          <w:p>
            <w:pPr>
              <w:pStyle w:val="TableParagraph"/>
              <w:spacing w:before="8"/>
              <w:rPr>
                <w:b/>
                <w:sz w:val="15"/>
              </w:rPr>
            </w:pPr>
          </w:p>
          <w:p>
            <w:pPr>
              <w:pStyle w:val="TableParagraph"/>
              <w:ind w:left="189" w:right="185"/>
              <w:jc w:val="center"/>
              <w:rPr>
                <w:sz w:val="21"/>
              </w:rPr>
            </w:pPr>
            <w:r>
              <w:rPr>
                <w:sz w:val="21"/>
              </w:rPr>
              <w:t>50.1</w:t>
            </w:r>
          </w:p>
        </w:tc>
        <w:tc>
          <w:tcPr>
            <w:tcW w:w="1396" w:type="dxa"/>
          </w:tcPr>
          <w:p>
            <w:pPr>
              <w:pStyle w:val="TableParagraph"/>
              <w:spacing w:before="8"/>
              <w:rPr>
                <w:b/>
                <w:sz w:val="15"/>
              </w:rPr>
            </w:pPr>
          </w:p>
          <w:p>
            <w:pPr>
              <w:pStyle w:val="TableParagraph"/>
              <w:ind w:left="178"/>
              <w:rPr>
                <w:sz w:val="21"/>
              </w:rPr>
            </w:pPr>
            <w:r>
              <w:rPr>
                <w:sz w:val="21"/>
              </w:rPr>
              <w:t>26 (9.3%)</w:t>
            </w:r>
          </w:p>
        </w:tc>
        <w:tc>
          <w:tcPr>
            <w:tcW w:w="1451" w:type="dxa"/>
          </w:tcPr>
          <w:p>
            <w:pPr>
              <w:pStyle w:val="TableParagraph"/>
              <w:spacing w:before="8"/>
              <w:rPr>
                <w:b/>
                <w:sz w:val="15"/>
              </w:rPr>
            </w:pPr>
          </w:p>
          <w:p>
            <w:pPr>
              <w:pStyle w:val="TableParagraph"/>
              <w:ind w:right="175"/>
              <w:jc w:val="right"/>
              <w:rPr>
                <w:sz w:val="21"/>
              </w:rPr>
            </w:pPr>
            <w:r>
              <w:rPr>
                <w:sz w:val="21"/>
              </w:rPr>
              <w:t>24 (8.6%)</w:t>
            </w:r>
          </w:p>
        </w:tc>
        <w:tc>
          <w:tcPr>
            <w:tcW w:w="1515" w:type="dxa"/>
          </w:tcPr>
          <w:p>
            <w:pPr>
              <w:pStyle w:val="TableParagraph"/>
              <w:spacing w:before="8"/>
              <w:rPr>
                <w:b/>
                <w:sz w:val="15"/>
              </w:rPr>
            </w:pPr>
          </w:p>
          <w:p>
            <w:pPr>
              <w:pStyle w:val="TableParagraph"/>
              <w:ind w:left="55" w:right="51"/>
              <w:jc w:val="center"/>
              <w:rPr>
                <w:sz w:val="21"/>
              </w:rPr>
            </w:pPr>
            <w:r>
              <w:rPr>
                <w:sz w:val="21"/>
              </w:rPr>
              <w:t>0 (-)</w:t>
            </w:r>
          </w:p>
        </w:tc>
        <w:tc>
          <w:tcPr>
            <w:tcW w:w="1683" w:type="dxa"/>
          </w:tcPr>
          <w:p>
            <w:pPr>
              <w:pStyle w:val="TableParagraph"/>
              <w:rPr>
                <w:rFonts w:ascii="Times New Roman"/>
                <w:sz w:val="20"/>
              </w:rPr>
            </w:pPr>
          </w:p>
        </w:tc>
        <w:tc>
          <w:tcPr>
            <w:tcW w:w="1598" w:type="dxa"/>
          </w:tcPr>
          <w:p>
            <w:pPr>
              <w:pStyle w:val="TableParagraph"/>
              <w:rPr>
                <w:rFonts w:ascii="Times New Roman"/>
                <w:sz w:val="20"/>
              </w:rPr>
            </w:pPr>
          </w:p>
        </w:tc>
        <w:tc>
          <w:tcPr>
            <w:tcW w:w="1776" w:type="dxa"/>
          </w:tcPr>
          <w:p>
            <w:pPr>
              <w:pStyle w:val="TableParagraph"/>
              <w:rPr>
                <w:rFonts w:ascii="Times New Roman"/>
                <w:sz w:val="20"/>
              </w:rPr>
            </w:pPr>
          </w:p>
        </w:tc>
      </w:tr>
      <w:tr>
        <w:trPr>
          <w:trHeight w:val="348" w:hRule="atLeast"/>
        </w:trPr>
        <w:tc>
          <w:tcPr>
            <w:tcW w:w="3083" w:type="dxa"/>
          </w:tcPr>
          <w:p>
            <w:pPr>
              <w:pStyle w:val="TableParagraph"/>
              <w:spacing w:line="329" w:lineRule="exact"/>
              <w:ind w:left="75"/>
              <w:rPr>
                <w:sz w:val="21"/>
              </w:rPr>
            </w:pPr>
            <w:r>
              <w:rPr>
                <w:sz w:val="21"/>
              </w:rPr>
              <w:t>RA with TNF α Blocker</w:t>
            </w:r>
            <w:r>
              <w:rPr>
                <w:sz w:val="21"/>
                <w:vertAlign w:val="superscript"/>
              </w:rPr>
              <w:t>2</w:t>
            </w:r>
          </w:p>
        </w:tc>
        <w:tc>
          <w:tcPr>
            <w:tcW w:w="840" w:type="dxa"/>
          </w:tcPr>
          <w:p>
            <w:pPr>
              <w:pStyle w:val="TableParagraph"/>
              <w:spacing w:line="329" w:lineRule="exact"/>
              <w:ind w:right="130"/>
              <w:jc w:val="right"/>
              <w:rPr>
                <w:sz w:val="21"/>
              </w:rPr>
            </w:pPr>
            <w:r>
              <w:rPr>
                <w:sz w:val="21"/>
              </w:rPr>
              <w:t>136</w:t>
            </w:r>
          </w:p>
        </w:tc>
        <w:tc>
          <w:tcPr>
            <w:tcW w:w="838" w:type="dxa"/>
          </w:tcPr>
          <w:p>
            <w:pPr>
              <w:pStyle w:val="TableParagraph"/>
              <w:rPr>
                <w:rFonts w:ascii="Times New Roman"/>
                <w:sz w:val="20"/>
              </w:rPr>
            </w:pPr>
          </w:p>
        </w:tc>
        <w:tc>
          <w:tcPr>
            <w:tcW w:w="1396" w:type="dxa"/>
          </w:tcPr>
          <w:p>
            <w:pPr>
              <w:pStyle w:val="TableParagraph"/>
              <w:spacing w:line="329" w:lineRule="exact"/>
              <w:ind w:left="179"/>
              <w:rPr>
                <w:sz w:val="21"/>
              </w:rPr>
            </w:pPr>
            <w:r>
              <w:rPr>
                <w:sz w:val="21"/>
              </w:rPr>
              <w:t>19 (14%)</w:t>
            </w:r>
          </w:p>
        </w:tc>
        <w:tc>
          <w:tcPr>
            <w:tcW w:w="1451" w:type="dxa"/>
          </w:tcPr>
          <w:p>
            <w:pPr>
              <w:pStyle w:val="TableParagraph"/>
              <w:spacing w:line="329" w:lineRule="exact"/>
              <w:ind w:right="175"/>
              <w:jc w:val="right"/>
              <w:rPr>
                <w:sz w:val="21"/>
              </w:rPr>
            </w:pPr>
            <w:r>
              <w:rPr>
                <w:sz w:val="21"/>
              </w:rPr>
              <w:t>10 (7.7%)</w:t>
            </w:r>
          </w:p>
        </w:tc>
        <w:tc>
          <w:tcPr>
            <w:tcW w:w="1515" w:type="dxa"/>
          </w:tcPr>
          <w:p>
            <w:pPr>
              <w:pStyle w:val="TableParagraph"/>
              <w:spacing w:line="329" w:lineRule="exact"/>
              <w:ind w:left="56" w:right="51"/>
              <w:jc w:val="center"/>
              <w:rPr>
                <w:sz w:val="21"/>
              </w:rPr>
            </w:pPr>
            <w:r>
              <w:rPr>
                <w:sz w:val="21"/>
              </w:rPr>
              <w:t>2 (10.5%)</w:t>
            </w:r>
          </w:p>
        </w:tc>
        <w:tc>
          <w:tcPr>
            <w:tcW w:w="1683" w:type="dxa"/>
          </w:tcPr>
          <w:p>
            <w:pPr>
              <w:pStyle w:val="TableParagraph"/>
              <w:rPr>
                <w:rFonts w:ascii="Times New Roman"/>
                <w:sz w:val="20"/>
              </w:rPr>
            </w:pPr>
          </w:p>
        </w:tc>
        <w:tc>
          <w:tcPr>
            <w:tcW w:w="1598" w:type="dxa"/>
          </w:tcPr>
          <w:p>
            <w:pPr>
              <w:pStyle w:val="TableParagraph"/>
              <w:spacing w:line="329" w:lineRule="exact"/>
              <w:ind w:left="506" w:right="504"/>
              <w:jc w:val="center"/>
              <w:rPr>
                <w:sz w:val="21"/>
              </w:rPr>
            </w:pPr>
            <w:r>
              <w:rPr>
                <w:sz w:val="21"/>
              </w:rPr>
              <w:t>9.5</w:t>
            </w:r>
          </w:p>
        </w:tc>
        <w:tc>
          <w:tcPr>
            <w:tcW w:w="1776" w:type="dxa"/>
          </w:tcPr>
          <w:p>
            <w:pPr>
              <w:pStyle w:val="TableParagraph"/>
              <w:spacing w:line="329" w:lineRule="exact"/>
              <w:ind w:left="594" w:right="595"/>
              <w:jc w:val="center"/>
              <w:rPr>
                <w:sz w:val="21"/>
              </w:rPr>
            </w:pPr>
            <w:r>
              <w:rPr>
                <w:sz w:val="21"/>
              </w:rPr>
              <w:t>68</w:t>
            </w:r>
          </w:p>
        </w:tc>
      </w:tr>
      <w:tr>
        <w:trPr>
          <w:trHeight w:val="347" w:hRule="atLeast"/>
        </w:trPr>
        <w:tc>
          <w:tcPr>
            <w:tcW w:w="3083" w:type="dxa"/>
          </w:tcPr>
          <w:p>
            <w:pPr>
              <w:pStyle w:val="TableParagraph"/>
              <w:spacing w:line="328" w:lineRule="exact"/>
              <w:ind w:left="75"/>
              <w:rPr>
                <w:sz w:val="21"/>
              </w:rPr>
            </w:pPr>
            <w:r>
              <w:rPr>
                <w:sz w:val="21"/>
              </w:rPr>
              <w:t>RA without TNF α Blocker</w:t>
            </w:r>
            <w:r>
              <w:rPr>
                <w:sz w:val="21"/>
                <w:vertAlign w:val="superscript"/>
              </w:rPr>
              <w:t>2</w:t>
            </w:r>
          </w:p>
        </w:tc>
        <w:tc>
          <w:tcPr>
            <w:tcW w:w="840" w:type="dxa"/>
          </w:tcPr>
          <w:p>
            <w:pPr>
              <w:pStyle w:val="TableParagraph"/>
              <w:spacing w:line="328" w:lineRule="exact"/>
              <w:ind w:right="130"/>
              <w:jc w:val="right"/>
              <w:rPr>
                <w:sz w:val="21"/>
              </w:rPr>
            </w:pPr>
            <w:r>
              <w:rPr>
                <w:sz w:val="21"/>
              </w:rPr>
              <w:t>173</w:t>
            </w:r>
          </w:p>
        </w:tc>
        <w:tc>
          <w:tcPr>
            <w:tcW w:w="838" w:type="dxa"/>
          </w:tcPr>
          <w:p>
            <w:pPr>
              <w:pStyle w:val="TableParagraph"/>
              <w:rPr>
                <w:rFonts w:ascii="Times New Roman"/>
                <w:sz w:val="20"/>
              </w:rPr>
            </w:pPr>
          </w:p>
        </w:tc>
        <w:tc>
          <w:tcPr>
            <w:tcW w:w="1396" w:type="dxa"/>
          </w:tcPr>
          <w:p>
            <w:pPr>
              <w:pStyle w:val="TableParagraph"/>
              <w:spacing w:line="328" w:lineRule="exact"/>
              <w:ind w:left="179"/>
              <w:rPr>
                <w:sz w:val="21"/>
              </w:rPr>
            </w:pPr>
            <w:r>
              <w:rPr>
                <w:sz w:val="21"/>
              </w:rPr>
              <w:t>24 (14%)</w:t>
            </w:r>
          </w:p>
        </w:tc>
        <w:tc>
          <w:tcPr>
            <w:tcW w:w="1451" w:type="dxa"/>
          </w:tcPr>
          <w:p>
            <w:pPr>
              <w:pStyle w:val="TableParagraph"/>
              <w:spacing w:line="328" w:lineRule="exact"/>
              <w:ind w:right="175"/>
              <w:jc w:val="right"/>
              <w:rPr>
                <w:sz w:val="21"/>
              </w:rPr>
            </w:pPr>
            <w:r>
              <w:rPr>
                <w:sz w:val="21"/>
              </w:rPr>
              <w:t>11 (6.4 %)</w:t>
            </w:r>
          </w:p>
        </w:tc>
        <w:tc>
          <w:tcPr>
            <w:tcW w:w="1515" w:type="dxa"/>
          </w:tcPr>
          <w:p>
            <w:pPr>
              <w:pStyle w:val="TableParagraph"/>
              <w:spacing w:line="328" w:lineRule="exact"/>
              <w:ind w:left="55" w:right="51"/>
              <w:jc w:val="center"/>
              <w:rPr>
                <w:sz w:val="21"/>
              </w:rPr>
            </w:pPr>
            <w:r>
              <w:rPr>
                <w:sz w:val="21"/>
              </w:rPr>
              <w:t>0 (-)</w:t>
            </w:r>
          </w:p>
        </w:tc>
        <w:tc>
          <w:tcPr>
            <w:tcW w:w="1683" w:type="dxa"/>
          </w:tcPr>
          <w:p>
            <w:pPr>
              <w:pStyle w:val="TableParagraph"/>
              <w:rPr>
                <w:rFonts w:ascii="Times New Roman"/>
                <w:sz w:val="20"/>
              </w:rPr>
            </w:pPr>
          </w:p>
        </w:tc>
        <w:tc>
          <w:tcPr>
            <w:tcW w:w="1598" w:type="dxa"/>
          </w:tcPr>
          <w:p>
            <w:pPr>
              <w:pStyle w:val="TableParagraph"/>
              <w:rPr>
                <w:rFonts w:ascii="Times New Roman"/>
                <w:sz w:val="20"/>
              </w:rPr>
            </w:pPr>
          </w:p>
        </w:tc>
        <w:tc>
          <w:tcPr>
            <w:tcW w:w="1776" w:type="dxa"/>
          </w:tcPr>
          <w:p>
            <w:pPr>
              <w:pStyle w:val="TableParagraph"/>
              <w:rPr>
                <w:rFonts w:ascii="Times New Roman"/>
                <w:sz w:val="20"/>
              </w:rPr>
            </w:pPr>
          </w:p>
        </w:tc>
      </w:tr>
      <w:tr>
        <w:trPr>
          <w:trHeight w:val="347" w:hRule="atLeast"/>
        </w:trPr>
        <w:tc>
          <w:tcPr>
            <w:tcW w:w="3083" w:type="dxa"/>
          </w:tcPr>
          <w:p>
            <w:pPr>
              <w:pStyle w:val="TableParagraph"/>
              <w:spacing w:line="328" w:lineRule="exact"/>
              <w:ind w:left="75"/>
              <w:rPr>
                <w:sz w:val="21"/>
              </w:rPr>
            </w:pPr>
            <w:r>
              <w:rPr>
                <w:color w:val="C00000"/>
                <w:sz w:val="21"/>
              </w:rPr>
              <w:t>COPD</w:t>
            </w:r>
            <w:r>
              <w:rPr>
                <w:color w:val="C00000"/>
                <w:sz w:val="21"/>
                <w:vertAlign w:val="superscript"/>
              </w:rPr>
              <w:t>8</w:t>
            </w:r>
          </w:p>
        </w:tc>
        <w:tc>
          <w:tcPr>
            <w:tcW w:w="840" w:type="dxa"/>
          </w:tcPr>
          <w:p>
            <w:pPr>
              <w:pStyle w:val="TableParagraph"/>
              <w:spacing w:line="328" w:lineRule="exact"/>
              <w:ind w:right="130"/>
              <w:jc w:val="right"/>
              <w:rPr>
                <w:sz w:val="21"/>
              </w:rPr>
            </w:pPr>
            <w:r>
              <w:rPr>
                <w:color w:val="C00000"/>
                <w:sz w:val="21"/>
              </w:rPr>
              <w:t>206</w:t>
            </w:r>
          </w:p>
        </w:tc>
        <w:tc>
          <w:tcPr>
            <w:tcW w:w="838" w:type="dxa"/>
          </w:tcPr>
          <w:p>
            <w:pPr>
              <w:pStyle w:val="TableParagraph"/>
              <w:spacing w:line="328" w:lineRule="exact"/>
              <w:ind w:left="189" w:right="185"/>
              <w:jc w:val="center"/>
              <w:rPr>
                <w:sz w:val="21"/>
              </w:rPr>
            </w:pPr>
            <w:r>
              <w:rPr>
                <w:color w:val="C00000"/>
                <w:sz w:val="21"/>
              </w:rPr>
              <w:t>75.9</w:t>
            </w:r>
          </w:p>
        </w:tc>
        <w:tc>
          <w:tcPr>
            <w:tcW w:w="1396" w:type="dxa"/>
          </w:tcPr>
          <w:p>
            <w:pPr>
              <w:pStyle w:val="TableParagraph"/>
              <w:rPr>
                <w:rFonts w:ascii="Times New Roman"/>
                <w:sz w:val="20"/>
              </w:rPr>
            </w:pPr>
          </w:p>
        </w:tc>
        <w:tc>
          <w:tcPr>
            <w:tcW w:w="1451" w:type="dxa"/>
          </w:tcPr>
          <w:p>
            <w:pPr>
              <w:pStyle w:val="TableParagraph"/>
              <w:rPr>
                <w:rFonts w:ascii="Times New Roman"/>
                <w:sz w:val="20"/>
              </w:rPr>
            </w:pPr>
          </w:p>
        </w:tc>
        <w:tc>
          <w:tcPr>
            <w:tcW w:w="1515" w:type="dxa"/>
          </w:tcPr>
          <w:p>
            <w:pPr>
              <w:pStyle w:val="TableParagraph"/>
              <w:spacing w:line="328" w:lineRule="exact"/>
              <w:ind w:left="54" w:right="51"/>
              <w:jc w:val="center"/>
              <w:rPr>
                <w:sz w:val="21"/>
              </w:rPr>
            </w:pPr>
            <w:r>
              <w:rPr>
                <w:color w:val="C00000"/>
                <w:sz w:val="21"/>
              </w:rPr>
              <w:t>2 (1.0 %)**</w:t>
            </w:r>
          </w:p>
        </w:tc>
        <w:tc>
          <w:tcPr>
            <w:tcW w:w="1683" w:type="dxa"/>
          </w:tcPr>
          <w:p>
            <w:pPr>
              <w:pStyle w:val="TableParagraph"/>
              <w:rPr>
                <w:rFonts w:ascii="Times New Roman"/>
                <w:sz w:val="20"/>
              </w:rPr>
            </w:pPr>
          </w:p>
        </w:tc>
        <w:tc>
          <w:tcPr>
            <w:tcW w:w="1598" w:type="dxa"/>
          </w:tcPr>
          <w:p>
            <w:pPr>
              <w:pStyle w:val="TableParagraph"/>
              <w:rPr>
                <w:rFonts w:ascii="Times New Roman"/>
                <w:sz w:val="20"/>
              </w:rPr>
            </w:pPr>
          </w:p>
        </w:tc>
        <w:tc>
          <w:tcPr>
            <w:tcW w:w="1776" w:type="dxa"/>
          </w:tcPr>
          <w:p>
            <w:pPr>
              <w:pStyle w:val="TableParagraph"/>
              <w:spacing w:line="328" w:lineRule="exact"/>
              <w:ind w:left="594" w:right="595"/>
              <w:jc w:val="center"/>
              <w:rPr>
                <w:sz w:val="21"/>
              </w:rPr>
            </w:pPr>
            <w:r>
              <w:rPr>
                <w:color w:val="C00000"/>
                <w:sz w:val="21"/>
              </w:rPr>
              <w:t>103</w:t>
            </w:r>
          </w:p>
        </w:tc>
      </w:tr>
      <w:tr>
        <w:trPr>
          <w:trHeight w:val="348" w:hRule="atLeast"/>
        </w:trPr>
        <w:tc>
          <w:tcPr>
            <w:tcW w:w="3083" w:type="dxa"/>
          </w:tcPr>
          <w:p>
            <w:pPr>
              <w:pStyle w:val="TableParagraph"/>
              <w:spacing w:line="329" w:lineRule="exact"/>
              <w:ind w:left="75"/>
              <w:rPr>
                <w:sz w:val="21"/>
              </w:rPr>
            </w:pPr>
            <w:r>
              <w:rPr>
                <w:color w:val="C00000"/>
                <w:sz w:val="21"/>
              </w:rPr>
              <w:t>COPD</w:t>
            </w:r>
            <w:r>
              <w:rPr>
                <w:color w:val="C00000"/>
                <w:sz w:val="21"/>
                <w:vertAlign w:val="superscript"/>
              </w:rPr>
              <w:t>8</w:t>
            </w:r>
          </w:p>
        </w:tc>
        <w:tc>
          <w:tcPr>
            <w:tcW w:w="840" w:type="dxa"/>
          </w:tcPr>
          <w:p>
            <w:pPr>
              <w:pStyle w:val="TableParagraph"/>
              <w:spacing w:line="329" w:lineRule="exact"/>
              <w:ind w:right="130"/>
              <w:jc w:val="right"/>
              <w:rPr>
                <w:sz w:val="21"/>
              </w:rPr>
            </w:pPr>
            <w:r>
              <w:rPr>
                <w:color w:val="C00000"/>
                <w:sz w:val="21"/>
              </w:rPr>
              <w:t>381</w:t>
            </w:r>
          </w:p>
        </w:tc>
        <w:tc>
          <w:tcPr>
            <w:tcW w:w="838" w:type="dxa"/>
          </w:tcPr>
          <w:p>
            <w:pPr>
              <w:pStyle w:val="TableParagraph"/>
              <w:spacing w:line="329" w:lineRule="exact"/>
              <w:ind w:left="189" w:right="185"/>
              <w:jc w:val="center"/>
              <w:rPr>
                <w:sz w:val="21"/>
              </w:rPr>
            </w:pPr>
            <w:r>
              <w:rPr>
                <w:color w:val="C00000"/>
                <w:sz w:val="21"/>
              </w:rPr>
              <w:t>73.3</w:t>
            </w:r>
          </w:p>
        </w:tc>
        <w:tc>
          <w:tcPr>
            <w:tcW w:w="1396" w:type="dxa"/>
          </w:tcPr>
          <w:p>
            <w:pPr>
              <w:pStyle w:val="TableParagraph"/>
              <w:spacing w:line="329" w:lineRule="exact"/>
              <w:ind w:right="87"/>
              <w:jc w:val="right"/>
              <w:rPr>
                <w:sz w:val="20"/>
              </w:rPr>
            </w:pPr>
            <w:r>
              <w:rPr>
                <w:color w:val="C00000"/>
                <w:sz w:val="21"/>
              </w:rPr>
              <w:t>108 </w:t>
            </w:r>
            <w:r>
              <w:rPr>
                <w:color w:val="C00000"/>
                <w:sz w:val="20"/>
              </w:rPr>
              <w:t>(28.3%)</w:t>
            </w:r>
          </w:p>
        </w:tc>
        <w:tc>
          <w:tcPr>
            <w:tcW w:w="1451" w:type="dxa"/>
          </w:tcPr>
          <w:p>
            <w:pPr>
              <w:pStyle w:val="TableParagraph"/>
              <w:spacing w:line="329" w:lineRule="exact"/>
              <w:ind w:right="175"/>
              <w:jc w:val="right"/>
              <w:rPr>
                <w:sz w:val="21"/>
              </w:rPr>
            </w:pPr>
            <w:r>
              <w:rPr>
                <w:color w:val="C00000"/>
                <w:sz w:val="21"/>
              </w:rPr>
              <w:t>1(0.3%)</w:t>
            </w:r>
          </w:p>
        </w:tc>
        <w:tc>
          <w:tcPr>
            <w:tcW w:w="1515" w:type="dxa"/>
          </w:tcPr>
          <w:p>
            <w:pPr>
              <w:pStyle w:val="TableParagraph"/>
              <w:spacing w:line="329" w:lineRule="exact"/>
              <w:ind w:left="54" w:right="51"/>
              <w:jc w:val="center"/>
              <w:rPr>
                <w:sz w:val="21"/>
              </w:rPr>
            </w:pPr>
            <w:r>
              <w:rPr>
                <w:color w:val="C00000"/>
                <w:sz w:val="21"/>
              </w:rPr>
              <w:t>4 (3.7%)</w:t>
            </w:r>
          </w:p>
        </w:tc>
        <w:tc>
          <w:tcPr>
            <w:tcW w:w="1683" w:type="dxa"/>
          </w:tcPr>
          <w:p>
            <w:pPr>
              <w:pStyle w:val="TableParagraph"/>
              <w:rPr>
                <w:rFonts w:ascii="Times New Roman"/>
                <w:sz w:val="20"/>
              </w:rPr>
            </w:pPr>
          </w:p>
        </w:tc>
        <w:tc>
          <w:tcPr>
            <w:tcW w:w="1598" w:type="dxa"/>
          </w:tcPr>
          <w:p>
            <w:pPr>
              <w:pStyle w:val="TableParagraph"/>
              <w:spacing w:line="329" w:lineRule="exact"/>
              <w:ind w:left="506" w:right="504"/>
              <w:jc w:val="center"/>
              <w:rPr>
                <w:sz w:val="21"/>
              </w:rPr>
            </w:pPr>
            <w:r>
              <w:rPr>
                <w:color w:val="C00000"/>
                <w:sz w:val="21"/>
              </w:rPr>
              <w:t>27</w:t>
            </w:r>
          </w:p>
        </w:tc>
        <w:tc>
          <w:tcPr>
            <w:tcW w:w="1776" w:type="dxa"/>
          </w:tcPr>
          <w:p>
            <w:pPr>
              <w:pStyle w:val="TableParagraph"/>
              <w:spacing w:line="329" w:lineRule="exact"/>
              <w:ind w:left="594" w:right="594"/>
              <w:jc w:val="center"/>
              <w:rPr>
                <w:sz w:val="21"/>
              </w:rPr>
            </w:pPr>
            <w:r>
              <w:rPr>
                <w:color w:val="C00000"/>
                <w:sz w:val="21"/>
              </w:rPr>
              <w:t>95.3</w:t>
            </w:r>
          </w:p>
        </w:tc>
      </w:tr>
    </w:tbl>
    <w:p>
      <w:pPr>
        <w:spacing w:after="0" w:line="329" w:lineRule="exact"/>
        <w:jc w:val="center"/>
        <w:rPr>
          <w:sz w:val="21"/>
        </w:rPr>
        <w:sectPr>
          <w:footerReference w:type="default" r:id="rId64"/>
          <w:pgSz w:w="17190" w:h="12250" w:orient="landscape"/>
          <w:pgMar w:footer="828" w:header="0" w:top="1140" w:bottom="1020" w:left="560" w:right="420"/>
          <w:pgNumType w:start="144"/>
        </w:sectPr>
      </w:pPr>
    </w:p>
    <w:p>
      <w:pPr>
        <w:pStyle w:val="BodyText"/>
        <w:spacing w:before="4"/>
        <w:rPr>
          <w:b/>
          <w:sz w:val="8"/>
        </w:rPr>
      </w:pPr>
    </w:p>
    <w:p>
      <w:pPr>
        <w:spacing w:line="204" w:lineRule="auto" w:before="89"/>
        <w:ind w:left="1683" w:right="1234" w:hanging="546"/>
        <w:jc w:val="left"/>
        <w:rPr>
          <w:sz w:val="21"/>
        </w:rPr>
      </w:pPr>
      <w:r>
        <w:rPr>
          <w:sz w:val="21"/>
        </w:rPr>
        <w:t>縮 寫 : IGRA: interferon-gamma release assay; HIV: human immunodeficiency virus; IVDU: intravenous drug user; MSM: men who have sex with men; DM: diabetes mellitus; CKD: chronic kidney disease; RA: Rheumatoid arthritis; </w:t>
      </w:r>
      <w:r>
        <w:rPr>
          <w:color w:val="C00000"/>
          <w:sz w:val="21"/>
        </w:rPr>
        <w:t>COPD: chronic obstructive pulmonary disease</w:t>
      </w:r>
    </w:p>
    <w:p>
      <w:pPr>
        <w:spacing w:line="377" w:lineRule="exact" w:before="2"/>
        <w:ind w:left="1137" w:right="0" w:firstLine="0"/>
        <w:jc w:val="left"/>
        <w:rPr>
          <w:sz w:val="21"/>
        </w:rPr>
      </w:pPr>
      <w:r>
        <w:rPr>
          <w:sz w:val="21"/>
        </w:rPr>
        <w:t>*Tuberculin skin test + IGRA double positive **Active TB in whole population</w:t>
      </w:r>
    </w:p>
    <w:p>
      <w:pPr>
        <w:spacing w:line="368" w:lineRule="exact" w:before="0"/>
        <w:ind w:left="1137" w:right="0" w:firstLine="0"/>
        <w:jc w:val="left"/>
        <w:rPr>
          <w:sz w:val="21"/>
        </w:rPr>
      </w:pPr>
      <w:r>
        <w:rPr>
          <w:sz w:val="21"/>
        </w:rPr>
        <w:t>*** Number Needed to Treat,“需治療數”，也就是從該族群治療多少位 LTBI 可以預防 1 位活動性結核病人</w:t>
      </w:r>
    </w:p>
    <w:p>
      <w:pPr>
        <w:spacing w:line="377" w:lineRule="exact" w:before="0"/>
        <w:ind w:left="1137" w:right="0" w:firstLine="0"/>
        <w:jc w:val="left"/>
        <w:rPr>
          <w:sz w:val="21"/>
        </w:rPr>
      </w:pPr>
      <w:r>
        <w:rPr>
          <w:sz w:val="21"/>
        </w:rPr>
        <w:t>****Number Needed to Screen,“需檢驗數”從該族群需要檢驗多少人，才能找出 1 位活動性結核病人</w:t>
      </w:r>
    </w:p>
    <w:p>
      <w:pPr>
        <w:pStyle w:val="BodyText"/>
        <w:spacing w:before="11"/>
        <w:rPr>
          <w:sz w:val="21"/>
        </w:rPr>
      </w:pPr>
    </w:p>
    <w:p>
      <w:pPr>
        <w:pStyle w:val="ListParagraph"/>
        <w:numPr>
          <w:ilvl w:val="0"/>
          <w:numId w:val="133"/>
        </w:numPr>
        <w:tabs>
          <w:tab w:pos="1523" w:val="left" w:leader="none"/>
          <w:tab w:pos="1524" w:val="left" w:leader="none"/>
        </w:tabs>
        <w:spacing w:line="199" w:lineRule="auto" w:before="0" w:after="0"/>
        <w:ind w:left="1523" w:right="1281" w:hanging="386"/>
        <w:jc w:val="left"/>
        <w:rPr>
          <w:sz w:val="21"/>
        </w:rPr>
      </w:pPr>
      <w:r>
        <w:rPr>
          <w:sz w:val="21"/>
        </w:rPr>
        <w:t>Chen DY, Shen GH, Chen YM, Chen HH, Hsieh CW, Lan JL. Biphasic emergence of active tuberculosis in rheumatoid arthritis patients receiving TNFα inhibitors: the utility of IFNγ assay. Ann Rheum Dis</w:t>
      </w:r>
      <w:r>
        <w:rPr>
          <w:spacing w:val="3"/>
          <w:sz w:val="21"/>
        </w:rPr>
        <w:t> </w:t>
      </w:r>
      <w:r>
        <w:rPr>
          <w:sz w:val="21"/>
        </w:rPr>
        <w:t>2012;71:231–237</w:t>
      </w:r>
    </w:p>
    <w:p>
      <w:pPr>
        <w:pStyle w:val="ListParagraph"/>
        <w:numPr>
          <w:ilvl w:val="0"/>
          <w:numId w:val="133"/>
        </w:numPr>
        <w:tabs>
          <w:tab w:pos="1523" w:val="left" w:leader="none"/>
          <w:tab w:pos="1524" w:val="left" w:leader="none"/>
        </w:tabs>
        <w:spacing w:line="377" w:lineRule="exact" w:before="0" w:after="0"/>
        <w:ind w:left="1523" w:right="0" w:hanging="386"/>
        <w:jc w:val="left"/>
        <w:rPr>
          <w:sz w:val="21"/>
        </w:rPr>
      </w:pPr>
      <w:r>
        <w:rPr>
          <w:spacing w:val="2"/>
          <w:sz w:val="21"/>
        </w:rPr>
        <w:t>疾病管制署科技計畫報告. </w:t>
      </w:r>
      <w:r>
        <w:rPr>
          <w:sz w:val="21"/>
        </w:rPr>
        <w:t>Institute</w:t>
      </w:r>
      <w:r>
        <w:rPr>
          <w:spacing w:val="5"/>
          <w:sz w:val="21"/>
        </w:rPr>
        <w:t> </w:t>
      </w:r>
      <w:r>
        <w:rPr>
          <w:sz w:val="21"/>
        </w:rPr>
        <w:t>for</w:t>
      </w:r>
      <w:r>
        <w:rPr>
          <w:spacing w:val="7"/>
          <w:sz w:val="21"/>
        </w:rPr>
        <w:t> </w:t>
      </w:r>
      <w:r>
        <w:rPr>
          <w:sz w:val="21"/>
        </w:rPr>
        <w:t>Biotechnology</w:t>
      </w:r>
      <w:r>
        <w:rPr>
          <w:spacing w:val="5"/>
          <w:sz w:val="21"/>
        </w:rPr>
        <w:t> </w:t>
      </w:r>
      <w:r>
        <w:rPr>
          <w:sz w:val="21"/>
        </w:rPr>
        <w:t>and</w:t>
      </w:r>
      <w:r>
        <w:rPr>
          <w:spacing w:val="4"/>
          <w:sz w:val="21"/>
        </w:rPr>
        <w:t> </w:t>
      </w:r>
      <w:r>
        <w:rPr>
          <w:sz w:val="21"/>
        </w:rPr>
        <w:t>Medicine</w:t>
      </w:r>
      <w:r>
        <w:rPr>
          <w:spacing w:val="5"/>
          <w:sz w:val="21"/>
        </w:rPr>
        <w:t> </w:t>
      </w:r>
      <w:r>
        <w:rPr>
          <w:sz w:val="21"/>
        </w:rPr>
        <w:t>Industry</w:t>
      </w:r>
      <w:r>
        <w:rPr>
          <w:spacing w:val="2"/>
          <w:sz w:val="21"/>
        </w:rPr>
        <w:t> (</w:t>
      </w:r>
      <w:r>
        <w:rPr>
          <w:sz w:val="21"/>
        </w:rPr>
        <w:t>IBMI</w:t>
      </w:r>
      <w:r>
        <w:rPr>
          <w:spacing w:val="2"/>
          <w:sz w:val="21"/>
        </w:rPr>
        <w:t>) 生策會. 結核病防治整合型研究計畫，</w:t>
      </w:r>
      <w:r>
        <w:rPr>
          <w:sz w:val="21"/>
        </w:rPr>
        <w:t>2011-2015.</w:t>
      </w:r>
    </w:p>
    <w:p>
      <w:pPr>
        <w:pStyle w:val="ListParagraph"/>
        <w:numPr>
          <w:ilvl w:val="0"/>
          <w:numId w:val="133"/>
        </w:numPr>
        <w:tabs>
          <w:tab w:pos="1523" w:val="left" w:leader="none"/>
          <w:tab w:pos="1524" w:val="left" w:leader="none"/>
        </w:tabs>
        <w:spacing w:line="368" w:lineRule="exact" w:before="0" w:after="0"/>
        <w:ind w:left="1523" w:right="0" w:hanging="386"/>
        <w:jc w:val="left"/>
        <w:rPr>
          <w:sz w:val="21"/>
        </w:rPr>
      </w:pPr>
      <w:r>
        <w:rPr>
          <w:spacing w:val="1"/>
          <w:sz w:val="21"/>
        </w:rPr>
        <w:t>疾病管制署科技計畫報告. 結核病接觸者追蹤進階二期試辦計畫，</w:t>
      </w:r>
      <w:r>
        <w:rPr>
          <w:sz w:val="21"/>
        </w:rPr>
        <w:t>2010-2012.</w:t>
      </w:r>
    </w:p>
    <w:p>
      <w:pPr>
        <w:pStyle w:val="ListParagraph"/>
        <w:numPr>
          <w:ilvl w:val="0"/>
          <w:numId w:val="133"/>
        </w:numPr>
        <w:tabs>
          <w:tab w:pos="1523" w:val="left" w:leader="none"/>
          <w:tab w:pos="1524" w:val="left" w:leader="none"/>
        </w:tabs>
        <w:spacing w:line="199" w:lineRule="auto" w:before="39" w:after="0"/>
        <w:ind w:left="1522" w:right="1279" w:hanging="385"/>
        <w:jc w:val="left"/>
        <w:rPr>
          <w:sz w:val="21"/>
        </w:rPr>
      </w:pPr>
      <w:r>
        <w:rPr>
          <w:sz w:val="21"/>
        </w:rPr>
        <w:t>Yang CH, Chan PC, Liao ST, et al. Strategy to Better Select HIV-Infected Individuals for Latent TB Treatment in BCG-Vaccinated Population. PLoS ONE. 2013: 8(8); e73069.</w:t>
      </w:r>
      <w:r>
        <w:rPr>
          <w:spacing w:val="24"/>
          <w:sz w:val="21"/>
        </w:rPr>
        <w:t> </w:t>
      </w:r>
      <w:r>
        <w:rPr>
          <w:sz w:val="21"/>
        </w:rPr>
        <w:t>doi:10.1371/journal.pone.0073069.</w:t>
      </w:r>
    </w:p>
    <w:p>
      <w:pPr>
        <w:pStyle w:val="ListParagraph"/>
        <w:numPr>
          <w:ilvl w:val="0"/>
          <w:numId w:val="133"/>
        </w:numPr>
        <w:tabs>
          <w:tab w:pos="1523" w:val="left" w:leader="none"/>
          <w:tab w:pos="1524" w:val="left" w:leader="none"/>
        </w:tabs>
        <w:spacing w:line="376" w:lineRule="exact" w:before="0" w:after="0"/>
        <w:ind w:left="1523" w:right="0" w:hanging="386"/>
        <w:jc w:val="left"/>
        <w:rPr>
          <w:sz w:val="21"/>
        </w:rPr>
      </w:pPr>
      <w:r>
        <w:rPr>
          <w:spacing w:val="2"/>
          <w:sz w:val="21"/>
        </w:rPr>
        <w:t>疾病管制署. </w:t>
      </w:r>
      <w:r>
        <w:rPr>
          <w:sz w:val="21"/>
        </w:rPr>
        <w:t>CXR</w:t>
      </w:r>
      <w:r>
        <w:rPr>
          <w:spacing w:val="4"/>
          <w:sz w:val="21"/>
        </w:rPr>
        <w:t> </w:t>
      </w:r>
      <w:r>
        <w:rPr>
          <w:sz w:val="21"/>
        </w:rPr>
        <w:t>screening</w:t>
      </w:r>
      <w:r>
        <w:rPr>
          <w:spacing w:val="5"/>
          <w:sz w:val="21"/>
        </w:rPr>
        <w:t> </w:t>
      </w:r>
      <w:r>
        <w:rPr>
          <w:sz w:val="21"/>
        </w:rPr>
        <w:t>at</w:t>
      </w:r>
      <w:r>
        <w:rPr>
          <w:spacing w:val="4"/>
          <w:sz w:val="21"/>
        </w:rPr>
        <w:t> </w:t>
      </w:r>
      <w:r>
        <w:rPr>
          <w:sz w:val="21"/>
        </w:rPr>
        <w:t>MMT</w:t>
      </w:r>
      <w:r>
        <w:rPr>
          <w:spacing w:val="3"/>
          <w:sz w:val="21"/>
        </w:rPr>
        <w:t> </w:t>
      </w:r>
      <w:r>
        <w:rPr>
          <w:sz w:val="21"/>
        </w:rPr>
        <w:t>clinics</w:t>
      </w:r>
      <w:r>
        <w:rPr>
          <w:spacing w:val="6"/>
          <w:sz w:val="21"/>
        </w:rPr>
        <w:t> </w:t>
      </w:r>
      <w:r>
        <w:rPr>
          <w:sz w:val="21"/>
        </w:rPr>
        <w:t>for</w:t>
      </w:r>
      <w:r>
        <w:rPr>
          <w:spacing w:val="6"/>
          <w:sz w:val="21"/>
        </w:rPr>
        <w:t> </w:t>
      </w:r>
      <w:r>
        <w:rPr>
          <w:sz w:val="21"/>
        </w:rPr>
        <w:t>Harm</w:t>
      </w:r>
      <w:r>
        <w:rPr>
          <w:spacing w:val="3"/>
          <w:sz w:val="21"/>
        </w:rPr>
        <w:t> </w:t>
      </w:r>
      <w:r>
        <w:rPr>
          <w:sz w:val="21"/>
        </w:rPr>
        <w:t>Reduction</w:t>
      </w:r>
      <w:r>
        <w:rPr>
          <w:spacing w:val="5"/>
          <w:sz w:val="21"/>
        </w:rPr>
        <w:t> </w:t>
      </w:r>
      <w:r>
        <w:rPr>
          <w:sz w:val="21"/>
        </w:rPr>
        <w:t>Program</w:t>
      </w:r>
      <w:r>
        <w:rPr>
          <w:spacing w:val="1"/>
          <w:sz w:val="21"/>
        </w:rPr>
        <w:t> (</w:t>
      </w:r>
      <w:r>
        <w:rPr>
          <w:sz w:val="21"/>
        </w:rPr>
        <w:t>not</w:t>
      </w:r>
      <w:r>
        <w:rPr>
          <w:spacing w:val="4"/>
          <w:sz w:val="21"/>
        </w:rPr>
        <w:t> </w:t>
      </w:r>
      <w:r>
        <w:rPr>
          <w:sz w:val="21"/>
        </w:rPr>
        <w:t>published).</w:t>
      </w:r>
    </w:p>
    <w:p>
      <w:pPr>
        <w:pStyle w:val="ListParagraph"/>
        <w:numPr>
          <w:ilvl w:val="0"/>
          <w:numId w:val="133"/>
        </w:numPr>
        <w:tabs>
          <w:tab w:pos="1524" w:val="left" w:leader="none"/>
        </w:tabs>
        <w:spacing w:line="199" w:lineRule="auto" w:before="38" w:after="0"/>
        <w:ind w:left="1523" w:right="1277" w:hanging="386"/>
        <w:jc w:val="both"/>
        <w:rPr>
          <w:sz w:val="21"/>
        </w:rPr>
      </w:pPr>
      <w:r>
        <w:rPr>
          <w:sz w:val="21"/>
        </w:rPr>
        <w:t>Lee SSJ, Lin HH, Tsai HC, et al. A Clinical Algorithm to Identify HIV Patients at High Risk for Incident Active Tuberculosis: A Prospective 5-Year Cohort Study. PLoS ONE. 2015; 10(8): e0135801. doi:10.1371/journal.pone.0135801. IDU (67</w:t>
      </w:r>
      <w:r>
        <w:rPr>
          <w:spacing w:val="1"/>
          <w:sz w:val="21"/>
        </w:rPr>
        <w:t>%) 、 </w:t>
      </w:r>
      <w:r>
        <w:rPr>
          <w:sz w:val="21"/>
        </w:rPr>
        <w:t>MSM (24.2</w:t>
      </w:r>
      <w:r>
        <w:rPr>
          <w:spacing w:val="1"/>
          <w:sz w:val="21"/>
        </w:rPr>
        <w:t>%) 、 </w:t>
      </w:r>
      <w:r>
        <w:rPr>
          <w:sz w:val="21"/>
        </w:rPr>
        <w:t>Heterosexual (8%)</w:t>
      </w:r>
    </w:p>
    <w:p>
      <w:pPr>
        <w:pStyle w:val="ListParagraph"/>
        <w:numPr>
          <w:ilvl w:val="0"/>
          <w:numId w:val="133"/>
        </w:numPr>
        <w:tabs>
          <w:tab w:pos="1524" w:val="left" w:leader="none"/>
        </w:tabs>
        <w:spacing w:line="199" w:lineRule="auto" w:before="47" w:after="0"/>
        <w:ind w:left="1522" w:right="1280" w:hanging="385"/>
        <w:jc w:val="both"/>
        <w:rPr>
          <w:sz w:val="21"/>
        </w:rPr>
      </w:pPr>
      <w:r>
        <w:rPr>
          <w:sz w:val="21"/>
        </w:rPr>
        <w:t>Sun HY, Hsueh PR, Liu WC, et al. Risk of Active Tuberculosis in HIV-Infected Patients in Taiwan with Free Access to HIV Care and a Positive T-Spot.TB</w:t>
      </w:r>
      <w:r>
        <w:rPr>
          <w:spacing w:val="13"/>
          <w:sz w:val="21"/>
        </w:rPr>
        <w:t> </w:t>
      </w:r>
      <w:r>
        <w:rPr>
          <w:sz w:val="21"/>
        </w:rPr>
        <w:t>Test</w:t>
      </w:r>
      <w:r>
        <w:rPr>
          <w:spacing w:val="6"/>
          <w:sz w:val="21"/>
        </w:rPr>
        <w:t>. </w:t>
      </w:r>
      <w:r>
        <w:rPr>
          <w:sz w:val="21"/>
        </w:rPr>
        <w:t>PLoS</w:t>
      </w:r>
      <w:r>
        <w:rPr>
          <w:spacing w:val="12"/>
          <w:sz w:val="21"/>
        </w:rPr>
        <w:t> </w:t>
      </w:r>
      <w:r>
        <w:rPr>
          <w:sz w:val="21"/>
        </w:rPr>
        <w:t>ONE</w:t>
      </w:r>
      <w:r>
        <w:rPr>
          <w:spacing w:val="7"/>
          <w:sz w:val="21"/>
        </w:rPr>
        <w:t>. </w:t>
      </w:r>
      <w:r>
        <w:rPr>
          <w:sz w:val="21"/>
        </w:rPr>
        <w:t>2015</w:t>
      </w:r>
      <w:r>
        <w:rPr>
          <w:spacing w:val="6"/>
          <w:sz w:val="21"/>
        </w:rPr>
        <w:t>; </w:t>
      </w:r>
      <w:r>
        <w:rPr>
          <w:sz w:val="21"/>
        </w:rPr>
        <w:t>10(5</w:t>
      </w:r>
      <w:r>
        <w:rPr>
          <w:spacing w:val="4"/>
          <w:sz w:val="21"/>
        </w:rPr>
        <w:t>): </w:t>
      </w:r>
      <w:r>
        <w:rPr>
          <w:sz w:val="21"/>
        </w:rPr>
        <w:t>e0125260</w:t>
      </w:r>
      <w:r>
        <w:rPr>
          <w:spacing w:val="7"/>
          <w:sz w:val="21"/>
        </w:rPr>
        <w:t>. </w:t>
      </w:r>
      <w:r>
        <w:rPr>
          <w:sz w:val="21"/>
        </w:rPr>
        <w:t>doi:10.1371/journal.pone.0125260</w:t>
      </w:r>
      <w:r>
        <w:rPr>
          <w:spacing w:val="6"/>
          <w:sz w:val="21"/>
        </w:rPr>
        <w:t>. </w:t>
      </w:r>
      <w:r>
        <w:rPr>
          <w:sz w:val="21"/>
        </w:rPr>
        <w:t>MSM</w:t>
      </w:r>
      <w:r>
        <w:rPr>
          <w:spacing w:val="5"/>
          <w:sz w:val="21"/>
        </w:rPr>
        <w:t> (</w:t>
      </w:r>
      <w:r>
        <w:rPr>
          <w:sz w:val="21"/>
        </w:rPr>
        <w:t>81</w:t>
      </w:r>
      <w:r>
        <w:rPr>
          <w:spacing w:val="1"/>
          <w:sz w:val="21"/>
        </w:rPr>
        <w:t>%)、</w:t>
      </w:r>
      <w:r>
        <w:rPr>
          <w:sz w:val="21"/>
        </w:rPr>
        <w:t>Heterosexual</w:t>
      </w:r>
      <w:r>
        <w:rPr>
          <w:spacing w:val="6"/>
          <w:sz w:val="21"/>
        </w:rPr>
        <w:t> (</w:t>
      </w:r>
      <w:r>
        <w:rPr>
          <w:sz w:val="21"/>
        </w:rPr>
        <w:t>15.7</w:t>
      </w:r>
      <w:r>
        <w:rPr>
          <w:spacing w:val="1"/>
          <w:sz w:val="21"/>
        </w:rPr>
        <w:t>%)、</w:t>
      </w:r>
      <w:r>
        <w:rPr>
          <w:sz w:val="21"/>
        </w:rPr>
        <w:t>IDU</w:t>
      </w:r>
      <w:r>
        <w:rPr>
          <w:spacing w:val="6"/>
          <w:sz w:val="21"/>
        </w:rPr>
        <w:t> (</w:t>
      </w:r>
      <w:r>
        <w:rPr>
          <w:sz w:val="21"/>
        </w:rPr>
        <w:t>1.5%)</w:t>
      </w:r>
    </w:p>
    <w:p>
      <w:pPr>
        <w:pStyle w:val="ListParagraph"/>
        <w:numPr>
          <w:ilvl w:val="0"/>
          <w:numId w:val="133"/>
        </w:numPr>
        <w:tabs>
          <w:tab w:pos="1524" w:val="left" w:leader="none"/>
        </w:tabs>
        <w:spacing w:line="385" w:lineRule="exact" w:before="0" w:after="0"/>
        <w:ind w:left="1523" w:right="0" w:hanging="386"/>
        <w:jc w:val="both"/>
        <w:rPr>
          <w:color w:val="C00000"/>
          <w:sz w:val="21"/>
        </w:rPr>
      </w:pPr>
      <w:r>
        <w:rPr>
          <w:color w:val="C00000"/>
          <w:sz w:val="21"/>
        </w:rPr>
        <w:t>2021</w:t>
      </w:r>
      <w:r>
        <w:rPr>
          <w:color w:val="C00000"/>
          <w:spacing w:val="1"/>
          <w:sz w:val="21"/>
        </w:rPr>
        <w:t>年都治計畫-縣市自提(</w:t>
      </w:r>
      <w:r>
        <w:rPr>
          <w:color w:val="C00000"/>
          <w:sz w:val="21"/>
        </w:rPr>
        <w:t>60</w:t>
      </w:r>
      <w:r>
        <w:rPr>
          <w:color w:val="C00000"/>
          <w:spacing w:val="3"/>
          <w:sz w:val="21"/>
        </w:rPr>
        <w:t>歲以上</w:t>
      </w:r>
      <w:r>
        <w:rPr>
          <w:color w:val="C00000"/>
          <w:sz w:val="21"/>
        </w:rPr>
        <w:t>COPD</w:t>
      </w:r>
      <w:r>
        <w:rPr>
          <w:color w:val="C00000"/>
          <w:spacing w:val="2"/>
          <w:sz w:val="21"/>
        </w:rPr>
        <w:t>)專案執行成果分析，個案追蹤至</w:t>
      </w:r>
      <w:r>
        <w:rPr>
          <w:color w:val="C00000"/>
          <w:sz w:val="21"/>
        </w:rPr>
        <w:t>2022/12/6</w:t>
      </w:r>
      <w:r>
        <w:rPr>
          <w:color w:val="C00000"/>
          <w:spacing w:val="2"/>
          <w:sz w:val="21"/>
        </w:rPr>
        <w:t> (</w:t>
      </w:r>
      <w:r>
        <w:rPr>
          <w:color w:val="C00000"/>
          <w:sz w:val="21"/>
        </w:rPr>
        <w:t>unpublished)</w:t>
      </w:r>
    </w:p>
    <w:p>
      <w:pPr>
        <w:spacing w:after="0" w:line="385" w:lineRule="exact"/>
        <w:jc w:val="both"/>
        <w:rPr>
          <w:sz w:val="21"/>
        </w:rPr>
        <w:sectPr>
          <w:pgSz w:w="17190" w:h="12250" w:orient="landscape"/>
          <w:pgMar w:header="0" w:footer="828" w:top="1140" w:bottom="1020" w:left="560" w:right="420"/>
        </w:sectPr>
      </w:pPr>
    </w:p>
    <w:p>
      <w:pPr>
        <w:spacing w:line="493" w:lineRule="exact" w:before="98"/>
        <w:ind w:left="78" w:right="0" w:firstLine="0"/>
        <w:jc w:val="center"/>
        <w:rPr>
          <w:b/>
          <w:sz w:val="28"/>
        </w:rPr>
      </w:pPr>
      <w:r>
        <w:rPr>
          <w:b/>
          <w:sz w:val="28"/>
        </w:rPr>
        <w:t>表 10-2  結核病接觸者檢查時間及方式</w:t>
      </w:r>
    </w:p>
    <w:p>
      <w:pPr>
        <w:pStyle w:val="Heading7"/>
        <w:spacing w:line="419" w:lineRule="exact"/>
        <w:ind w:left="1247"/>
        <w:jc w:val="left"/>
      </w:pPr>
      <w:r>
        <w:rPr>
          <w:b w:val="0"/>
        </w:rPr>
        <w:t>※於指標個案</w:t>
      </w:r>
      <w:r>
        <w:rPr/>
        <w:t>確診</w:t>
      </w:r>
      <w:r>
        <w:rPr>
          <w:b w:val="0"/>
        </w:rPr>
        <w:t>後，</w:t>
      </w:r>
      <w:r>
        <w:rPr/>
        <w:t>應儘速聯繫接觸者進行衛教，並說明應辦理檢查的項目及時間，最遲於 1 個月內安排接觸者應檢查的項目。</w:t>
      </w:r>
    </w:p>
    <w:tbl>
      <w:tblPr>
        <w:tblW w:w="0" w:type="auto"/>
        <w:jc w:val="left"/>
        <w:tblInd w:w="13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71"/>
        <w:gridCol w:w="2625"/>
        <w:gridCol w:w="1395"/>
        <w:gridCol w:w="835"/>
        <w:gridCol w:w="1467"/>
        <w:gridCol w:w="724"/>
        <w:gridCol w:w="2238"/>
        <w:gridCol w:w="2921"/>
      </w:tblGrid>
      <w:tr>
        <w:trPr>
          <w:trHeight w:val="643" w:hRule="atLeast"/>
        </w:trPr>
        <w:tc>
          <w:tcPr>
            <w:tcW w:w="3896" w:type="dxa"/>
            <w:gridSpan w:val="2"/>
            <w:vMerge w:val="restart"/>
            <w:shd w:val="clear" w:color="auto" w:fill="4F81BC"/>
          </w:tcPr>
          <w:p>
            <w:pPr>
              <w:pStyle w:val="TableParagraph"/>
              <w:rPr>
                <w:b/>
                <w:sz w:val="16"/>
              </w:rPr>
            </w:pPr>
          </w:p>
          <w:p>
            <w:pPr>
              <w:pStyle w:val="TableParagraph"/>
              <w:ind w:left="958"/>
              <w:rPr>
                <w:b/>
                <w:sz w:val="22"/>
              </w:rPr>
            </w:pPr>
            <w:r>
              <w:rPr>
                <w:b/>
                <w:sz w:val="22"/>
              </w:rPr>
              <w:t>指標個案傳染性分類</w:t>
            </w:r>
          </w:p>
        </w:tc>
        <w:tc>
          <w:tcPr>
            <w:tcW w:w="4421" w:type="dxa"/>
            <w:gridSpan w:val="4"/>
            <w:tcBorders>
              <w:bottom w:val="single" w:sz="8" w:space="0" w:color="000000"/>
            </w:tcBorders>
            <w:shd w:val="clear" w:color="auto" w:fill="8063A1"/>
          </w:tcPr>
          <w:p>
            <w:pPr>
              <w:pStyle w:val="TableParagraph"/>
              <w:spacing w:line="323" w:lineRule="exact"/>
              <w:ind w:left="100" w:right="70"/>
              <w:jc w:val="center"/>
              <w:rPr>
                <w:b/>
                <w:sz w:val="22"/>
              </w:rPr>
            </w:pPr>
            <w:r>
              <w:rPr>
                <w:b/>
                <w:sz w:val="22"/>
              </w:rPr>
              <w:t>痰培養陽性且鑑定為結核分枝桿菌之肺結核</w:t>
            </w:r>
          </w:p>
          <w:p>
            <w:pPr>
              <w:pStyle w:val="TableParagraph"/>
              <w:spacing w:line="301" w:lineRule="exact"/>
              <w:ind w:left="100" w:right="69"/>
              <w:jc w:val="center"/>
              <w:rPr>
                <w:b/>
                <w:sz w:val="22"/>
              </w:rPr>
            </w:pPr>
            <w:r>
              <w:rPr>
                <w:b/>
                <w:sz w:val="22"/>
              </w:rPr>
              <w:t>（</w:t>
            </w:r>
            <w:r>
              <w:rPr>
                <w:rFonts w:ascii="Arial" w:hAnsi="Arial" w:eastAsia="Arial"/>
                <w:sz w:val="28"/>
              </w:rPr>
              <w:t>≥</w:t>
            </w:r>
            <w:r>
              <w:rPr>
                <w:b/>
                <w:sz w:val="22"/>
              </w:rPr>
              <w:t>5 歲之確診個案）</w:t>
            </w:r>
          </w:p>
        </w:tc>
        <w:tc>
          <w:tcPr>
            <w:tcW w:w="2238" w:type="dxa"/>
            <w:vMerge w:val="restart"/>
            <w:tcBorders>
              <w:right w:val="single" w:sz="8" w:space="0" w:color="000000"/>
            </w:tcBorders>
            <w:shd w:val="clear" w:color="auto" w:fill="4F81BC"/>
          </w:tcPr>
          <w:p>
            <w:pPr>
              <w:pStyle w:val="TableParagraph"/>
              <w:spacing w:line="342" w:lineRule="exact" w:before="9"/>
              <w:ind w:left="131"/>
              <w:rPr>
                <w:b/>
                <w:sz w:val="22"/>
              </w:rPr>
            </w:pPr>
            <w:r>
              <w:rPr>
                <w:b/>
                <w:sz w:val="22"/>
              </w:rPr>
              <w:t>痰培養陰性之肺結核</w:t>
            </w:r>
          </w:p>
          <w:p>
            <w:pPr>
              <w:pStyle w:val="TableParagraph"/>
              <w:spacing w:line="165" w:lineRule="auto" w:before="28"/>
              <w:ind w:left="77" w:right="476"/>
              <w:rPr>
                <w:b/>
                <w:sz w:val="22"/>
              </w:rPr>
            </w:pPr>
            <w:r>
              <w:rPr>
                <w:b/>
                <w:sz w:val="22"/>
              </w:rPr>
              <w:t>（</w:t>
            </w:r>
            <w:r>
              <w:rPr>
                <w:rFonts w:ascii="Arial" w:hAnsi="Arial" w:eastAsia="Arial"/>
                <w:sz w:val="28"/>
              </w:rPr>
              <w:t>≥</w:t>
            </w:r>
            <w:r>
              <w:rPr>
                <w:b/>
                <w:sz w:val="22"/>
              </w:rPr>
              <w:t>5 歲之確診個案）</w:t>
            </w:r>
          </w:p>
        </w:tc>
        <w:tc>
          <w:tcPr>
            <w:tcW w:w="2921" w:type="dxa"/>
            <w:vMerge w:val="restart"/>
            <w:tcBorders>
              <w:left w:val="single" w:sz="8" w:space="0" w:color="000000"/>
            </w:tcBorders>
            <w:shd w:val="clear" w:color="auto" w:fill="4F81BC"/>
          </w:tcPr>
          <w:p>
            <w:pPr>
              <w:pStyle w:val="TableParagraph"/>
              <w:spacing w:line="373" w:lineRule="exact" w:before="136"/>
              <w:ind w:left="917"/>
              <w:rPr>
                <w:b/>
                <w:sz w:val="22"/>
              </w:rPr>
            </w:pPr>
            <w:r>
              <w:rPr>
                <w:b/>
                <w:sz w:val="22"/>
              </w:rPr>
              <w:t>單純肺外或</w:t>
            </w:r>
          </w:p>
          <w:p>
            <w:pPr>
              <w:pStyle w:val="TableParagraph"/>
              <w:spacing w:line="373" w:lineRule="exact"/>
              <w:ind w:left="521"/>
              <w:rPr>
                <w:b/>
                <w:sz w:val="22"/>
              </w:rPr>
            </w:pPr>
            <w:r>
              <w:rPr>
                <w:b/>
                <w:sz w:val="22"/>
              </w:rPr>
              <w:t>未滿 5 歲之確診個案</w:t>
            </w:r>
          </w:p>
        </w:tc>
      </w:tr>
      <w:tr>
        <w:trPr>
          <w:trHeight w:val="346" w:hRule="atLeast"/>
        </w:trPr>
        <w:tc>
          <w:tcPr>
            <w:tcW w:w="3896" w:type="dxa"/>
            <w:gridSpan w:val="2"/>
            <w:vMerge/>
            <w:tcBorders>
              <w:top w:val="nil"/>
            </w:tcBorders>
            <w:shd w:val="clear" w:color="auto" w:fill="4F81BC"/>
          </w:tcPr>
          <w:p>
            <w:pPr>
              <w:rPr>
                <w:sz w:val="2"/>
                <w:szCs w:val="2"/>
              </w:rPr>
            </w:pPr>
          </w:p>
        </w:tc>
        <w:tc>
          <w:tcPr>
            <w:tcW w:w="1395" w:type="dxa"/>
            <w:tcBorders>
              <w:top w:val="single" w:sz="8" w:space="0" w:color="000000"/>
              <w:right w:val="single" w:sz="8" w:space="0" w:color="000000"/>
            </w:tcBorders>
            <w:shd w:val="clear" w:color="auto" w:fill="E4DFEB"/>
          </w:tcPr>
          <w:p>
            <w:pPr>
              <w:pStyle w:val="TableParagraph"/>
              <w:spacing w:line="326" w:lineRule="exact"/>
              <w:ind w:left="58" w:right="32"/>
              <w:jc w:val="center"/>
              <w:rPr>
                <w:b/>
                <w:sz w:val="14"/>
              </w:rPr>
            </w:pPr>
            <w:r>
              <w:rPr>
                <w:b/>
                <w:sz w:val="22"/>
              </w:rPr>
              <w:t>痰塗片陽性 </w:t>
            </w:r>
            <w:r>
              <w:rPr>
                <w:b/>
                <w:position w:val="10"/>
                <w:sz w:val="14"/>
              </w:rPr>
              <w:t>2</w:t>
            </w:r>
          </w:p>
        </w:tc>
        <w:tc>
          <w:tcPr>
            <w:tcW w:w="3026" w:type="dxa"/>
            <w:gridSpan w:val="3"/>
            <w:tcBorders>
              <w:top w:val="single" w:sz="8" w:space="0" w:color="000000"/>
              <w:left w:val="single" w:sz="8" w:space="0" w:color="000000"/>
            </w:tcBorders>
            <w:shd w:val="clear" w:color="auto" w:fill="CCC0D9"/>
          </w:tcPr>
          <w:p>
            <w:pPr>
              <w:pStyle w:val="TableParagraph"/>
              <w:spacing w:line="326" w:lineRule="exact"/>
              <w:ind w:left="967"/>
              <w:rPr>
                <w:b/>
                <w:sz w:val="22"/>
              </w:rPr>
            </w:pPr>
            <w:r>
              <w:rPr>
                <w:b/>
                <w:sz w:val="22"/>
              </w:rPr>
              <w:t>痰塗片陰性</w:t>
            </w:r>
          </w:p>
        </w:tc>
        <w:tc>
          <w:tcPr>
            <w:tcW w:w="2238" w:type="dxa"/>
            <w:vMerge/>
            <w:tcBorders>
              <w:top w:val="nil"/>
              <w:right w:val="single" w:sz="8" w:space="0" w:color="000000"/>
            </w:tcBorders>
            <w:shd w:val="clear" w:color="auto" w:fill="4F81BC"/>
          </w:tcPr>
          <w:p>
            <w:pPr>
              <w:rPr>
                <w:sz w:val="2"/>
                <w:szCs w:val="2"/>
              </w:rPr>
            </w:pPr>
          </w:p>
        </w:tc>
        <w:tc>
          <w:tcPr>
            <w:tcW w:w="2921" w:type="dxa"/>
            <w:vMerge/>
            <w:tcBorders>
              <w:top w:val="nil"/>
              <w:left w:val="single" w:sz="8" w:space="0" w:color="000000"/>
            </w:tcBorders>
            <w:shd w:val="clear" w:color="auto" w:fill="4F81BC"/>
          </w:tcPr>
          <w:p>
            <w:pPr>
              <w:rPr>
                <w:sz w:val="2"/>
                <w:szCs w:val="2"/>
              </w:rPr>
            </w:pPr>
          </w:p>
        </w:tc>
      </w:tr>
      <w:tr>
        <w:trPr>
          <w:trHeight w:val="447" w:hRule="atLeast"/>
        </w:trPr>
        <w:tc>
          <w:tcPr>
            <w:tcW w:w="3896" w:type="dxa"/>
            <w:gridSpan w:val="2"/>
            <w:vMerge w:val="restart"/>
            <w:tcBorders>
              <w:bottom w:val="single" w:sz="8" w:space="0" w:color="000000"/>
            </w:tcBorders>
          </w:tcPr>
          <w:p>
            <w:pPr>
              <w:pStyle w:val="TableParagraph"/>
              <w:spacing w:before="16"/>
              <w:rPr>
                <w:b/>
                <w:sz w:val="29"/>
              </w:rPr>
            </w:pPr>
          </w:p>
          <w:p>
            <w:pPr>
              <w:pStyle w:val="TableParagraph"/>
              <w:ind w:left="911"/>
              <w:rPr>
                <w:sz w:val="22"/>
              </w:rPr>
            </w:pPr>
            <w:r>
              <w:rPr>
                <w:sz w:val="22"/>
              </w:rPr>
              <w:t>接觸者檢查時間/項目</w:t>
            </w:r>
          </w:p>
        </w:tc>
        <w:tc>
          <w:tcPr>
            <w:tcW w:w="1395" w:type="dxa"/>
            <w:vMerge w:val="restart"/>
            <w:tcBorders>
              <w:bottom w:val="single" w:sz="8" w:space="0" w:color="000000"/>
              <w:right w:val="single" w:sz="8" w:space="0" w:color="000000"/>
            </w:tcBorders>
          </w:tcPr>
          <w:p>
            <w:pPr>
              <w:pStyle w:val="TableParagraph"/>
              <w:spacing w:before="4"/>
              <w:rPr>
                <w:b/>
                <w:sz w:val="30"/>
              </w:rPr>
            </w:pPr>
          </w:p>
          <w:p>
            <w:pPr>
              <w:pStyle w:val="TableParagraph"/>
              <w:ind w:left="257"/>
              <w:rPr>
                <w:sz w:val="22"/>
              </w:rPr>
            </w:pPr>
            <w:r>
              <w:rPr>
                <w:sz w:val="22"/>
              </w:rPr>
              <w:t>全年齡層</w:t>
            </w:r>
          </w:p>
        </w:tc>
        <w:tc>
          <w:tcPr>
            <w:tcW w:w="835" w:type="dxa"/>
            <w:vMerge w:val="restart"/>
            <w:tcBorders>
              <w:left w:val="single" w:sz="8" w:space="0" w:color="000000"/>
              <w:bottom w:val="single" w:sz="8" w:space="0" w:color="000000"/>
              <w:right w:val="single" w:sz="8" w:space="0" w:color="000000"/>
            </w:tcBorders>
          </w:tcPr>
          <w:p>
            <w:pPr>
              <w:pStyle w:val="TableParagraph"/>
              <w:spacing w:before="4"/>
              <w:rPr>
                <w:b/>
                <w:sz w:val="30"/>
              </w:rPr>
            </w:pPr>
          </w:p>
          <w:p>
            <w:pPr>
              <w:pStyle w:val="TableParagraph"/>
              <w:ind w:left="95"/>
              <w:rPr>
                <w:sz w:val="22"/>
              </w:rPr>
            </w:pPr>
            <w:r>
              <w:rPr>
                <w:sz w:val="22"/>
              </w:rPr>
              <w:t>&lt;13 歲</w:t>
            </w:r>
          </w:p>
        </w:tc>
        <w:tc>
          <w:tcPr>
            <w:tcW w:w="2191" w:type="dxa"/>
            <w:gridSpan w:val="2"/>
            <w:tcBorders>
              <w:left w:val="single" w:sz="8" w:space="0" w:color="000000"/>
              <w:bottom w:val="single" w:sz="8" w:space="0" w:color="000000"/>
            </w:tcBorders>
          </w:tcPr>
          <w:p>
            <w:pPr>
              <w:pStyle w:val="TableParagraph"/>
              <w:spacing w:before="3"/>
              <w:ind w:left="755" w:right="720"/>
              <w:jc w:val="center"/>
              <w:rPr>
                <w:sz w:val="22"/>
              </w:rPr>
            </w:pPr>
            <w:r>
              <w:rPr>
                <w:rFonts w:ascii="Arial" w:hAnsi="Arial" w:eastAsia="Arial"/>
                <w:sz w:val="22"/>
              </w:rPr>
              <w:t>≥</w:t>
            </w:r>
            <w:r>
              <w:rPr>
                <w:sz w:val="22"/>
              </w:rPr>
              <w:t>13 歲</w:t>
            </w:r>
          </w:p>
        </w:tc>
        <w:tc>
          <w:tcPr>
            <w:tcW w:w="2238" w:type="dxa"/>
            <w:vMerge w:val="restart"/>
            <w:tcBorders>
              <w:bottom w:val="single" w:sz="8" w:space="0" w:color="000000"/>
              <w:right w:val="single" w:sz="8" w:space="0" w:color="000000"/>
            </w:tcBorders>
          </w:tcPr>
          <w:p>
            <w:pPr>
              <w:pStyle w:val="TableParagraph"/>
              <w:rPr>
                <w:rFonts w:ascii="Times New Roman"/>
                <w:sz w:val="20"/>
              </w:rPr>
            </w:pPr>
          </w:p>
        </w:tc>
        <w:tc>
          <w:tcPr>
            <w:tcW w:w="2921" w:type="dxa"/>
            <w:vMerge w:val="restart"/>
            <w:tcBorders>
              <w:left w:val="single" w:sz="8" w:space="0" w:color="000000"/>
              <w:bottom w:val="single" w:sz="8" w:space="0" w:color="000000"/>
            </w:tcBorders>
          </w:tcPr>
          <w:p>
            <w:pPr>
              <w:pStyle w:val="TableParagraph"/>
              <w:spacing w:line="304" w:lineRule="exact"/>
              <w:ind w:left="114"/>
              <w:rPr>
                <w:sz w:val="22"/>
              </w:rPr>
            </w:pPr>
            <w:r>
              <w:rPr>
                <w:sz w:val="22"/>
              </w:rPr>
              <w:t>檢查目的：尋找感染源</w:t>
            </w:r>
          </w:p>
          <w:p>
            <w:pPr>
              <w:pStyle w:val="TableParagraph"/>
              <w:spacing w:line="177" w:lineRule="auto" w:before="25"/>
              <w:ind w:left="114" w:right="277"/>
              <w:rPr>
                <w:sz w:val="22"/>
              </w:rPr>
            </w:pPr>
            <w:r>
              <w:rPr>
                <w:sz w:val="22"/>
              </w:rPr>
              <w:t>單純肺外以</w:t>
            </w:r>
            <w:r>
              <w:rPr>
                <w:rFonts w:ascii="Arial" w:hAnsi="Arial" w:eastAsia="Arial"/>
                <w:sz w:val="22"/>
              </w:rPr>
              <w:t>≥</w:t>
            </w:r>
            <w:r>
              <w:rPr>
                <w:sz w:val="22"/>
              </w:rPr>
              <w:t>5 歲同住接觸者</w:t>
            </w:r>
          </w:p>
          <w:p>
            <w:pPr>
              <w:pStyle w:val="TableParagraph"/>
              <w:spacing w:line="277" w:lineRule="exact"/>
              <w:ind w:left="114"/>
              <w:rPr>
                <w:sz w:val="22"/>
              </w:rPr>
            </w:pPr>
            <w:r>
              <w:rPr>
                <w:sz w:val="22"/>
              </w:rPr>
              <w:t>未滿 5 歲確診個案以</w:t>
            </w:r>
            <w:r>
              <w:rPr>
                <w:rFonts w:ascii="Arial" w:hAnsi="Arial" w:eastAsia="Arial"/>
                <w:sz w:val="22"/>
              </w:rPr>
              <w:t>≥</w:t>
            </w:r>
            <w:r>
              <w:rPr>
                <w:sz w:val="22"/>
              </w:rPr>
              <w:t>5 歲</w:t>
            </w:r>
          </w:p>
          <w:p>
            <w:pPr>
              <w:pStyle w:val="TableParagraph"/>
              <w:spacing w:line="293" w:lineRule="exact"/>
              <w:ind w:left="114"/>
              <w:rPr>
                <w:sz w:val="22"/>
              </w:rPr>
            </w:pPr>
            <w:r>
              <w:rPr>
                <w:sz w:val="22"/>
              </w:rPr>
              <w:t>家戶或密切接觸者為主</w:t>
            </w:r>
          </w:p>
        </w:tc>
      </w:tr>
      <w:tr>
        <w:trPr>
          <w:trHeight w:val="1051" w:hRule="atLeast"/>
        </w:trPr>
        <w:tc>
          <w:tcPr>
            <w:tcW w:w="3896" w:type="dxa"/>
            <w:gridSpan w:val="2"/>
            <w:vMerge/>
            <w:tcBorders>
              <w:top w:val="nil"/>
              <w:bottom w:val="single" w:sz="8" w:space="0" w:color="000000"/>
            </w:tcBorders>
          </w:tcPr>
          <w:p>
            <w:pPr>
              <w:rPr>
                <w:sz w:val="2"/>
                <w:szCs w:val="2"/>
              </w:rPr>
            </w:pPr>
          </w:p>
        </w:tc>
        <w:tc>
          <w:tcPr>
            <w:tcW w:w="1395" w:type="dxa"/>
            <w:vMerge/>
            <w:tcBorders>
              <w:top w:val="nil"/>
              <w:bottom w:val="single" w:sz="8" w:space="0" w:color="000000"/>
              <w:right w:val="single" w:sz="8" w:space="0" w:color="000000"/>
            </w:tcBorders>
          </w:tcPr>
          <w:p>
            <w:pPr>
              <w:rPr>
                <w:sz w:val="2"/>
                <w:szCs w:val="2"/>
              </w:rPr>
            </w:pPr>
          </w:p>
        </w:tc>
        <w:tc>
          <w:tcPr>
            <w:tcW w:w="835" w:type="dxa"/>
            <w:vMerge/>
            <w:tcBorders>
              <w:top w:val="nil"/>
              <w:left w:val="single" w:sz="8" w:space="0" w:color="000000"/>
              <w:bottom w:val="single" w:sz="8" w:space="0" w:color="000000"/>
              <w:right w:val="single" w:sz="8" w:space="0" w:color="000000"/>
            </w:tcBorders>
          </w:tcPr>
          <w:p>
            <w:pPr>
              <w:rPr>
                <w:sz w:val="2"/>
                <w:szCs w:val="2"/>
              </w:rPr>
            </w:pPr>
          </w:p>
        </w:tc>
        <w:tc>
          <w:tcPr>
            <w:tcW w:w="1467" w:type="dxa"/>
            <w:tcBorders>
              <w:top w:val="single" w:sz="8" w:space="0" w:color="000000"/>
              <w:left w:val="single" w:sz="8" w:space="0" w:color="000000"/>
              <w:bottom w:val="single" w:sz="8" w:space="0" w:color="000000"/>
              <w:right w:val="single" w:sz="4" w:space="0" w:color="000000"/>
            </w:tcBorders>
          </w:tcPr>
          <w:p>
            <w:pPr>
              <w:pStyle w:val="TableParagraph"/>
              <w:spacing w:line="165" w:lineRule="auto" w:before="256"/>
              <w:ind w:left="120" w:right="93" w:firstLine="68"/>
              <w:rPr>
                <w:sz w:val="14"/>
              </w:rPr>
            </w:pPr>
            <w:r>
              <w:rPr>
                <w:sz w:val="22"/>
              </w:rPr>
              <w:t>共同居住或慢性病患者 </w:t>
            </w:r>
            <w:r>
              <w:rPr>
                <w:position w:val="10"/>
                <w:sz w:val="14"/>
              </w:rPr>
              <w:t>3</w:t>
            </w:r>
          </w:p>
        </w:tc>
        <w:tc>
          <w:tcPr>
            <w:tcW w:w="724" w:type="dxa"/>
            <w:tcBorders>
              <w:top w:val="single" w:sz="8" w:space="0" w:color="000000"/>
              <w:left w:val="single" w:sz="4" w:space="0" w:color="000000"/>
              <w:bottom w:val="single" w:sz="8" w:space="0" w:color="000000"/>
            </w:tcBorders>
          </w:tcPr>
          <w:p>
            <w:pPr>
              <w:pStyle w:val="TableParagraph"/>
              <w:spacing w:before="10"/>
              <w:rPr>
                <w:b/>
                <w:sz w:val="16"/>
              </w:rPr>
            </w:pPr>
          </w:p>
          <w:p>
            <w:pPr>
              <w:pStyle w:val="TableParagraph"/>
              <w:ind w:right="111"/>
              <w:jc w:val="right"/>
              <w:rPr>
                <w:sz w:val="22"/>
              </w:rPr>
            </w:pPr>
            <w:r>
              <w:rPr>
                <w:w w:val="95"/>
                <w:sz w:val="22"/>
              </w:rPr>
              <w:t>其他</w:t>
            </w:r>
          </w:p>
        </w:tc>
        <w:tc>
          <w:tcPr>
            <w:tcW w:w="2238" w:type="dxa"/>
            <w:vMerge/>
            <w:tcBorders>
              <w:top w:val="nil"/>
              <w:bottom w:val="single" w:sz="8" w:space="0" w:color="000000"/>
              <w:right w:val="single" w:sz="8" w:space="0" w:color="000000"/>
            </w:tcBorders>
          </w:tcPr>
          <w:p>
            <w:pPr>
              <w:rPr>
                <w:sz w:val="2"/>
                <w:szCs w:val="2"/>
              </w:rPr>
            </w:pPr>
          </w:p>
        </w:tc>
        <w:tc>
          <w:tcPr>
            <w:tcW w:w="2921" w:type="dxa"/>
            <w:vMerge/>
            <w:tcBorders>
              <w:top w:val="nil"/>
              <w:left w:val="single" w:sz="8" w:space="0" w:color="000000"/>
              <w:bottom w:val="single" w:sz="8" w:space="0" w:color="000000"/>
            </w:tcBorders>
          </w:tcPr>
          <w:p>
            <w:pPr>
              <w:rPr>
                <w:sz w:val="2"/>
                <w:szCs w:val="2"/>
              </w:rPr>
            </w:pPr>
          </w:p>
        </w:tc>
      </w:tr>
      <w:tr>
        <w:trPr>
          <w:trHeight w:val="394" w:hRule="atLeast"/>
        </w:trPr>
        <w:tc>
          <w:tcPr>
            <w:tcW w:w="3896" w:type="dxa"/>
            <w:gridSpan w:val="2"/>
            <w:tcBorders>
              <w:top w:val="single" w:sz="8" w:space="0" w:color="000000"/>
              <w:bottom w:val="single" w:sz="8" w:space="0" w:color="000000"/>
            </w:tcBorders>
          </w:tcPr>
          <w:p>
            <w:pPr>
              <w:pStyle w:val="TableParagraph"/>
              <w:spacing w:line="374" w:lineRule="exact"/>
              <w:ind w:left="820"/>
              <w:rPr>
                <w:sz w:val="14"/>
              </w:rPr>
            </w:pPr>
            <w:r>
              <w:rPr>
                <w:sz w:val="22"/>
              </w:rPr>
              <w:t>第 1 個月內/胸部 X 光 </w:t>
            </w:r>
            <w:r>
              <w:rPr>
                <w:position w:val="10"/>
                <w:sz w:val="14"/>
              </w:rPr>
              <w:t>1</w:t>
            </w:r>
          </w:p>
        </w:tc>
        <w:tc>
          <w:tcPr>
            <w:tcW w:w="1395" w:type="dxa"/>
            <w:tcBorders>
              <w:top w:val="single" w:sz="8" w:space="0" w:color="000000"/>
              <w:bottom w:val="single" w:sz="8" w:space="0" w:color="000000"/>
              <w:right w:val="single" w:sz="8" w:space="0" w:color="000000"/>
            </w:tcBorders>
          </w:tcPr>
          <w:p>
            <w:pPr>
              <w:pStyle w:val="TableParagraph"/>
              <w:spacing w:before="32"/>
              <w:ind w:left="25"/>
              <w:jc w:val="center"/>
              <w:rPr>
                <w:rFonts w:ascii="標楷體" w:hAnsi="標楷體"/>
                <w:sz w:val="22"/>
              </w:rPr>
            </w:pPr>
            <w:r>
              <w:rPr>
                <w:rFonts w:ascii="標楷體" w:hAnsi="標楷體"/>
                <w:w w:val="99"/>
                <w:sz w:val="22"/>
              </w:rPr>
              <w:t>○</w:t>
            </w:r>
          </w:p>
        </w:tc>
        <w:tc>
          <w:tcPr>
            <w:tcW w:w="835" w:type="dxa"/>
            <w:tcBorders>
              <w:top w:val="single" w:sz="8" w:space="0" w:color="000000"/>
              <w:left w:val="single" w:sz="8" w:space="0" w:color="000000"/>
              <w:bottom w:val="single" w:sz="8" w:space="0" w:color="000000"/>
              <w:right w:val="single" w:sz="8" w:space="0" w:color="000000"/>
            </w:tcBorders>
          </w:tcPr>
          <w:p>
            <w:pPr>
              <w:pStyle w:val="TableParagraph"/>
              <w:spacing w:before="32"/>
              <w:ind w:left="312"/>
              <w:rPr>
                <w:rFonts w:ascii="標楷體" w:hAnsi="標楷體"/>
                <w:sz w:val="22"/>
              </w:rPr>
            </w:pPr>
            <w:r>
              <w:rPr>
                <w:rFonts w:ascii="標楷體" w:hAnsi="標楷體"/>
                <w:w w:val="99"/>
                <w:sz w:val="22"/>
              </w:rPr>
              <w:t>○</w:t>
            </w:r>
          </w:p>
        </w:tc>
        <w:tc>
          <w:tcPr>
            <w:tcW w:w="1467" w:type="dxa"/>
            <w:tcBorders>
              <w:top w:val="single" w:sz="8" w:space="0" w:color="000000"/>
              <w:left w:val="single" w:sz="8" w:space="0" w:color="000000"/>
              <w:bottom w:val="single" w:sz="8" w:space="0" w:color="000000"/>
              <w:right w:val="single" w:sz="4" w:space="0" w:color="000000"/>
            </w:tcBorders>
          </w:tcPr>
          <w:p>
            <w:pPr>
              <w:pStyle w:val="TableParagraph"/>
              <w:spacing w:before="32"/>
              <w:ind w:left="26"/>
              <w:jc w:val="center"/>
              <w:rPr>
                <w:rFonts w:ascii="標楷體" w:hAnsi="標楷體"/>
                <w:sz w:val="22"/>
              </w:rPr>
            </w:pPr>
            <w:r>
              <w:rPr>
                <w:rFonts w:ascii="標楷體" w:hAnsi="標楷體"/>
                <w:w w:val="99"/>
                <w:sz w:val="22"/>
              </w:rPr>
              <w:t>○</w:t>
            </w:r>
          </w:p>
        </w:tc>
        <w:tc>
          <w:tcPr>
            <w:tcW w:w="724" w:type="dxa"/>
            <w:tcBorders>
              <w:top w:val="single" w:sz="8" w:space="0" w:color="000000"/>
              <w:left w:val="single" w:sz="4" w:space="0" w:color="000000"/>
              <w:bottom w:val="single" w:sz="8" w:space="0" w:color="000000"/>
            </w:tcBorders>
          </w:tcPr>
          <w:p>
            <w:pPr>
              <w:pStyle w:val="TableParagraph"/>
              <w:spacing w:before="32"/>
              <w:ind w:left="261"/>
              <w:rPr>
                <w:rFonts w:ascii="標楷體" w:hAnsi="標楷體"/>
                <w:sz w:val="22"/>
              </w:rPr>
            </w:pPr>
            <w:r>
              <w:rPr>
                <w:rFonts w:ascii="標楷體" w:hAnsi="標楷體"/>
                <w:w w:val="99"/>
                <w:sz w:val="22"/>
              </w:rPr>
              <w:t>○</w:t>
            </w:r>
          </w:p>
        </w:tc>
        <w:tc>
          <w:tcPr>
            <w:tcW w:w="2238" w:type="dxa"/>
            <w:tcBorders>
              <w:top w:val="single" w:sz="8" w:space="0" w:color="000000"/>
              <w:bottom w:val="single" w:sz="8" w:space="0" w:color="000000"/>
              <w:right w:val="single" w:sz="8" w:space="0" w:color="000000"/>
            </w:tcBorders>
          </w:tcPr>
          <w:p>
            <w:pPr>
              <w:pStyle w:val="TableParagraph"/>
              <w:spacing w:before="32"/>
              <w:ind w:left="28"/>
              <w:jc w:val="center"/>
              <w:rPr>
                <w:rFonts w:ascii="標楷體" w:hAnsi="標楷體"/>
                <w:sz w:val="22"/>
              </w:rPr>
            </w:pPr>
            <w:r>
              <w:rPr>
                <w:rFonts w:ascii="標楷體" w:hAnsi="標楷體"/>
                <w:w w:val="99"/>
                <w:sz w:val="22"/>
              </w:rPr>
              <w:t>○</w:t>
            </w:r>
          </w:p>
        </w:tc>
        <w:tc>
          <w:tcPr>
            <w:tcW w:w="2921" w:type="dxa"/>
            <w:tcBorders>
              <w:top w:val="single" w:sz="8" w:space="0" w:color="000000"/>
              <w:left w:val="single" w:sz="8" w:space="0" w:color="000000"/>
              <w:bottom w:val="single" w:sz="8" w:space="0" w:color="000000"/>
            </w:tcBorders>
          </w:tcPr>
          <w:p>
            <w:pPr>
              <w:pStyle w:val="TableParagraph"/>
              <w:spacing w:before="32"/>
              <w:ind w:left="39"/>
              <w:jc w:val="center"/>
              <w:rPr>
                <w:rFonts w:ascii="標楷體" w:hAnsi="標楷體"/>
                <w:sz w:val="22"/>
              </w:rPr>
            </w:pPr>
            <w:r>
              <w:rPr>
                <w:rFonts w:ascii="標楷體" w:hAnsi="標楷體"/>
                <w:w w:val="99"/>
                <w:sz w:val="22"/>
              </w:rPr>
              <w:t>○</w:t>
            </w:r>
          </w:p>
        </w:tc>
      </w:tr>
      <w:tr>
        <w:trPr>
          <w:trHeight w:val="546" w:hRule="atLeast"/>
        </w:trPr>
        <w:tc>
          <w:tcPr>
            <w:tcW w:w="3896" w:type="dxa"/>
            <w:gridSpan w:val="2"/>
            <w:tcBorders>
              <w:top w:val="single" w:sz="8" w:space="0" w:color="000000"/>
              <w:bottom w:val="single" w:sz="8" w:space="0" w:color="000000"/>
            </w:tcBorders>
          </w:tcPr>
          <w:p>
            <w:pPr>
              <w:pStyle w:val="TableParagraph"/>
              <w:spacing w:line="141" w:lineRule="auto" w:before="39"/>
              <w:ind w:left="811" w:right="779" w:firstLine="146"/>
              <w:rPr>
                <w:sz w:val="14"/>
              </w:rPr>
            </w:pPr>
            <w:r>
              <w:rPr>
                <w:sz w:val="22"/>
              </w:rPr>
              <w:t>與指標個案終止有效暴露滿 8 週/LTBI 檢驗 </w:t>
            </w:r>
            <w:r>
              <w:rPr>
                <w:position w:val="10"/>
                <w:sz w:val="14"/>
              </w:rPr>
              <w:t>4</w:t>
            </w:r>
          </w:p>
        </w:tc>
        <w:tc>
          <w:tcPr>
            <w:tcW w:w="1395" w:type="dxa"/>
            <w:tcBorders>
              <w:top w:val="single" w:sz="8" w:space="0" w:color="000000"/>
              <w:bottom w:val="single" w:sz="8" w:space="0" w:color="000000"/>
              <w:right w:val="single" w:sz="8" w:space="0" w:color="000000"/>
            </w:tcBorders>
          </w:tcPr>
          <w:p>
            <w:pPr>
              <w:pStyle w:val="TableParagraph"/>
              <w:spacing w:before="148"/>
              <w:ind w:left="58" w:right="32"/>
              <w:jc w:val="center"/>
              <w:rPr>
                <w:rFonts w:ascii="標楷體" w:hAnsi="標楷體"/>
                <w:sz w:val="11"/>
              </w:rPr>
            </w:pPr>
            <w:r>
              <w:rPr>
                <w:rFonts w:ascii="標楷體" w:hAnsi="標楷體"/>
                <w:position w:val="-10"/>
                <w:sz w:val="22"/>
              </w:rPr>
              <w:t>○</w:t>
            </w:r>
            <w:r>
              <w:rPr>
                <w:rFonts w:ascii="標楷體" w:hAnsi="標楷體"/>
                <w:sz w:val="11"/>
              </w:rPr>
              <w:t>5</w:t>
            </w:r>
          </w:p>
        </w:tc>
        <w:tc>
          <w:tcPr>
            <w:tcW w:w="835" w:type="dxa"/>
            <w:tcBorders>
              <w:top w:val="single" w:sz="8" w:space="0" w:color="000000"/>
              <w:left w:val="single" w:sz="8" w:space="0" w:color="000000"/>
              <w:bottom w:val="single" w:sz="8" w:space="0" w:color="000000"/>
              <w:right w:val="single" w:sz="8" w:space="0" w:color="000000"/>
            </w:tcBorders>
          </w:tcPr>
          <w:p>
            <w:pPr>
              <w:pStyle w:val="TableParagraph"/>
              <w:spacing w:before="148"/>
              <w:ind w:left="283"/>
              <w:rPr>
                <w:rFonts w:ascii="標楷體" w:hAnsi="標楷體"/>
                <w:sz w:val="11"/>
              </w:rPr>
            </w:pPr>
            <w:r>
              <w:rPr>
                <w:rFonts w:ascii="標楷體" w:hAnsi="標楷體"/>
                <w:position w:val="-10"/>
                <w:sz w:val="22"/>
              </w:rPr>
              <w:t>○</w:t>
            </w:r>
            <w:r>
              <w:rPr>
                <w:rFonts w:ascii="標楷體" w:hAnsi="標楷體"/>
                <w:sz w:val="11"/>
              </w:rPr>
              <w:t>5</w:t>
            </w:r>
          </w:p>
        </w:tc>
        <w:tc>
          <w:tcPr>
            <w:tcW w:w="1467" w:type="dxa"/>
            <w:tcBorders>
              <w:top w:val="single" w:sz="8" w:space="0" w:color="000000"/>
              <w:left w:val="single" w:sz="8" w:space="0" w:color="000000"/>
              <w:bottom w:val="single" w:sz="8" w:space="0" w:color="000000"/>
              <w:right w:val="single" w:sz="4" w:space="0" w:color="000000"/>
            </w:tcBorders>
          </w:tcPr>
          <w:p>
            <w:pPr>
              <w:pStyle w:val="TableParagraph"/>
              <w:spacing w:before="148"/>
              <w:ind w:left="544" w:right="516"/>
              <w:jc w:val="center"/>
              <w:rPr>
                <w:rFonts w:ascii="標楷體" w:hAnsi="標楷體"/>
                <w:sz w:val="11"/>
              </w:rPr>
            </w:pPr>
            <w:r>
              <w:rPr>
                <w:rFonts w:ascii="標楷體" w:hAnsi="標楷體"/>
                <w:position w:val="-10"/>
                <w:sz w:val="22"/>
              </w:rPr>
              <w:t>○</w:t>
            </w:r>
            <w:r>
              <w:rPr>
                <w:rFonts w:ascii="標楷體" w:hAnsi="標楷體"/>
                <w:sz w:val="11"/>
              </w:rPr>
              <w:t>5</w:t>
            </w:r>
          </w:p>
        </w:tc>
        <w:tc>
          <w:tcPr>
            <w:tcW w:w="724" w:type="dxa"/>
            <w:tcBorders>
              <w:top w:val="single" w:sz="8" w:space="0" w:color="000000"/>
              <w:left w:val="single" w:sz="4" w:space="0" w:color="000000"/>
              <w:bottom w:val="single" w:sz="8" w:space="0" w:color="000000"/>
            </w:tcBorders>
          </w:tcPr>
          <w:p>
            <w:pPr>
              <w:pStyle w:val="TableParagraph"/>
              <w:spacing w:line="511" w:lineRule="exact"/>
              <w:ind w:left="269"/>
              <w:rPr>
                <w:sz w:val="28"/>
              </w:rPr>
            </w:pPr>
            <w:r>
              <w:rPr>
                <w:w w:val="99"/>
                <w:sz w:val="28"/>
              </w:rPr>
              <w:t>×</w:t>
            </w:r>
          </w:p>
        </w:tc>
        <w:tc>
          <w:tcPr>
            <w:tcW w:w="2238" w:type="dxa"/>
            <w:tcBorders>
              <w:top w:val="single" w:sz="8" w:space="0" w:color="000000"/>
              <w:bottom w:val="single" w:sz="8" w:space="0" w:color="000000"/>
              <w:right w:val="single" w:sz="8" w:space="0" w:color="000000"/>
            </w:tcBorders>
          </w:tcPr>
          <w:p>
            <w:pPr>
              <w:pStyle w:val="TableParagraph"/>
              <w:spacing w:line="511" w:lineRule="exact"/>
              <w:ind w:left="27"/>
              <w:jc w:val="center"/>
              <w:rPr>
                <w:sz w:val="28"/>
              </w:rPr>
            </w:pPr>
            <w:r>
              <w:rPr>
                <w:w w:val="99"/>
                <w:sz w:val="28"/>
              </w:rPr>
              <w:t>×</w:t>
            </w:r>
          </w:p>
        </w:tc>
        <w:tc>
          <w:tcPr>
            <w:tcW w:w="2921" w:type="dxa"/>
            <w:tcBorders>
              <w:top w:val="single" w:sz="8" w:space="0" w:color="000000"/>
              <w:left w:val="single" w:sz="8" w:space="0" w:color="000000"/>
              <w:bottom w:val="single" w:sz="8" w:space="0" w:color="000000"/>
            </w:tcBorders>
          </w:tcPr>
          <w:p>
            <w:pPr>
              <w:pStyle w:val="TableParagraph"/>
              <w:spacing w:line="511" w:lineRule="exact"/>
              <w:ind w:left="38"/>
              <w:jc w:val="center"/>
              <w:rPr>
                <w:sz w:val="28"/>
              </w:rPr>
            </w:pPr>
            <w:r>
              <w:rPr>
                <w:w w:val="99"/>
                <w:sz w:val="28"/>
              </w:rPr>
              <w:t>×</w:t>
            </w:r>
          </w:p>
        </w:tc>
      </w:tr>
      <w:tr>
        <w:trPr>
          <w:trHeight w:val="566" w:hRule="atLeast"/>
        </w:trPr>
        <w:tc>
          <w:tcPr>
            <w:tcW w:w="1271" w:type="dxa"/>
            <w:vMerge w:val="restart"/>
            <w:tcBorders>
              <w:top w:val="single" w:sz="8" w:space="0" w:color="000000"/>
              <w:right w:val="single" w:sz="8" w:space="0" w:color="000000"/>
            </w:tcBorders>
          </w:tcPr>
          <w:p>
            <w:pPr>
              <w:pStyle w:val="TableParagraph"/>
              <w:spacing w:line="392" w:lineRule="exact" w:before="90"/>
              <w:ind w:left="101" w:right="80"/>
              <w:jc w:val="center"/>
              <w:rPr>
                <w:sz w:val="22"/>
              </w:rPr>
            </w:pPr>
            <w:r>
              <w:rPr>
                <w:sz w:val="22"/>
              </w:rPr>
              <w:t>第 12 個月</w:t>
            </w:r>
          </w:p>
          <w:p>
            <w:pPr>
              <w:pStyle w:val="TableParagraph"/>
              <w:spacing w:line="381" w:lineRule="exact"/>
              <w:ind w:left="22"/>
              <w:jc w:val="center"/>
              <w:rPr>
                <w:sz w:val="22"/>
              </w:rPr>
            </w:pPr>
            <w:r>
              <w:rPr>
                <w:w w:val="99"/>
                <w:sz w:val="22"/>
              </w:rPr>
              <w:t>/</w:t>
            </w:r>
          </w:p>
          <w:p>
            <w:pPr>
              <w:pStyle w:val="TableParagraph"/>
              <w:spacing w:line="393" w:lineRule="exact"/>
              <w:ind w:left="100" w:right="80"/>
              <w:jc w:val="center"/>
              <w:rPr>
                <w:sz w:val="22"/>
              </w:rPr>
            </w:pPr>
            <w:r>
              <w:rPr>
                <w:sz w:val="22"/>
              </w:rPr>
              <w:t>胸部 X 光</w:t>
            </w:r>
          </w:p>
        </w:tc>
        <w:tc>
          <w:tcPr>
            <w:tcW w:w="2625" w:type="dxa"/>
            <w:tcBorders>
              <w:top w:val="single" w:sz="8" w:space="0" w:color="000000"/>
              <w:left w:val="single" w:sz="8" w:space="0" w:color="000000"/>
              <w:bottom w:val="single" w:sz="8" w:space="0" w:color="000000"/>
            </w:tcBorders>
          </w:tcPr>
          <w:p>
            <w:pPr>
              <w:pStyle w:val="TableParagraph"/>
              <w:spacing w:line="267" w:lineRule="exact"/>
              <w:ind w:left="79"/>
              <w:rPr>
                <w:sz w:val="22"/>
              </w:rPr>
            </w:pPr>
            <w:r>
              <w:rPr>
                <w:sz w:val="22"/>
              </w:rPr>
              <w:t>LTBI 檢驗陰性/持續或</w:t>
            </w:r>
          </w:p>
          <w:p>
            <w:pPr>
              <w:pStyle w:val="TableParagraph"/>
              <w:spacing w:line="279" w:lineRule="exact"/>
              <w:ind w:left="79"/>
              <w:rPr>
                <w:sz w:val="22"/>
              </w:rPr>
            </w:pPr>
            <w:r>
              <w:rPr>
                <w:sz w:val="22"/>
              </w:rPr>
              <w:t>完成 LTBI 治療者</w:t>
            </w:r>
          </w:p>
        </w:tc>
        <w:tc>
          <w:tcPr>
            <w:tcW w:w="1395" w:type="dxa"/>
            <w:tcBorders>
              <w:top w:val="single" w:sz="8" w:space="0" w:color="000000"/>
              <w:bottom w:val="single" w:sz="8" w:space="0" w:color="000000"/>
              <w:right w:val="single" w:sz="8" w:space="0" w:color="000000"/>
            </w:tcBorders>
          </w:tcPr>
          <w:p>
            <w:pPr>
              <w:pStyle w:val="TableParagraph"/>
              <w:spacing w:before="9"/>
              <w:ind w:left="26"/>
              <w:jc w:val="center"/>
              <w:rPr>
                <w:sz w:val="28"/>
              </w:rPr>
            </w:pPr>
            <w:r>
              <w:rPr>
                <w:w w:val="99"/>
                <w:sz w:val="28"/>
              </w:rPr>
              <w:t>×</w:t>
            </w:r>
          </w:p>
        </w:tc>
        <w:tc>
          <w:tcPr>
            <w:tcW w:w="835" w:type="dxa"/>
            <w:tcBorders>
              <w:top w:val="single" w:sz="8" w:space="0" w:color="000000"/>
              <w:left w:val="single" w:sz="8" w:space="0" w:color="000000"/>
              <w:bottom w:val="single" w:sz="8" w:space="0" w:color="000000"/>
              <w:right w:val="single" w:sz="8" w:space="0" w:color="000000"/>
            </w:tcBorders>
          </w:tcPr>
          <w:p>
            <w:pPr>
              <w:pStyle w:val="TableParagraph"/>
              <w:spacing w:before="9"/>
              <w:ind w:left="318"/>
              <w:rPr>
                <w:sz w:val="28"/>
              </w:rPr>
            </w:pPr>
            <w:r>
              <w:rPr>
                <w:w w:val="99"/>
                <w:sz w:val="28"/>
              </w:rPr>
              <w:t>×</w:t>
            </w:r>
          </w:p>
        </w:tc>
        <w:tc>
          <w:tcPr>
            <w:tcW w:w="1467" w:type="dxa"/>
            <w:tcBorders>
              <w:top w:val="single" w:sz="8" w:space="0" w:color="000000"/>
              <w:left w:val="single" w:sz="8" w:space="0" w:color="000000"/>
              <w:bottom w:val="single" w:sz="8" w:space="0" w:color="000000"/>
              <w:right w:val="single" w:sz="4" w:space="0" w:color="000000"/>
            </w:tcBorders>
          </w:tcPr>
          <w:p>
            <w:pPr>
              <w:pStyle w:val="TableParagraph"/>
              <w:spacing w:before="9"/>
              <w:ind w:left="25"/>
              <w:jc w:val="center"/>
              <w:rPr>
                <w:sz w:val="28"/>
              </w:rPr>
            </w:pPr>
            <w:r>
              <w:rPr>
                <w:w w:val="99"/>
                <w:sz w:val="28"/>
              </w:rPr>
              <w:t>×</w:t>
            </w:r>
          </w:p>
        </w:tc>
        <w:tc>
          <w:tcPr>
            <w:tcW w:w="724" w:type="dxa"/>
            <w:tcBorders>
              <w:top w:val="single" w:sz="8" w:space="0" w:color="000000"/>
              <w:left w:val="single" w:sz="4" w:space="0" w:color="000000"/>
              <w:bottom w:val="single" w:sz="8" w:space="0" w:color="000000"/>
            </w:tcBorders>
          </w:tcPr>
          <w:p>
            <w:pPr>
              <w:pStyle w:val="TableParagraph"/>
              <w:spacing w:before="9"/>
              <w:ind w:left="269"/>
              <w:rPr>
                <w:sz w:val="28"/>
              </w:rPr>
            </w:pPr>
            <w:r>
              <w:rPr>
                <w:w w:val="99"/>
                <w:sz w:val="28"/>
              </w:rPr>
              <w:t>×</w:t>
            </w:r>
          </w:p>
        </w:tc>
        <w:tc>
          <w:tcPr>
            <w:tcW w:w="2238" w:type="dxa"/>
            <w:vMerge w:val="restart"/>
            <w:tcBorders>
              <w:top w:val="single" w:sz="8" w:space="0" w:color="000000"/>
              <w:right w:val="single" w:sz="8" w:space="0" w:color="000000"/>
            </w:tcBorders>
          </w:tcPr>
          <w:p>
            <w:pPr>
              <w:pStyle w:val="TableParagraph"/>
              <w:spacing w:before="4"/>
              <w:rPr>
                <w:b/>
                <w:sz w:val="22"/>
              </w:rPr>
            </w:pPr>
          </w:p>
          <w:p>
            <w:pPr>
              <w:pStyle w:val="TableParagraph"/>
              <w:ind w:left="27"/>
              <w:jc w:val="center"/>
              <w:rPr>
                <w:sz w:val="28"/>
              </w:rPr>
            </w:pPr>
            <w:r>
              <w:rPr>
                <w:w w:val="99"/>
                <w:sz w:val="28"/>
              </w:rPr>
              <w:t>×</w:t>
            </w:r>
          </w:p>
        </w:tc>
        <w:tc>
          <w:tcPr>
            <w:tcW w:w="2921" w:type="dxa"/>
            <w:vMerge w:val="restart"/>
            <w:tcBorders>
              <w:top w:val="single" w:sz="8" w:space="0" w:color="000000"/>
              <w:left w:val="single" w:sz="8" w:space="0" w:color="000000"/>
            </w:tcBorders>
          </w:tcPr>
          <w:p>
            <w:pPr>
              <w:pStyle w:val="TableParagraph"/>
              <w:spacing w:before="4"/>
              <w:rPr>
                <w:b/>
                <w:sz w:val="22"/>
              </w:rPr>
            </w:pPr>
          </w:p>
          <w:p>
            <w:pPr>
              <w:pStyle w:val="TableParagraph"/>
              <w:ind w:left="37"/>
              <w:jc w:val="center"/>
              <w:rPr>
                <w:sz w:val="28"/>
              </w:rPr>
            </w:pPr>
            <w:r>
              <w:rPr>
                <w:w w:val="99"/>
                <w:sz w:val="28"/>
              </w:rPr>
              <w:t>×</w:t>
            </w:r>
          </w:p>
        </w:tc>
      </w:tr>
      <w:tr>
        <w:trPr>
          <w:trHeight w:val="774" w:hRule="atLeast"/>
        </w:trPr>
        <w:tc>
          <w:tcPr>
            <w:tcW w:w="1271" w:type="dxa"/>
            <w:vMerge/>
            <w:tcBorders>
              <w:top w:val="nil"/>
              <w:right w:val="single" w:sz="8" w:space="0" w:color="000000"/>
            </w:tcBorders>
          </w:tcPr>
          <w:p>
            <w:pPr>
              <w:rPr>
                <w:sz w:val="2"/>
                <w:szCs w:val="2"/>
              </w:rPr>
            </w:pPr>
          </w:p>
        </w:tc>
        <w:tc>
          <w:tcPr>
            <w:tcW w:w="2625" w:type="dxa"/>
            <w:tcBorders>
              <w:top w:val="single" w:sz="8" w:space="0" w:color="000000"/>
              <w:left w:val="single" w:sz="8" w:space="0" w:color="000000"/>
            </w:tcBorders>
          </w:tcPr>
          <w:p>
            <w:pPr>
              <w:pStyle w:val="TableParagraph"/>
              <w:spacing w:line="230" w:lineRule="exact"/>
              <w:ind w:left="79"/>
              <w:rPr>
                <w:sz w:val="22"/>
              </w:rPr>
            </w:pPr>
            <w:r>
              <w:rPr>
                <w:spacing w:val="-1"/>
                <w:sz w:val="22"/>
              </w:rPr>
              <w:t>應執行 </w:t>
            </w:r>
            <w:r>
              <w:rPr>
                <w:sz w:val="22"/>
              </w:rPr>
              <w:t>LTBI</w:t>
            </w:r>
            <w:r>
              <w:rPr>
                <w:spacing w:val="-1"/>
                <w:sz w:val="22"/>
              </w:rPr>
              <w:t> 檢驗未執行</w:t>
            </w:r>
          </w:p>
          <w:p>
            <w:pPr>
              <w:pStyle w:val="TableParagraph"/>
              <w:spacing w:line="260" w:lineRule="exact"/>
              <w:ind w:left="79"/>
              <w:rPr>
                <w:sz w:val="22"/>
              </w:rPr>
            </w:pPr>
            <w:r>
              <w:rPr>
                <w:spacing w:val="-1"/>
                <w:sz w:val="22"/>
              </w:rPr>
              <w:t>、應加入 </w:t>
            </w:r>
            <w:r>
              <w:rPr>
                <w:sz w:val="22"/>
              </w:rPr>
              <w:t>LTBI</w:t>
            </w:r>
            <w:r>
              <w:rPr>
                <w:spacing w:val="-1"/>
                <w:sz w:val="22"/>
              </w:rPr>
              <w:t> 治療未加</w:t>
            </w:r>
          </w:p>
          <w:p>
            <w:pPr>
              <w:pStyle w:val="TableParagraph"/>
              <w:spacing w:line="264" w:lineRule="exact"/>
              <w:ind w:left="79"/>
              <w:rPr>
                <w:sz w:val="22"/>
              </w:rPr>
            </w:pPr>
            <w:r>
              <w:rPr>
                <w:sz w:val="22"/>
              </w:rPr>
              <w:t>入或中斷治療者</w:t>
            </w:r>
          </w:p>
        </w:tc>
        <w:tc>
          <w:tcPr>
            <w:tcW w:w="1395" w:type="dxa"/>
            <w:tcBorders>
              <w:top w:val="single" w:sz="8" w:space="0" w:color="000000"/>
              <w:right w:val="single" w:sz="8" w:space="0" w:color="000000"/>
            </w:tcBorders>
          </w:tcPr>
          <w:p>
            <w:pPr>
              <w:pStyle w:val="TableParagraph"/>
              <w:spacing w:before="199"/>
              <w:ind w:left="58" w:right="31"/>
              <w:jc w:val="center"/>
              <w:rPr>
                <w:rFonts w:ascii="標楷體" w:hAnsi="標楷體"/>
                <w:sz w:val="14"/>
              </w:rPr>
            </w:pPr>
            <w:r>
              <w:rPr>
                <w:rFonts w:ascii="標楷體" w:hAnsi="標楷體"/>
                <w:position w:val="-13"/>
                <w:sz w:val="28"/>
              </w:rPr>
              <w:t>○</w:t>
            </w:r>
            <w:r>
              <w:rPr>
                <w:rFonts w:ascii="標楷體" w:hAnsi="標楷體"/>
                <w:sz w:val="14"/>
              </w:rPr>
              <w:t>6</w:t>
            </w:r>
          </w:p>
        </w:tc>
        <w:tc>
          <w:tcPr>
            <w:tcW w:w="835" w:type="dxa"/>
            <w:tcBorders>
              <w:top w:val="single" w:sz="8" w:space="0" w:color="000000"/>
              <w:left w:val="single" w:sz="8" w:space="0" w:color="000000"/>
              <w:right w:val="single" w:sz="8" w:space="0" w:color="000000"/>
            </w:tcBorders>
          </w:tcPr>
          <w:p>
            <w:pPr>
              <w:pStyle w:val="TableParagraph"/>
              <w:spacing w:before="199"/>
              <w:ind w:left="356"/>
              <w:rPr>
                <w:rFonts w:ascii="標楷體" w:hAnsi="標楷體"/>
                <w:sz w:val="14"/>
              </w:rPr>
            </w:pPr>
            <w:r>
              <w:rPr>
                <w:rFonts w:ascii="標楷體" w:hAnsi="標楷體"/>
                <w:position w:val="-13"/>
                <w:sz w:val="28"/>
              </w:rPr>
              <w:t>○</w:t>
            </w:r>
            <w:r>
              <w:rPr>
                <w:rFonts w:ascii="標楷體" w:hAnsi="標楷體"/>
                <w:sz w:val="14"/>
              </w:rPr>
              <w:t>6</w:t>
            </w:r>
          </w:p>
        </w:tc>
        <w:tc>
          <w:tcPr>
            <w:tcW w:w="1467" w:type="dxa"/>
            <w:tcBorders>
              <w:top w:val="single" w:sz="8" w:space="0" w:color="000000"/>
              <w:left w:val="single" w:sz="8" w:space="0" w:color="000000"/>
              <w:right w:val="single" w:sz="4" w:space="0" w:color="000000"/>
            </w:tcBorders>
          </w:tcPr>
          <w:p>
            <w:pPr>
              <w:pStyle w:val="TableParagraph"/>
              <w:spacing w:before="199"/>
              <w:ind w:left="544" w:right="518"/>
              <w:jc w:val="center"/>
              <w:rPr>
                <w:rFonts w:ascii="標楷體" w:hAnsi="標楷體"/>
                <w:sz w:val="14"/>
              </w:rPr>
            </w:pPr>
            <w:r>
              <w:rPr>
                <w:rFonts w:ascii="標楷體" w:hAnsi="標楷體"/>
                <w:position w:val="-13"/>
                <w:sz w:val="28"/>
              </w:rPr>
              <w:t>○</w:t>
            </w:r>
            <w:r>
              <w:rPr>
                <w:rFonts w:ascii="標楷體" w:hAnsi="標楷體"/>
                <w:sz w:val="14"/>
              </w:rPr>
              <w:t>6</w:t>
            </w:r>
          </w:p>
        </w:tc>
        <w:tc>
          <w:tcPr>
            <w:tcW w:w="724" w:type="dxa"/>
            <w:tcBorders>
              <w:top w:val="single" w:sz="8" w:space="0" w:color="000000"/>
              <w:left w:val="single" w:sz="4" w:space="0" w:color="000000"/>
            </w:tcBorders>
          </w:tcPr>
          <w:p>
            <w:pPr>
              <w:pStyle w:val="TableParagraph"/>
              <w:spacing w:before="199"/>
              <w:ind w:right="114"/>
              <w:jc w:val="right"/>
              <w:rPr>
                <w:rFonts w:ascii="標楷體" w:hAnsi="標楷體"/>
                <w:sz w:val="14"/>
              </w:rPr>
            </w:pPr>
            <w:r>
              <w:rPr>
                <w:rFonts w:ascii="標楷體" w:hAnsi="標楷體"/>
                <w:position w:val="-13"/>
                <w:sz w:val="28"/>
              </w:rPr>
              <w:t>×</w:t>
            </w:r>
            <w:r>
              <w:rPr>
                <w:rFonts w:ascii="標楷體" w:hAnsi="標楷體"/>
                <w:sz w:val="14"/>
              </w:rPr>
              <w:t>7</w:t>
            </w:r>
          </w:p>
        </w:tc>
        <w:tc>
          <w:tcPr>
            <w:tcW w:w="2238" w:type="dxa"/>
            <w:vMerge/>
            <w:tcBorders>
              <w:top w:val="nil"/>
              <w:right w:val="single" w:sz="8" w:space="0" w:color="000000"/>
            </w:tcBorders>
          </w:tcPr>
          <w:p>
            <w:pPr>
              <w:rPr>
                <w:sz w:val="2"/>
                <w:szCs w:val="2"/>
              </w:rPr>
            </w:pPr>
          </w:p>
        </w:tc>
        <w:tc>
          <w:tcPr>
            <w:tcW w:w="2921" w:type="dxa"/>
            <w:vMerge/>
            <w:tcBorders>
              <w:top w:val="nil"/>
              <w:left w:val="single" w:sz="8" w:space="0" w:color="000000"/>
            </w:tcBorders>
          </w:tcPr>
          <w:p>
            <w:pPr>
              <w:rPr>
                <w:sz w:val="2"/>
                <w:szCs w:val="2"/>
              </w:rPr>
            </w:pPr>
          </w:p>
        </w:tc>
      </w:tr>
    </w:tbl>
    <w:p>
      <w:pPr>
        <w:pStyle w:val="ListParagraph"/>
        <w:numPr>
          <w:ilvl w:val="1"/>
          <w:numId w:val="133"/>
        </w:numPr>
        <w:tabs>
          <w:tab w:pos="1616" w:val="left" w:leader="none"/>
        </w:tabs>
        <w:spacing w:line="156" w:lineRule="auto" w:before="42" w:after="0"/>
        <w:ind w:left="1615" w:right="852" w:hanging="258"/>
        <w:jc w:val="both"/>
        <w:rPr>
          <w:sz w:val="20"/>
        </w:rPr>
      </w:pPr>
      <w:r>
        <w:rPr>
          <w:sz w:val="20"/>
        </w:rPr>
        <w:t>指標個案為抗藥性結核病(MDR/RR-TB</w:t>
      </w:r>
      <w:r>
        <w:rPr>
          <w:spacing w:val="-1"/>
          <w:sz w:val="20"/>
        </w:rPr>
        <w:t>)個案：自系統登記為 </w:t>
      </w:r>
      <w:r>
        <w:rPr>
          <w:sz w:val="20"/>
        </w:rPr>
        <w:t>MDR/RR-TB</w:t>
      </w:r>
      <w:r>
        <w:rPr>
          <w:spacing w:val="-1"/>
          <w:sz w:val="20"/>
        </w:rPr>
        <w:t> 起 </w:t>
      </w:r>
      <w:r>
        <w:rPr>
          <w:sz w:val="20"/>
        </w:rPr>
        <w:t>1</w:t>
      </w:r>
      <w:r>
        <w:rPr>
          <w:spacing w:val="-1"/>
          <w:sz w:val="20"/>
        </w:rPr>
        <w:t> 個月內，應再次確認其抗藥性可傳染期及符合接觸者檢查之對象，接觸者倘無最近 </w:t>
      </w:r>
      <w:r>
        <w:rPr>
          <w:sz w:val="20"/>
        </w:rPr>
        <w:t>3</w:t>
      </w:r>
      <w:r>
        <w:rPr>
          <w:spacing w:val="7"/>
          <w:sz w:val="20"/>
        </w:rPr>
        <w:t> 個月內之胸部</w:t>
      </w:r>
      <w:r>
        <w:rPr>
          <w:sz w:val="20"/>
        </w:rPr>
        <w:t>X</w:t>
      </w:r>
      <w:r>
        <w:rPr>
          <w:spacing w:val="-6"/>
          <w:sz w:val="20"/>
        </w:rPr>
        <w:t> 光檢查結果，應立即進行檢查。日後每隔半年進行 </w:t>
      </w:r>
      <w:r>
        <w:rPr>
          <w:sz w:val="20"/>
        </w:rPr>
        <w:t>1</w:t>
      </w:r>
      <w:r>
        <w:rPr>
          <w:spacing w:val="-3"/>
          <w:sz w:val="20"/>
        </w:rPr>
        <w:t> 次追蹤檢查，至終止有效暴露滿 </w:t>
      </w:r>
      <w:r>
        <w:rPr>
          <w:sz w:val="20"/>
        </w:rPr>
        <w:t>8</w:t>
      </w:r>
      <w:r>
        <w:rPr>
          <w:spacing w:val="-1"/>
          <w:sz w:val="20"/>
        </w:rPr>
        <w:t> 週之 </w:t>
      </w:r>
      <w:r>
        <w:rPr>
          <w:spacing w:val="-4"/>
          <w:sz w:val="20"/>
        </w:rPr>
        <w:t>LTBI</w:t>
      </w:r>
      <w:r>
        <w:rPr>
          <w:spacing w:val="-3"/>
          <w:sz w:val="20"/>
        </w:rPr>
        <w:t> 檢驗結果為陰性、</w:t>
      </w:r>
      <w:r>
        <w:rPr>
          <w:spacing w:val="-4"/>
          <w:sz w:val="20"/>
        </w:rPr>
        <w:t>LTBI</w:t>
      </w:r>
      <w:r>
        <w:rPr>
          <w:spacing w:val="-1"/>
          <w:sz w:val="20"/>
        </w:rPr>
        <w:t> 檢驗結果陽性者完成 </w:t>
      </w:r>
      <w:r>
        <w:rPr>
          <w:spacing w:val="-4"/>
          <w:sz w:val="20"/>
        </w:rPr>
        <w:t>LTBI</w:t>
      </w:r>
      <w:r>
        <w:rPr>
          <w:sz w:val="20"/>
        </w:rPr>
        <w:t> 治療(MDR-TB 接觸者限於 </w:t>
      </w:r>
      <w:r>
        <w:rPr>
          <w:spacing w:val="-3"/>
          <w:sz w:val="20"/>
        </w:rPr>
        <w:t>TMTC</w:t>
      </w:r>
      <w:r>
        <w:rPr>
          <w:sz w:val="20"/>
        </w:rPr>
        <w:t> 團隊)或與指標個案終止有效暴露後滿 2 年；指標個案為慢性傳染性結核病個案：接觸者應每年進行追蹤胸部 X </w:t>
      </w:r>
      <w:r>
        <w:rPr>
          <w:spacing w:val="-1"/>
          <w:sz w:val="20"/>
        </w:rPr>
        <w:t>光檢查，至終止有效暴露滿 </w:t>
      </w:r>
      <w:r>
        <w:rPr>
          <w:sz w:val="20"/>
        </w:rPr>
        <w:t>8</w:t>
      </w:r>
      <w:r>
        <w:rPr>
          <w:spacing w:val="-1"/>
          <w:sz w:val="20"/>
        </w:rPr>
        <w:t> 週之 </w:t>
      </w:r>
      <w:r>
        <w:rPr>
          <w:spacing w:val="-4"/>
          <w:sz w:val="20"/>
        </w:rPr>
        <w:t>LTBI</w:t>
      </w:r>
      <w:r>
        <w:rPr>
          <w:sz w:val="20"/>
        </w:rPr>
        <w:t> 檢驗結果為陰性、</w:t>
      </w:r>
      <w:r>
        <w:rPr>
          <w:spacing w:val="-4"/>
          <w:sz w:val="20"/>
        </w:rPr>
        <w:t>LTBI</w:t>
      </w:r>
      <w:r>
        <w:rPr>
          <w:spacing w:val="-1"/>
          <w:sz w:val="20"/>
        </w:rPr>
        <w:t> 檢驗結果陽性者完成 </w:t>
      </w:r>
      <w:r>
        <w:rPr>
          <w:spacing w:val="-4"/>
          <w:sz w:val="20"/>
        </w:rPr>
        <w:t>LTBI</w:t>
      </w:r>
      <w:r>
        <w:rPr>
          <w:spacing w:val="-1"/>
          <w:sz w:val="20"/>
        </w:rPr>
        <w:t> 治療或與指標個案終止有效暴露後滿 </w:t>
      </w:r>
      <w:r>
        <w:rPr>
          <w:sz w:val="20"/>
        </w:rPr>
        <w:t>2</w:t>
      </w:r>
      <w:r>
        <w:rPr>
          <w:spacing w:val="-1"/>
          <w:sz w:val="20"/>
        </w:rPr>
        <w:t> 年。</w:t>
      </w:r>
    </w:p>
    <w:p>
      <w:pPr>
        <w:pStyle w:val="ListParagraph"/>
        <w:numPr>
          <w:ilvl w:val="1"/>
          <w:numId w:val="133"/>
        </w:numPr>
        <w:tabs>
          <w:tab w:pos="1642" w:val="left" w:leader="none"/>
        </w:tabs>
        <w:spacing w:line="156" w:lineRule="auto" w:before="28" w:after="0"/>
        <w:ind w:left="1642" w:right="1384" w:hanging="285"/>
        <w:jc w:val="left"/>
        <w:rPr>
          <w:sz w:val="20"/>
        </w:rPr>
      </w:pPr>
      <w:r>
        <w:rPr>
          <w:spacing w:val="-4"/>
          <w:sz w:val="20"/>
        </w:rPr>
        <w:t>接觸者如為孕婦，若有結核病相關症狀，應查痰、安排胸部</w:t>
      </w:r>
      <w:r>
        <w:rPr>
          <w:sz w:val="20"/>
        </w:rPr>
        <w:t>X</w:t>
      </w:r>
      <w:r>
        <w:rPr>
          <w:spacing w:val="-4"/>
          <w:sz w:val="20"/>
        </w:rPr>
        <w:t> 光檢查；</w:t>
      </w:r>
      <w:r>
        <w:rPr>
          <w:spacing w:val="-5"/>
          <w:sz w:val="20"/>
        </w:rPr>
        <w:t>LTBI</w:t>
      </w:r>
      <w:r>
        <w:rPr>
          <w:spacing w:val="-6"/>
          <w:sz w:val="20"/>
        </w:rPr>
        <w:t> 陽性且排除結核病者，建議及早治療；接觸者如為醫院工作者，因發病風險較高，建議進行 </w:t>
      </w:r>
      <w:r>
        <w:rPr>
          <w:spacing w:val="-4"/>
          <w:sz w:val="20"/>
        </w:rPr>
        <w:t>LTBI</w:t>
      </w:r>
      <w:r>
        <w:rPr>
          <w:spacing w:val="-1"/>
          <w:sz w:val="20"/>
        </w:rPr>
        <w:t> 檢驗及治療。</w:t>
      </w:r>
    </w:p>
    <w:p>
      <w:pPr>
        <w:pStyle w:val="ListParagraph"/>
        <w:numPr>
          <w:ilvl w:val="1"/>
          <w:numId w:val="133"/>
        </w:numPr>
        <w:tabs>
          <w:tab w:pos="1642" w:val="left" w:leader="none"/>
        </w:tabs>
        <w:spacing w:line="262" w:lineRule="exact" w:before="0" w:after="0"/>
        <w:ind w:left="1642" w:right="0" w:hanging="285"/>
        <w:jc w:val="left"/>
        <w:rPr>
          <w:sz w:val="20"/>
        </w:rPr>
      </w:pPr>
      <w:r>
        <w:rPr>
          <w:sz w:val="20"/>
        </w:rPr>
        <w:t>針對無痰陽性證據，僅因鼻部、咽喉、氣管至肺之病理組織切片陽性而確診之個案，如醫師高度懷疑，其檢驗結果視同痰檢體。</w:t>
      </w:r>
    </w:p>
    <w:p>
      <w:pPr>
        <w:spacing w:line="267" w:lineRule="exact" w:before="0"/>
        <w:ind w:left="1357" w:right="0" w:firstLine="0"/>
        <w:jc w:val="left"/>
        <w:rPr>
          <w:b/>
          <w:sz w:val="20"/>
        </w:rPr>
      </w:pPr>
      <w:r>
        <w:rPr>
          <w:b/>
          <w:sz w:val="20"/>
        </w:rPr>
        <w:t>備註：</w:t>
      </w:r>
    </w:p>
    <w:p>
      <w:pPr>
        <w:pStyle w:val="ListParagraph"/>
        <w:numPr>
          <w:ilvl w:val="0"/>
          <w:numId w:val="134"/>
        </w:numPr>
        <w:tabs>
          <w:tab w:pos="1642" w:val="left" w:leader="none"/>
        </w:tabs>
        <w:spacing w:line="242" w:lineRule="exact" w:before="0" w:after="0"/>
        <w:ind w:left="1642" w:right="0" w:hanging="285"/>
        <w:jc w:val="left"/>
        <w:rPr>
          <w:sz w:val="20"/>
        </w:rPr>
      </w:pPr>
      <w:r>
        <w:rPr>
          <w:spacing w:val="4"/>
          <w:sz w:val="20"/>
        </w:rPr>
        <w:t>所有接觸者均應進行胸部</w:t>
      </w:r>
      <w:r>
        <w:rPr>
          <w:sz w:val="20"/>
        </w:rPr>
        <w:t>X</w:t>
      </w:r>
      <w:r>
        <w:rPr>
          <w:spacing w:val="-1"/>
          <w:sz w:val="20"/>
        </w:rPr>
        <w:t> 光檢查，惟 </w:t>
      </w:r>
      <w:r>
        <w:rPr>
          <w:sz w:val="20"/>
        </w:rPr>
        <w:t>3</w:t>
      </w:r>
      <w:r>
        <w:rPr>
          <w:spacing w:val="4"/>
          <w:sz w:val="20"/>
        </w:rPr>
        <w:t> 個月內曾接受胸部</w:t>
      </w:r>
      <w:r>
        <w:rPr>
          <w:sz w:val="20"/>
        </w:rPr>
        <w:t>X 光，並能提出正常證明者，毋須再做；但如出現異常症狀，仍須隨時進行檢查。</w:t>
      </w:r>
    </w:p>
    <w:p>
      <w:pPr>
        <w:pStyle w:val="ListParagraph"/>
        <w:numPr>
          <w:ilvl w:val="0"/>
          <w:numId w:val="134"/>
        </w:numPr>
        <w:tabs>
          <w:tab w:pos="1616" w:val="left" w:leader="none"/>
        </w:tabs>
        <w:spacing w:line="240" w:lineRule="exact" w:before="0" w:after="0"/>
        <w:ind w:left="1615" w:right="0" w:hanging="259"/>
        <w:jc w:val="left"/>
        <w:rPr>
          <w:sz w:val="20"/>
        </w:rPr>
      </w:pPr>
      <w:r>
        <w:rPr>
          <w:spacing w:val="-1"/>
          <w:sz w:val="20"/>
        </w:rPr>
        <w:t>指標個案痰塗片陽性且 </w:t>
      </w:r>
      <w:r>
        <w:rPr>
          <w:sz w:val="20"/>
        </w:rPr>
        <w:t>NAA TEST 陰性者，毋須立即進行接觸者檢查，待痰培養及鑑定結果再決定執行方式。</w:t>
      </w:r>
    </w:p>
    <w:p>
      <w:pPr>
        <w:pStyle w:val="ListParagraph"/>
        <w:numPr>
          <w:ilvl w:val="0"/>
          <w:numId w:val="134"/>
        </w:numPr>
        <w:tabs>
          <w:tab w:pos="1616" w:val="left" w:leader="none"/>
        </w:tabs>
        <w:spacing w:line="240" w:lineRule="exact" w:before="0" w:after="0"/>
        <w:ind w:left="1615" w:right="0" w:hanging="259"/>
        <w:jc w:val="left"/>
        <w:rPr>
          <w:sz w:val="20"/>
        </w:rPr>
      </w:pPr>
      <w:r>
        <w:rPr>
          <w:spacing w:val="-1"/>
          <w:sz w:val="20"/>
        </w:rPr>
        <w:t>系統勾稽具慢性病者，或接觸者自述患有慢性病(如：糖尿病、腎臟病、使用免疫抑制劑、器官移植、愛滋感染者等)，皆符合 </w:t>
      </w:r>
      <w:r>
        <w:rPr>
          <w:spacing w:val="-4"/>
          <w:sz w:val="20"/>
        </w:rPr>
        <w:t>LTBI</w:t>
      </w:r>
      <w:r>
        <w:rPr>
          <w:sz w:val="20"/>
        </w:rPr>
        <w:t> 檢驗對象。</w:t>
      </w:r>
    </w:p>
    <w:p>
      <w:pPr>
        <w:pStyle w:val="ListParagraph"/>
        <w:numPr>
          <w:ilvl w:val="0"/>
          <w:numId w:val="134"/>
        </w:numPr>
        <w:tabs>
          <w:tab w:pos="1616" w:val="left" w:leader="none"/>
        </w:tabs>
        <w:spacing w:line="240" w:lineRule="exact" w:before="0" w:after="0"/>
        <w:ind w:left="1615" w:right="0" w:hanging="259"/>
        <w:jc w:val="left"/>
        <w:rPr>
          <w:sz w:val="20"/>
        </w:rPr>
      </w:pPr>
      <w:r>
        <w:rPr>
          <w:spacing w:val="-1"/>
          <w:sz w:val="20"/>
        </w:rPr>
        <w:t>未滿 </w:t>
      </w:r>
      <w:r>
        <w:rPr>
          <w:sz w:val="20"/>
        </w:rPr>
        <w:t>2 歲接觸者以 TST 檢驗，2</w:t>
      </w:r>
      <w:r>
        <w:rPr>
          <w:spacing w:val="-1"/>
          <w:sz w:val="20"/>
        </w:rPr>
        <w:t> 歲(含)以上以 </w:t>
      </w:r>
      <w:r>
        <w:rPr>
          <w:sz w:val="20"/>
        </w:rPr>
        <w:t>IGRA</w:t>
      </w:r>
      <w:r>
        <w:rPr>
          <w:spacing w:val="-1"/>
          <w:sz w:val="20"/>
        </w:rPr>
        <w:t> 檢驗，</w:t>
      </w:r>
      <w:r>
        <w:rPr>
          <w:sz w:val="20"/>
        </w:rPr>
        <w:t>2 歲(含)以上至未滿 5</w:t>
      </w:r>
      <w:r>
        <w:rPr>
          <w:spacing w:val="-1"/>
          <w:sz w:val="20"/>
        </w:rPr>
        <w:t> 歲無法執行 </w:t>
      </w:r>
      <w:r>
        <w:rPr>
          <w:sz w:val="20"/>
        </w:rPr>
        <w:t>IGRA</w:t>
      </w:r>
      <w:r>
        <w:rPr>
          <w:spacing w:val="-1"/>
          <w:sz w:val="20"/>
        </w:rPr>
        <w:t> 者，得使用 </w:t>
      </w:r>
      <w:r>
        <w:rPr>
          <w:sz w:val="20"/>
        </w:rPr>
        <w:t>TST。</w:t>
      </w:r>
    </w:p>
    <w:p>
      <w:pPr>
        <w:pStyle w:val="ListParagraph"/>
        <w:numPr>
          <w:ilvl w:val="0"/>
          <w:numId w:val="134"/>
        </w:numPr>
        <w:tabs>
          <w:tab w:pos="1616" w:val="left" w:leader="none"/>
        </w:tabs>
        <w:spacing w:line="240" w:lineRule="exact" w:before="0" w:after="0"/>
        <w:ind w:left="1615" w:right="0" w:hanging="259"/>
        <w:jc w:val="left"/>
        <w:rPr>
          <w:sz w:val="20"/>
        </w:rPr>
      </w:pPr>
      <w:r>
        <w:rPr>
          <w:spacing w:val="-1"/>
          <w:sz w:val="20"/>
        </w:rPr>
        <w:t>檢驗陽性者應轉介予合作醫師進行治療評估，治療評估時應有最近 </w:t>
      </w:r>
      <w:r>
        <w:rPr>
          <w:sz w:val="20"/>
        </w:rPr>
        <w:t>1</w:t>
      </w:r>
      <w:r>
        <w:rPr>
          <w:spacing w:val="7"/>
          <w:sz w:val="20"/>
        </w:rPr>
        <w:t> 個月內胸部</w:t>
      </w:r>
      <w:r>
        <w:rPr>
          <w:sz w:val="20"/>
        </w:rPr>
        <w:t>X</w:t>
      </w:r>
      <w:r>
        <w:rPr>
          <w:spacing w:val="-1"/>
          <w:sz w:val="20"/>
        </w:rPr>
        <w:t> 光檢查，以排除結核病。</w:t>
      </w:r>
    </w:p>
    <w:p>
      <w:pPr>
        <w:pStyle w:val="ListParagraph"/>
        <w:numPr>
          <w:ilvl w:val="0"/>
          <w:numId w:val="134"/>
        </w:numPr>
        <w:tabs>
          <w:tab w:pos="1616" w:val="left" w:leader="none"/>
        </w:tabs>
        <w:spacing w:line="240" w:lineRule="exact" w:before="0" w:after="0"/>
        <w:ind w:left="1615" w:right="0" w:hanging="259"/>
        <w:jc w:val="left"/>
        <w:rPr>
          <w:sz w:val="20"/>
        </w:rPr>
      </w:pPr>
      <w:r>
        <w:rPr>
          <w:spacing w:val="-1"/>
          <w:sz w:val="20"/>
        </w:rPr>
        <w:t>進行第 </w:t>
      </w:r>
      <w:r>
        <w:rPr>
          <w:sz w:val="20"/>
        </w:rPr>
        <w:t>12 個月追蹤檢查時應再次提醒未依規檢驗者完成 </w:t>
      </w:r>
      <w:r>
        <w:rPr>
          <w:spacing w:val="-4"/>
          <w:sz w:val="20"/>
        </w:rPr>
        <w:t>LTBI</w:t>
      </w:r>
      <w:r>
        <w:rPr>
          <w:spacing w:val="-1"/>
          <w:sz w:val="20"/>
        </w:rPr>
        <w:t> 檢驗，或鼓勵未完成 </w:t>
      </w:r>
      <w:r>
        <w:rPr>
          <w:spacing w:val="-4"/>
          <w:sz w:val="20"/>
        </w:rPr>
        <w:t>LTBI</w:t>
      </w:r>
      <w:r>
        <w:rPr>
          <w:spacing w:val="-1"/>
          <w:sz w:val="20"/>
        </w:rPr>
        <w:t> 治療者加入治療，直至完成治療為止。</w:t>
      </w:r>
    </w:p>
    <w:p>
      <w:pPr>
        <w:pStyle w:val="ListParagraph"/>
        <w:numPr>
          <w:ilvl w:val="0"/>
          <w:numId w:val="134"/>
        </w:numPr>
        <w:tabs>
          <w:tab w:pos="1616" w:val="left" w:leader="none"/>
        </w:tabs>
        <w:spacing w:line="304" w:lineRule="exact" w:before="0" w:after="0"/>
        <w:ind w:left="1615" w:right="0" w:hanging="259"/>
        <w:jc w:val="left"/>
        <w:rPr>
          <w:sz w:val="20"/>
        </w:rPr>
      </w:pPr>
      <w:r>
        <w:rPr>
          <w:spacing w:val="-1"/>
          <w:sz w:val="20"/>
        </w:rPr>
        <w:t>指標個案為 </w:t>
      </w:r>
      <w:r>
        <w:rPr>
          <w:sz w:val="20"/>
        </w:rPr>
        <w:t>S</w:t>
      </w:r>
      <w:r>
        <w:rPr>
          <w:spacing w:val="-1"/>
          <w:sz w:val="20"/>
        </w:rPr>
        <w:t>-且 </w:t>
      </w:r>
      <w:r>
        <w:rPr>
          <w:sz w:val="20"/>
        </w:rPr>
        <w:t>C(MTB)</w:t>
      </w:r>
      <w:r>
        <w:rPr>
          <w:spacing w:val="-1"/>
          <w:sz w:val="20"/>
        </w:rPr>
        <w:t>之 </w:t>
      </w:r>
      <w:r>
        <w:rPr>
          <w:sz w:val="20"/>
        </w:rPr>
        <w:t>65</w:t>
      </w:r>
      <w:r>
        <w:rPr>
          <w:spacing w:val="-1"/>
          <w:sz w:val="20"/>
        </w:rPr>
        <w:t> 歲以上接觸者發病風險與一般 </w:t>
      </w:r>
      <w:r>
        <w:rPr>
          <w:sz w:val="20"/>
        </w:rPr>
        <w:t>65</w:t>
      </w:r>
      <w:r>
        <w:rPr>
          <w:spacing w:val="-8"/>
          <w:sz w:val="20"/>
        </w:rPr>
        <w:t> 歲以上民眾相當，惟仍高於未滿 </w:t>
      </w:r>
      <w:r>
        <w:rPr>
          <w:sz w:val="20"/>
        </w:rPr>
        <w:t>65</w:t>
      </w:r>
      <w:r>
        <w:rPr>
          <w:spacing w:val="-8"/>
          <w:sz w:val="20"/>
        </w:rPr>
        <w:t> 歲族群，建議納入常規高風險族群胸部 </w:t>
      </w:r>
      <w:r>
        <w:rPr>
          <w:sz w:val="20"/>
        </w:rPr>
        <w:t>X</w:t>
      </w:r>
      <w:r>
        <w:rPr>
          <w:spacing w:val="-5"/>
          <w:sz w:val="20"/>
        </w:rPr>
        <w:t> 光篩檢計畫對象。</w:t>
      </w:r>
    </w:p>
    <w:p>
      <w:pPr>
        <w:spacing w:after="0" w:line="304" w:lineRule="exact"/>
        <w:jc w:val="left"/>
        <w:rPr>
          <w:sz w:val="20"/>
        </w:rPr>
        <w:sectPr>
          <w:pgSz w:w="17190" w:h="12250" w:orient="landscape"/>
          <w:pgMar w:header="0" w:footer="828" w:top="1140" w:bottom="1020" w:left="560" w:right="420"/>
        </w:sectPr>
      </w:pPr>
    </w:p>
    <w:p>
      <w:pPr>
        <w:pStyle w:val="BodyText"/>
        <w:spacing w:before="9"/>
        <w:rPr>
          <w:sz w:val="5"/>
        </w:rPr>
      </w:pPr>
    </w:p>
    <w:p>
      <w:pPr>
        <w:tabs>
          <w:tab w:pos="1259" w:val="left" w:leader="none"/>
        </w:tabs>
        <w:spacing w:before="37"/>
        <w:ind w:left="78" w:right="0" w:firstLine="0"/>
        <w:jc w:val="center"/>
        <w:rPr>
          <w:b/>
          <w:sz w:val="25"/>
        </w:rPr>
      </w:pPr>
      <w:r>
        <w:rPr>
          <w:b/>
          <w:sz w:val="25"/>
        </w:rPr>
        <w:t>表</w:t>
      </w:r>
      <w:r>
        <w:rPr>
          <w:b/>
          <w:spacing w:val="60"/>
          <w:sz w:val="25"/>
        </w:rPr>
        <w:t> </w:t>
      </w:r>
      <w:r>
        <w:rPr>
          <w:b/>
          <w:sz w:val="25"/>
        </w:rPr>
        <w:t>10-3</w:t>
        <w:tab/>
        <w:t>LTBI處方造成永久停藥之分年齡層肝毒性發生率</w:t>
      </w:r>
    </w:p>
    <w:p>
      <w:pPr>
        <w:pStyle w:val="BodyText"/>
        <w:spacing w:before="1"/>
        <w:rPr>
          <w:b/>
          <w:sz w:val="4"/>
        </w:rPr>
      </w:pPr>
    </w:p>
    <w:tbl>
      <w:tblPr>
        <w:tblW w:w="0" w:type="auto"/>
        <w:jc w:val="left"/>
        <w:tblInd w:w="1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87"/>
        <w:gridCol w:w="976"/>
        <w:gridCol w:w="1114"/>
        <w:gridCol w:w="1115"/>
        <w:gridCol w:w="1114"/>
        <w:gridCol w:w="1114"/>
        <w:gridCol w:w="976"/>
        <w:gridCol w:w="1200"/>
        <w:gridCol w:w="1069"/>
        <w:gridCol w:w="935"/>
        <w:gridCol w:w="1114"/>
        <w:gridCol w:w="1254"/>
      </w:tblGrid>
      <w:tr>
        <w:trPr>
          <w:trHeight w:val="734" w:hRule="atLeast"/>
        </w:trPr>
        <w:tc>
          <w:tcPr>
            <w:tcW w:w="1687" w:type="dxa"/>
            <w:tcBorders>
              <w:bottom w:val="single" w:sz="6" w:space="0" w:color="000000"/>
              <w:right w:val="single" w:sz="6" w:space="0" w:color="000000"/>
            </w:tcBorders>
          </w:tcPr>
          <w:p>
            <w:pPr>
              <w:pStyle w:val="TableParagraph"/>
              <w:spacing w:line="363" w:lineRule="exact"/>
              <w:ind w:left="102" w:right="81"/>
              <w:jc w:val="center"/>
              <w:rPr>
                <w:sz w:val="24"/>
              </w:rPr>
            </w:pPr>
            <w:r>
              <w:rPr>
                <w:sz w:val="24"/>
              </w:rPr>
              <w:t>各處方肝毒性</w:t>
            </w:r>
          </w:p>
          <w:p>
            <w:pPr>
              <w:pStyle w:val="TableParagraph"/>
              <w:spacing w:line="351" w:lineRule="exact"/>
              <w:ind w:left="102" w:right="81"/>
              <w:jc w:val="center"/>
              <w:rPr>
                <w:sz w:val="24"/>
              </w:rPr>
            </w:pPr>
            <w:r>
              <w:rPr>
                <w:sz w:val="24"/>
              </w:rPr>
              <w:t>發生率</w:t>
            </w:r>
          </w:p>
        </w:tc>
        <w:tc>
          <w:tcPr>
            <w:tcW w:w="3205" w:type="dxa"/>
            <w:gridSpan w:val="3"/>
            <w:tcBorders>
              <w:left w:val="single" w:sz="6" w:space="0" w:color="000000"/>
              <w:bottom w:val="single" w:sz="6" w:space="0" w:color="000000"/>
              <w:right w:val="single" w:sz="6" w:space="0" w:color="000000"/>
            </w:tcBorders>
          </w:tcPr>
          <w:p>
            <w:pPr>
              <w:pStyle w:val="TableParagraph"/>
              <w:spacing w:before="142"/>
              <w:ind w:left="1085" w:right="1058"/>
              <w:jc w:val="center"/>
              <w:rPr>
                <w:sz w:val="24"/>
              </w:rPr>
            </w:pPr>
            <w:r>
              <w:rPr>
                <w:sz w:val="24"/>
              </w:rPr>
              <w:t>3HP 處方</w:t>
            </w:r>
          </w:p>
        </w:tc>
        <w:tc>
          <w:tcPr>
            <w:tcW w:w="4404" w:type="dxa"/>
            <w:gridSpan w:val="4"/>
            <w:tcBorders>
              <w:left w:val="single" w:sz="6" w:space="0" w:color="000000"/>
              <w:bottom w:val="single" w:sz="6" w:space="0" w:color="000000"/>
              <w:right w:val="single" w:sz="6" w:space="0" w:color="000000"/>
            </w:tcBorders>
          </w:tcPr>
          <w:p>
            <w:pPr>
              <w:pStyle w:val="TableParagraph"/>
              <w:spacing w:before="142"/>
              <w:ind w:left="1756" w:right="1730"/>
              <w:jc w:val="center"/>
              <w:rPr>
                <w:sz w:val="24"/>
              </w:rPr>
            </w:pPr>
            <w:r>
              <w:rPr>
                <w:sz w:val="24"/>
              </w:rPr>
              <w:t>9H 處方</w:t>
            </w:r>
          </w:p>
        </w:tc>
        <w:tc>
          <w:tcPr>
            <w:tcW w:w="4372" w:type="dxa"/>
            <w:gridSpan w:val="4"/>
            <w:tcBorders>
              <w:left w:val="single" w:sz="6" w:space="0" w:color="000000"/>
              <w:bottom w:val="single" w:sz="6" w:space="0" w:color="000000"/>
            </w:tcBorders>
          </w:tcPr>
          <w:p>
            <w:pPr>
              <w:pStyle w:val="TableParagraph"/>
              <w:spacing w:before="142"/>
              <w:ind w:left="1753" w:right="1723"/>
              <w:jc w:val="center"/>
              <w:rPr>
                <w:sz w:val="24"/>
              </w:rPr>
            </w:pPr>
            <w:r>
              <w:rPr>
                <w:sz w:val="24"/>
              </w:rPr>
              <w:t>4R 處方</w:t>
            </w:r>
          </w:p>
        </w:tc>
      </w:tr>
      <w:tr>
        <w:trPr>
          <w:trHeight w:val="623" w:hRule="atLeast"/>
        </w:trPr>
        <w:tc>
          <w:tcPr>
            <w:tcW w:w="1687" w:type="dxa"/>
            <w:tcBorders>
              <w:top w:val="single" w:sz="6" w:space="0" w:color="000000"/>
              <w:bottom w:val="single" w:sz="6" w:space="0" w:color="000000"/>
              <w:right w:val="single" w:sz="6" w:space="0" w:color="000000"/>
            </w:tcBorders>
          </w:tcPr>
          <w:p>
            <w:pPr>
              <w:pStyle w:val="TableParagraph"/>
              <w:spacing w:before="107"/>
              <w:ind w:left="102" w:right="81"/>
              <w:jc w:val="center"/>
              <w:rPr>
                <w:sz w:val="24"/>
              </w:rPr>
            </w:pPr>
            <w:r>
              <w:rPr>
                <w:sz w:val="24"/>
              </w:rPr>
              <w:t>年齡分層</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87"/>
              <w:ind w:left="114" w:right="87"/>
              <w:jc w:val="center"/>
              <w:rPr>
                <w:sz w:val="24"/>
              </w:rPr>
            </w:pPr>
            <w:r>
              <w:rPr>
                <w:sz w:val="24"/>
              </w:rPr>
              <w:t>肝毒性</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87"/>
              <w:ind w:left="181" w:right="156"/>
              <w:jc w:val="center"/>
              <w:rPr>
                <w:sz w:val="24"/>
              </w:rPr>
            </w:pPr>
            <w:r>
              <w:rPr>
                <w:sz w:val="24"/>
              </w:rPr>
              <w:t>Total</w:t>
            </w:r>
          </w:p>
        </w:tc>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87"/>
              <w:ind w:left="26"/>
              <w:jc w:val="center"/>
              <w:rPr>
                <w:sz w:val="24"/>
              </w:rPr>
            </w:pPr>
            <w:r>
              <w:rPr>
                <w:sz w:val="24"/>
              </w:rPr>
              <w:t>%</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87"/>
              <w:ind w:left="181" w:right="157"/>
              <w:jc w:val="center"/>
              <w:rPr>
                <w:sz w:val="24"/>
              </w:rPr>
            </w:pPr>
            <w:r>
              <w:rPr>
                <w:sz w:val="24"/>
              </w:rPr>
              <w:t>肝毒性</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87"/>
              <w:ind w:right="265"/>
              <w:jc w:val="right"/>
              <w:rPr>
                <w:sz w:val="24"/>
              </w:rPr>
            </w:pPr>
            <w:r>
              <w:rPr>
                <w:sz w:val="24"/>
              </w:rPr>
              <w:t>Total</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87"/>
              <w:ind w:left="26"/>
              <w:jc w:val="center"/>
              <w:rPr>
                <w:sz w:val="24"/>
              </w:rPr>
            </w:pPr>
            <w:r>
              <w:rPr>
                <w:sz w:val="24"/>
              </w:rPr>
              <w:t>%</w:t>
            </w: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83"/>
              <w:ind w:left="136" w:right="114"/>
              <w:jc w:val="center"/>
              <w:rPr>
                <w:sz w:val="16"/>
              </w:rPr>
            </w:pPr>
            <w:r>
              <w:rPr>
                <w:color w:val="C00000"/>
                <w:sz w:val="24"/>
              </w:rPr>
              <w:t>P value</w:t>
            </w:r>
            <w:r>
              <w:rPr>
                <w:color w:val="C00000"/>
                <w:position w:val="11"/>
                <w:sz w:val="16"/>
              </w:rPr>
              <w:t>3</w:t>
            </w:r>
          </w:p>
        </w:tc>
        <w:tc>
          <w:tcPr>
            <w:tcW w:w="1069" w:type="dxa"/>
            <w:tcBorders>
              <w:top w:val="single" w:sz="6" w:space="0" w:color="000000"/>
              <w:left w:val="single" w:sz="6" w:space="0" w:color="000000"/>
              <w:bottom w:val="single" w:sz="6" w:space="0" w:color="000000"/>
              <w:right w:val="single" w:sz="6" w:space="0" w:color="000000"/>
            </w:tcBorders>
          </w:tcPr>
          <w:p>
            <w:pPr>
              <w:pStyle w:val="TableParagraph"/>
              <w:spacing w:before="87"/>
              <w:ind w:left="158" w:right="135"/>
              <w:jc w:val="center"/>
              <w:rPr>
                <w:sz w:val="24"/>
              </w:rPr>
            </w:pPr>
            <w:r>
              <w:rPr>
                <w:sz w:val="24"/>
              </w:rPr>
              <w:t>肝毒性</w:t>
            </w:r>
          </w:p>
        </w:tc>
        <w:tc>
          <w:tcPr>
            <w:tcW w:w="935" w:type="dxa"/>
            <w:tcBorders>
              <w:top w:val="single" w:sz="6" w:space="0" w:color="000000"/>
              <w:left w:val="single" w:sz="6" w:space="0" w:color="000000"/>
              <w:bottom w:val="single" w:sz="6" w:space="0" w:color="000000"/>
              <w:right w:val="single" w:sz="6" w:space="0" w:color="000000"/>
            </w:tcBorders>
          </w:tcPr>
          <w:p>
            <w:pPr>
              <w:pStyle w:val="TableParagraph"/>
              <w:spacing w:before="87"/>
              <w:ind w:left="168" w:right="145"/>
              <w:jc w:val="center"/>
              <w:rPr>
                <w:sz w:val="24"/>
              </w:rPr>
            </w:pPr>
            <w:r>
              <w:rPr>
                <w:sz w:val="24"/>
              </w:rPr>
              <w:t>Total</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87"/>
              <w:ind w:left="22"/>
              <w:jc w:val="center"/>
              <w:rPr>
                <w:sz w:val="24"/>
              </w:rPr>
            </w:pPr>
            <w:r>
              <w:rPr>
                <w:sz w:val="24"/>
              </w:rPr>
              <w:t>%</w:t>
            </w:r>
          </w:p>
        </w:tc>
        <w:tc>
          <w:tcPr>
            <w:tcW w:w="1254" w:type="dxa"/>
            <w:tcBorders>
              <w:top w:val="single" w:sz="6" w:space="0" w:color="000000"/>
              <w:left w:val="single" w:sz="6" w:space="0" w:color="000000"/>
              <w:bottom w:val="single" w:sz="6" w:space="0" w:color="000000"/>
            </w:tcBorders>
          </w:tcPr>
          <w:p>
            <w:pPr>
              <w:pStyle w:val="TableParagraph"/>
              <w:spacing w:before="83"/>
              <w:ind w:left="164" w:right="132"/>
              <w:jc w:val="center"/>
              <w:rPr>
                <w:sz w:val="16"/>
              </w:rPr>
            </w:pPr>
            <w:r>
              <w:rPr>
                <w:color w:val="C00000"/>
                <w:sz w:val="24"/>
              </w:rPr>
              <w:t>P value</w:t>
            </w:r>
            <w:r>
              <w:rPr>
                <w:color w:val="C00000"/>
                <w:position w:val="11"/>
                <w:sz w:val="16"/>
              </w:rPr>
              <w:t>3</w:t>
            </w:r>
          </w:p>
        </w:tc>
      </w:tr>
      <w:tr>
        <w:trPr>
          <w:trHeight w:val="573" w:hRule="atLeast"/>
        </w:trPr>
        <w:tc>
          <w:tcPr>
            <w:tcW w:w="1687" w:type="dxa"/>
            <w:tcBorders>
              <w:top w:val="single" w:sz="6" w:space="0" w:color="000000"/>
              <w:bottom w:val="single" w:sz="6" w:space="0" w:color="000000"/>
              <w:right w:val="single" w:sz="6" w:space="0" w:color="000000"/>
            </w:tcBorders>
          </w:tcPr>
          <w:p>
            <w:pPr>
              <w:pStyle w:val="TableParagraph"/>
              <w:spacing w:before="62"/>
              <w:ind w:left="102" w:right="81"/>
              <w:jc w:val="center"/>
              <w:rPr>
                <w:sz w:val="24"/>
              </w:rPr>
            </w:pPr>
            <w:r>
              <w:rPr>
                <w:sz w:val="24"/>
              </w:rPr>
              <w:t>12-19 歲</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62"/>
              <w:ind w:left="27"/>
              <w:jc w:val="center"/>
              <w:rPr>
                <w:sz w:val="24"/>
              </w:rPr>
            </w:pPr>
            <w:r>
              <w:rPr>
                <w:sz w:val="24"/>
              </w:rPr>
              <w:t>0</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81" w:right="156"/>
              <w:jc w:val="center"/>
              <w:rPr>
                <w:sz w:val="24"/>
              </w:rPr>
            </w:pPr>
            <w:r>
              <w:rPr>
                <w:sz w:val="24"/>
              </w:rPr>
              <w:t>513</w:t>
            </w:r>
          </w:p>
        </w:tc>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62"/>
              <w:ind w:left="201" w:right="175"/>
              <w:jc w:val="center"/>
              <w:rPr>
                <w:sz w:val="24"/>
              </w:rPr>
            </w:pPr>
            <w:r>
              <w:rPr>
                <w:sz w:val="24"/>
              </w:rPr>
              <w:t>0.00%</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24"/>
              <w:jc w:val="center"/>
              <w:rPr>
                <w:sz w:val="24"/>
              </w:rPr>
            </w:pPr>
            <w:r>
              <w:rPr>
                <w:sz w:val="24"/>
              </w:rPr>
              <w:t>0</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right="326"/>
              <w:jc w:val="right"/>
              <w:rPr>
                <w:sz w:val="24"/>
              </w:rPr>
            </w:pPr>
            <w:r>
              <w:rPr>
                <w:sz w:val="24"/>
              </w:rPr>
              <w:t>287</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62"/>
              <w:ind w:left="113" w:right="87"/>
              <w:jc w:val="center"/>
              <w:rPr>
                <w:sz w:val="24"/>
              </w:rPr>
            </w:pPr>
            <w:r>
              <w:rPr>
                <w:sz w:val="24"/>
              </w:rPr>
              <w:t>0.00%</w:t>
            </w:r>
          </w:p>
        </w:tc>
        <w:tc>
          <w:tcPr>
            <w:tcW w:w="120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069" w:type="dxa"/>
            <w:tcBorders>
              <w:top w:val="single" w:sz="6" w:space="0" w:color="000000"/>
              <w:left w:val="single" w:sz="6" w:space="0" w:color="000000"/>
              <w:bottom w:val="single" w:sz="6" w:space="0" w:color="000000"/>
              <w:right w:val="single" w:sz="6" w:space="0" w:color="000000"/>
            </w:tcBorders>
          </w:tcPr>
          <w:p>
            <w:pPr>
              <w:pStyle w:val="TableParagraph"/>
              <w:spacing w:before="62"/>
              <w:ind w:left="23"/>
              <w:jc w:val="center"/>
              <w:rPr>
                <w:sz w:val="24"/>
              </w:rPr>
            </w:pPr>
            <w:r>
              <w:rPr>
                <w:sz w:val="24"/>
              </w:rPr>
              <w:t>0</w:t>
            </w:r>
          </w:p>
        </w:tc>
        <w:tc>
          <w:tcPr>
            <w:tcW w:w="935" w:type="dxa"/>
            <w:tcBorders>
              <w:top w:val="single" w:sz="6" w:space="0" w:color="000000"/>
              <w:left w:val="single" w:sz="6" w:space="0" w:color="000000"/>
              <w:bottom w:val="single" w:sz="6" w:space="0" w:color="000000"/>
              <w:right w:val="single" w:sz="6" w:space="0" w:color="000000"/>
            </w:tcBorders>
          </w:tcPr>
          <w:p>
            <w:pPr>
              <w:pStyle w:val="TableParagraph"/>
              <w:spacing w:before="62"/>
              <w:ind w:left="168" w:right="145"/>
              <w:jc w:val="center"/>
              <w:rPr>
                <w:sz w:val="24"/>
              </w:rPr>
            </w:pPr>
            <w:r>
              <w:rPr>
                <w:sz w:val="24"/>
              </w:rPr>
              <w:t>77</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79" w:right="157"/>
              <w:jc w:val="center"/>
              <w:rPr>
                <w:sz w:val="24"/>
              </w:rPr>
            </w:pPr>
            <w:r>
              <w:rPr>
                <w:sz w:val="24"/>
              </w:rPr>
              <w:t>0.00%</w:t>
            </w:r>
          </w:p>
        </w:tc>
        <w:tc>
          <w:tcPr>
            <w:tcW w:w="1254" w:type="dxa"/>
            <w:tcBorders>
              <w:top w:val="single" w:sz="6" w:space="0" w:color="000000"/>
              <w:left w:val="single" w:sz="6" w:space="0" w:color="000000"/>
              <w:bottom w:val="single" w:sz="6" w:space="0" w:color="000000"/>
            </w:tcBorders>
          </w:tcPr>
          <w:p>
            <w:pPr>
              <w:pStyle w:val="TableParagraph"/>
              <w:rPr>
                <w:rFonts w:ascii="Times New Roman"/>
                <w:sz w:val="24"/>
              </w:rPr>
            </w:pPr>
          </w:p>
        </w:tc>
      </w:tr>
      <w:tr>
        <w:trPr>
          <w:trHeight w:val="572" w:hRule="atLeast"/>
        </w:trPr>
        <w:tc>
          <w:tcPr>
            <w:tcW w:w="1687" w:type="dxa"/>
            <w:tcBorders>
              <w:top w:val="single" w:sz="6" w:space="0" w:color="000000"/>
              <w:bottom w:val="single" w:sz="6" w:space="0" w:color="000000"/>
              <w:right w:val="single" w:sz="6" w:space="0" w:color="000000"/>
            </w:tcBorders>
          </w:tcPr>
          <w:p>
            <w:pPr>
              <w:pStyle w:val="TableParagraph"/>
              <w:spacing w:before="62"/>
              <w:ind w:left="102" w:right="81"/>
              <w:jc w:val="center"/>
              <w:rPr>
                <w:sz w:val="24"/>
              </w:rPr>
            </w:pPr>
            <w:r>
              <w:rPr>
                <w:sz w:val="24"/>
              </w:rPr>
              <w:t>20-34 歲</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62"/>
              <w:ind w:left="27"/>
              <w:jc w:val="center"/>
              <w:rPr>
                <w:sz w:val="24"/>
              </w:rPr>
            </w:pPr>
            <w:r>
              <w:rPr>
                <w:sz w:val="24"/>
              </w:rPr>
              <w:t>4</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81" w:right="156"/>
              <w:jc w:val="center"/>
              <w:rPr>
                <w:sz w:val="24"/>
              </w:rPr>
            </w:pPr>
            <w:r>
              <w:rPr>
                <w:sz w:val="24"/>
              </w:rPr>
              <w:t>1757</w:t>
            </w:r>
          </w:p>
        </w:tc>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62"/>
              <w:ind w:left="201" w:right="175"/>
              <w:jc w:val="center"/>
              <w:rPr>
                <w:sz w:val="24"/>
              </w:rPr>
            </w:pPr>
            <w:r>
              <w:rPr>
                <w:sz w:val="24"/>
              </w:rPr>
              <w:t>0.23%</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81" w:right="157"/>
              <w:jc w:val="center"/>
              <w:rPr>
                <w:sz w:val="24"/>
              </w:rPr>
            </w:pPr>
            <w:r>
              <w:rPr>
                <w:sz w:val="24"/>
              </w:rPr>
              <w:t>12</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right="326"/>
              <w:jc w:val="right"/>
              <w:rPr>
                <w:sz w:val="24"/>
              </w:rPr>
            </w:pPr>
            <w:r>
              <w:rPr>
                <w:sz w:val="24"/>
              </w:rPr>
              <w:t>661</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62"/>
              <w:ind w:left="113" w:right="87"/>
              <w:jc w:val="center"/>
              <w:rPr>
                <w:sz w:val="24"/>
              </w:rPr>
            </w:pPr>
            <w:r>
              <w:rPr>
                <w:sz w:val="24"/>
              </w:rPr>
              <w:t>1.82%</w:t>
            </w: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62"/>
              <w:ind w:left="136" w:right="113"/>
              <w:jc w:val="center"/>
              <w:rPr>
                <w:sz w:val="24"/>
              </w:rPr>
            </w:pPr>
            <w:r>
              <w:rPr>
                <w:sz w:val="24"/>
              </w:rPr>
              <w:t>&lt;0.001</w:t>
            </w:r>
          </w:p>
        </w:tc>
        <w:tc>
          <w:tcPr>
            <w:tcW w:w="1069" w:type="dxa"/>
            <w:tcBorders>
              <w:top w:val="single" w:sz="6" w:space="0" w:color="000000"/>
              <w:left w:val="single" w:sz="6" w:space="0" w:color="000000"/>
              <w:bottom w:val="single" w:sz="6" w:space="0" w:color="000000"/>
              <w:right w:val="single" w:sz="6" w:space="0" w:color="000000"/>
            </w:tcBorders>
          </w:tcPr>
          <w:p>
            <w:pPr>
              <w:pStyle w:val="TableParagraph"/>
              <w:spacing w:before="62"/>
              <w:ind w:left="23"/>
              <w:jc w:val="center"/>
              <w:rPr>
                <w:sz w:val="24"/>
              </w:rPr>
            </w:pPr>
            <w:r>
              <w:rPr>
                <w:sz w:val="24"/>
              </w:rPr>
              <w:t>2</w:t>
            </w:r>
          </w:p>
        </w:tc>
        <w:tc>
          <w:tcPr>
            <w:tcW w:w="935" w:type="dxa"/>
            <w:tcBorders>
              <w:top w:val="single" w:sz="6" w:space="0" w:color="000000"/>
              <w:left w:val="single" w:sz="6" w:space="0" w:color="000000"/>
              <w:bottom w:val="single" w:sz="6" w:space="0" w:color="000000"/>
              <w:right w:val="single" w:sz="6" w:space="0" w:color="000000"/>
            </w:tcBorders>
          </w:tcPr>
          <w:p>
            <w:pPr>
              <w:pStyle w:val="TableParagraph"/>
              <w:spacing w:before="62"/>
              <w:ind w:left="168" w:right="145"/>
              <w:jc w:val="center"/>
              <w:rPr>
                <w:sz w:val="24"/>
              </w:rPr>
            </w:pPr>
            <w:r>
              <w:rPr>
                <w:sz w:val="24"/>
              </w:rPr>
              <w:t>329</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79" w:right="157"/>
              <w:jc w:val="center"/>
              <w:rPr>
                <w:sz w:val="24"/>
              </w:rPr>
            </w:pPr>
            <w:r>
              <w:rPr>
                <w:sz w:val="24"/>
              </w:rPr>
              <w:t>0.61%</w:t>
            </w:r>
          </w:p>
        </w:tc>
        <w:tc>
          <w:tcPr>
            <w:tcW w:w="1254" w:type="dxa"/>
            <w:tcBorders>
              <w:top w:val="single" w:sz="6" w:space="0" w:color="000000"/>
              <w:left w:val="single" w:sz="6" w:space="0" w:color="000000"/>
              <w:bottom w:val="single" w:sz="6" w:space="0" w:color="000000"/>
            </w:tcBorders>
          </w:tcPr>
          <w:p>
            <w:pPr>
              <w:pStyle w:val="TableParagraph"/>
              <w:spacing w:before="62"/>
              <w:ind w:left="164" w:right="132"/>
              <w:jc w:val="center"/>
              <w:rPr>
                <w:sz w:val="24"/>
              </w:rPr>
            </w:pPr>
            <w:r>
              <w:rPr>
                <w:sz w:val="24"/>
              </w:rPr>
              <w:t>0.237</w:t>
            </w:r>
          </w:p>
        </w:tc>
      </w:tr>
      <w:tr>
        <w:trPr>
          <w:trHeight w:val="573" w:hRule="atLeast"/>
        </w:trPr>
        <w:tc>
          <w:tcPr>
            <w:tcW w:w="1687" w:type="dxa"/>
            <w:tcBorders>
              <w:top w:val="single" w:sz="6" w:space="0" w:color="000000"/>
              <w:bottom w:val="single" w:sz="6" w:space="0" w:color="000000"/>
              <w:right w:val="single" w:sz="6" w:space="0" w:color="000000"/>
            </w:tcBorders>
          </w:tcPr>
          <w:p>
            <w:pPr>
              <w:pStyle w:val="TableParagraph"/>
              <w:spacing w:before="62"/>
              <w:ind w:left="102" w:right="81"/>
              <w:jc w:val="center"/>
              <w:rPr>
                <w:sz w:val="24"/>
              </w:rPr>
            </w:pPr>
            <w:r>
              <w:rPr>
                <w:sz w:val="24"/>
              </w:rPr>
              <w:t>35-49 歲</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62"/>
              <w:ind w:left="114" w:right="87"/>
              <w:jc w:val="center"/>
              <w:rPr>
                <w:sz w:val="24"/>
              </w:rPr>
            </w:pPr>
            <w:r>
              <w:rPr>
                <w:sz w:val="24"/>
              </w:rPr>
              <w:t>14</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81" w:right="156"/>
              <w:jc w:val="center"/>
              <w:rPr>
                <w:sz w:val="24"/>
              </w:rPr>
            </w:pPr>
            <w:r>
              <w:rPr>
                <w:sz w:val="24"/>
              </w:rPr>
              <w:t>2573</w:t>
            </w:r>
          </w:p>
        </w:tc>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62"/>
              <w:ind w:left="201" w:right="175"/>
              <w:jc w:val="center"/>
              <w:rPr>
                <w:sz w:val="24"/>
              </w:rPr>
            </w:pPr>
            <w:r>
              <w:rPr>
                <w:sz w:val="24"/>
              </w:rPr>
              <w:t>0.54%</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81" w:right="157"/>
              <w:jc w:val="center"/>
              <w:rPr>
                <w:sz w:val="24"/>
              </w:rPr>
            </w:pPr>
            <w:r>
              <w:rPr>
                <w:sz w:val="24"/>
              </w:rPr>
              <w:t>24</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right="326"/>
              <w:jc w:val="right"/>
              <w:rPr>
                <w:sz w:val="24"/>
              </w:rPr>
            </w:pPr>
            <w:r>
              <w:rPr>
                <w:sz w:val="24"/>
              </w:rPr>
              <w:t>983</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62"/>
              <w:ind w:left="113" w:right="87"/>
              <w:jc w:val="center"/>
              <w:rPr>
                <w:sz w:val="24"/>
              </w:rPr>
            </w:pPr>
            <w:r>
              <w:rPr>
                <w:sz w:val="24"/>
              </w:rPr>
              <w:t>2.44%</w:t>
            </w: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62"/>
              <w:ind w:left="136" w:right="113"/>
              <w:jc w:val="center"/>
              <w:rPr>
                <w:sz w:val="24"/>
              </w:rPr>
            </w:pPr>
            <w:r>
              <w:rPr>
                <w:sz w:val="24"/>
              </w:rPr>
              <w:t>&lt;0.001</w:t>
            </w:r>
          </w:p>
        </w:tc>
        <w:tc>
          <w:tcPr>
            <w:tcW w:w="1069" w:type="dxa"/>
            <w:tcBorders>
              <w:top w:val="single" w:sz="6" w:space="0" w:color="000000"/>
              <w:left w:val="single" w:sz="6" w:space="0" w:color="000000"/>
              <w:bottom w:val="single" w:sz="6" w:space="0" w:color="000000"/>
              <w:right w:val="single" w:sz="6" w:space="0" w:color="000000"/>
            </w:tcBorders>
          </w:tcPr>
          <w:p>
            <w:pPr>
              <w:pStyle w:val="TableParagraph"/>
              <w:spacing w:before="62"/>
              <w:ind w:left="23"/>
              <w:jc w:val="center"/>
              <w:rPr>
                <w:sz w:val="24"/>
              </w:rPr>
            </w:pPr>
            <w:r>
              <w:rPr>
                <w:sz w:val="24"/>
              </w:rPr>
              <w:t>1</w:t>
            </w:r>
          </w:p>
        </w:tc>
        <w:tc>
          <w:tcPr>
            <w:tcW w:w="935" w:type="dxa"/>
            <w:tcBorders>
              <w:top w:val="single" w:sz="6" w:space="0" w:color="000000"/>
              <w:left w:val="single" w:sz="6" w:space="0" w:color="000000"/>
              <w:bottom w:val="single" w:sz="6" w:space="0" w:color="000000"/>
              <w:right w:val="single" w:sz="6" w:space="0" w:color="000000"/>
            </w:tcBorders>
          </w:tcPr>
          <w:p>
            <w:pPr>
              <w:pStyle w:val="TableParagraph"/>
              <w:spacing w:before="62"/>
              <w:ind w:left="168" w:right="145"/>
              <w:jc w:val="center"/>
              <w:rPr>
                <w:sz w:val="24"/>
              </w:rPr>
            </w:pPr>
            <w:r>
              <w:rPr>
                <w:sz w:val="24"/>
              </w:rPr>
              <w:t>489</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79" w:right="157"/>
              <w:jc w:val="center"/>
              <w:rPr>
                <w:sz w:val="24"/>
              </w:rPr>
            </w:pPr>
            <w:r>
              <w:rPr>
                <w:sz w:val="24"/>
              </w:rPr>
              <w:t>0.20%</w:t>
            </w:r>
          </w:p>
        </w:tc>
        <w:tc>
          <w:tcPr>
            <w:tcW w:w="1254" w:type="dxa"/>
            <w:tcBorders>
              <w:top w:val="single" w:sz="6" w:space="0" w:color="000000"/>
              <w:left w:val="single" w:sz="6" w:space="0" w:color="000000"/>
              <w:bottom w:val="single" w:sz="6" w:space="0" w:color="000000"/>
            </w:tcBorders>
          </w:tcPr>
          <w:p>
            <w:pPr>
              <w:pStyle w:val="TableParagraph"/>
              <w:spacing w:before="62"/>
              <w:ind w:left="164" w:right="132"/>
              <w:jc w:val="center"/>
              <w:rPr>
                <w:sz w:val="24"/>
              </w:rPr>
            </w:pPr>
            <w:r>
              <w:rPr>
                <w:sz w:val="24"/>
              </w:rPr>
              <w:t>0.324</w:t>
            </w:r>
          </w:p>
        </w:tc>
      </w:tr>
      <w:tr>
        <w:trPr>
          <w:trHeight w:val="572" w:hRule="atLeast"/>
        </w:trPr>
        <w:tc>
          <w:tcPr>
            <w:tcW w:w="1687" w:type="dxa"/>
            <w:tcBorders>
              <w:top w:val="single" w:sz="6" w:space="0" w:color="000000"/>
              <w:bottom w:val="single" w:sz="6" w:space="0" w:color="000000"/>
              <w:right w:val="single" w:sz="6" w:space="0" w:color="000000"/>
            </w:tcBorders>
          </w:tcPr>
          <w:p>
            <w:pPr>
              <w:pStyle w:val="TableParagraph"/>
              <w:spacing w:before="62"/>
              <w:ind w:left="102" w:right="81"/>
              <w:jc w:val="center"/>
              <w:rPr>
                <w:sz w:val="24"/>
              </w:rPr>
            </w:pPr>
            <w:r>
              <w:rPr>
                <w:sz w:val="24"/>
              </w:rPr>
              <w:t>50-64 歲</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62"/>
              <w:ind w:left="114" w:right="87"/>
              <w:jc w:val="center"/>
              <w:rPr>
                <w:sz w:val="24"/>
              </w:rPr>
            </w:pPr>
            <w:r>
              <w:rPr>
                <w:sz w:val="24"/>
              </w:rPr>
              <w:t>21</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81" w:right="156"/>
              <w:jc w:val="center"/>
              <w:rPr>
                <w:sz w:val="24"/>
              </w:rPr>
            </w:pPr>
            <w:r>
              <w:rPr>
                <w:sz w:val="24"/>
              </w:rPr>
              <w:t>3415</w:t>
            </w:r>
          </w:p>
        </w:tc>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62"/>
              <w:ind w:left="201" w:right="175"/>
              <w:jc w:val="center"/>
              <w:rPr>
                <w:sz w:val="24"/>
              </w:rPr>
            </w:pPr>
            <w:r>
              <w:rPr>
                <w:sz w:val="24"/>
              </w:rPr>
              <w:t>0.61%</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81" w:right="157"/>
              <w:jc w:val="center"/>
              <w:rPr>
                <w:sz w:val="24"/>
              </w:rPr>
            </w:pPr>
            <w:r>
              <w:rPr>
                <w:sz w:val="24"/>
              </w:rPr>
              <w:t>51</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right="257"/>
              <w:jc w:val="right"/>
              <w:rPr>
                <w:sz w:val="24"/>
              </w:rPr>
            </w:pPr>
            <w:r>
              <w:rPr>
                <w:sz w:val="24"/>
              </w:rPr>
              <w:t>1553</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62"/>
              <w:ind w:left="113" w:right="87"/>
              <w:jc w:val="center"/>
              <w:rPr>
                <w:sz w:val="24"/>
              </w:rPr>
            </w:pPr>
            <w:r>
              <w:rPr>
                <w:sz w:val="24"/>
              </w:rPr>
              <w:t>3.28%</w:t>
            </w: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62"/>
              <w:ind w:left="136" w:right="113"/>
              <w:jc w:val="center"/>
              <w:rPr>
                <w:sz w:val="24"/>
              </w:rPr>
            </w:pPr>
            <w:r>
              <w:rPr>
                <w:sz w:val="24"/>
              </w:rPr>
              <w:t>&lt;0.001</w:t>
            </w:r>
          </w:p>
        </w:tc>
        <w:tc>
          <w:tcPr>
            <w:tcW w:w="1069" w:type="dxa"/>
            <w:tcBorders>
              <w:top w:val="single" w:sz="6" w:space="0" w:color="000000"/>
              <w:left w:val="single" w:sz="6" w:space="0" w:color="000000"/>
              <w:bottom w:val="single" w:sz="6" w:space="0" w:color="000000"/>
              <w:right w:val="single" w:sz="6" w:space="0" w:color="000000"/>
            </w:tcBorders>
          </w:tcPr>
          <w:p>
            <w:pPr>
              <w:pStyle w:val="TableParagraph"/>
              <w:spacing w:before="62"/>
              <w:ind w:left="23"/>
              <w:jc w:val="center"/>
              <w:rPr>
                <w:sz w:val="24"/>
              </w:rPr>
            </w:pPr>
            <w:r>
              <w:rPr>
                <w:sz w:val="24"/>
              </w:rPr>
              <w:t>2</w:t>
            </w:r>
          </w:p>
        </w:tc>
        <w:tc>
          <w:tcPr>
            <w:tcW w:w="935" w:type="dxa"/>
            <w:tcBorders>
              <w:top w:val="single" w:sz="6" w:space="0" w:color="000000"/>
              <w:left w:val="single" w:sz="6" w:space="0" w:color="000000"/>
              <w:bottom w:val="single" w:sz="6" w:space="0" w:color="000000"/>
              <w:right w:val="single" w:sz="6" w:space="0" w:color="000000"/>
            </w:tcBorders>
          </w:tcPr>
          <w:p>
            <w:pPr>
              <w:pStyle w:val="TableParagraph"/>
              <w:spacing w:before="62"/>
              <w:ind w:left="168" w:right="145"/>
              <w:jc w:val="center"/>
              <w:rPr>
                <w:sz w:val="24"/>
              </w:rPr>
            </w:pPr>
            <w:r>
              <w:rPr>
                <w:sz w:val="24"/>
              </w:rPr>
              <w:t>654</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79" w:right="157"/>
              <w:jc w:val="center"/>
              <w:rPr>
                <w:sz w:val="24"/>
              </w:rPr>
            </w:pPr>
            <w:r>
              <w:rPr>
                <w:sz w:val="24"/>
              </w:rPr>
              <w:t>0.31%</w:t>
            </w:r>
          </w:p>
        </w:tc>
        <w:tc>
          <w:tcPr>
            <w:tcW w:w="1254" w:type="dxa"/>
            <w:tcBorders>
              <w:top w:val="single" w:sz="6" w:space="0" w:color="000000"/>
              <w:left w:val="single" w:sz="6" w:space="0" w:color="000000"/>
              <w:bottom w:val="single" w:sz="6" w:space="0" w:color="000000"/>
            </w:tcBorders>
          </w:tcPr>
          <w:p>
            <w:pPr>
              <w:pStyle w:val="TableParagraph"/>
              <w:spacing w:before="62"/>
              <w:ind w:left="164" w:right="132"/>
              <w:jc w:val="center"/>
              <w:rPr>
                <w:sz w:val="24"/>
              </w:rPr>
            </w:pPr>
            <w:r>
              <w:rPr>
                <w:sz w:val="24"/>
              </w:rPr>
              <w:t>0.334</w:t>
            </w:r>
          </w:p>
        </w:tc>
      </w:tr>
      <w:tr>
        <w:trPr>
          <w:trHeight w:val="572" w:hRule="atLeast"/>
        </w:trPr>
        <w:tc>
          <w:tcPr>
            <w:tcW w:w="1687" w:type="dxa"/>
            <w:tcBorders>
              <w:top w:val="single" w:sz="6" w:space="0" w:color="000000"/>
              <w:bottom w:val="single" w:sz="6" w:space="0" w:color="000000"/>
              <w:right w:val="single" w:sz="6" w:space="0" w:color="000000"/>
            </w:tcBorders>
          </w:tcPr>
          <w:p>
            <w:pPr>
              <w:pStyle w:val="TableParagraph"/>
              <w:spacing w:before="62"/>
              <w:ind w:left="102" w:right="81"/>
              <w:jc w:val="center"/>
              <w:rPr>
                <w:sz w:val="24"/>
              </w:rPr>
            </w:pPr>
            <w:r>
              <w:rPr>
                <w:sz w:val="24"/>
              </w:rPr>
              <w:t>65 歲以上</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62"/>
              <w:ind w:left="27"/>
              <w:jc w:val="center"/>
              <w:rPr>
                <w:sz w:val="24"/>
              </w:rPr>
            </w:pPr>
            <w:r>
              <w:rPr>
                <w:sz w:val="24"/>
              </w:rPr>
              <w:t>7</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81" w:right="156"/>
              <w:jc w:val="center"/>
              <w:rPr>
                <w:sz w:val="24"/>
              </w:rPr>
            </w:pPr>
            <w:r>
              <w:rPr>
                <w:sz w:val="24"/>
              </w:rPr>
              <w:t>1483</w:t>
            </w:r>
          </w:p>
        </w:tc>
        <w:tc>
          <w:tcPr>
            <w:tcW w:w="1115" w:type="dxa"/>
            <w:tcBorders>
              <w:top w:val="single" w:sz="6" w:space="0" w:color="000000"/>
              <w:left w:val="single" w:sz="6" w:space="0" w:color="000000"/>
              <w:bottom w:val="single" w:sz="6" w:space="0" w:color="000000"/>
              <w:right w:val="single" w:sz="6" w:space="0" w:color="000000"/>
            </w:tcBorders>
          </w:tcPr>
          <w:p>
            <w:pPr>
              <w:pStyle w:val="TableParagraph"/>
              <w:spacing w:before="62"/>
              <w:ind w:left="201" w:right="175"/>
              <w:jc w:val="center"/>
              <w:rPr>
                <w:sz w:val="24"/>
              </w:rPr>
            </w:pPr>
            <w:r>
              <w:rPr>
                <w:sz w:val="24"/>
              </w:rPr>
              <w:t>0.47%</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81" w:right="157"/>
              <w:jc w:val="center"/>
              <w:rPr>
                <w:sz w:val="24"/>
              </w:rPr>
            </w:pPr>
            <w:r>
              <w:rPr>
                <w:sz w:val="24"/>
              </w:rPr>
              <w:t>27</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right="257"/>
              <w:jc w:val="right"/>
              <w:rPr>
                <w:sz w:val="24"/>
              </w:rPr>
            </w:pPr>
            <w:r>
              <w:rPr>
                <w:sz w:val="24"/>
              </w:rPr>
              <w:t>1579</w:t>
            </w:r>
          </w:p>
        </w:tc>
        <w:tc>
          <w:tcPr>
            <w:tcW w:w="976" w:type="dxa"/>
            <w:tcBorders>
              <w:top w:val="single" w:sz="6" w:space="0" w:color="000000"/>
              <w:left w:val="single" w:sz="6" w:space="0" w:color="000000"/>
              <w:bottom w:val="single" w:sz="6" w:space="0" w:color="000000"/>
              <w:right w:val="single" w:sz="6" w:space="0" w:color="000000"/>
            </w:tcBorders>
          </w:tcPr>
          <w:p>
            <w:pPr>
              <w:pStyle w:val="TableParagraph"/>
              <w:spacing w:before="62"/>
              <w:ind w:left="113" w:right="87"/>
              <w:jc w:val="center"/>
              <w:rPr>
                <w:sz w:val="24"/>
              </w:rPr>
            </w:pPr>
            <w:r>
              <w:rPr>
                <w:sz w:val="24"/>
              </w:rPr>
              <w:t>1.71%</w:t>
            </w: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62"/>
              <w:ind w:left="136" w:right="114"/>
              <w:jc w:val="center"/>
              <w:rPr>
                <w:sz w:val="24"/>
              </w:rPr>
            </w:pPr>
            <w:r>
              <w:rPr>
                <w:sz w:val="24"/>
              </w:rPr>
              <w:t>0.001</w:t>
            </w:r>
          </w:p>
        </w:tc>
        <w:tc>
          <w:tcPr>
            <w:tcW w:w="1069" w:type="dxa"/>
            <w:tcBorders>
              <w:top w:val="single" w:sz="6" w:space="0" w:color="000000"/>
              <w:left w:val="single" w:sz="6" w:space="0" w:color="000000"/>
              <w:bottom w:val="single" w:sz="6" w:space="0" w:color="000000"/>
              <w:right w:val="single" w:sz="6" w:space="0" w:color="000000"/>
            </w:tcBorders>
          </w:tcPr>
          <w:p>
            <w:pPr>
              <w:pStyle w:val="TableParagraph"/>
              <w:spacing w:before="62"/>
              <w:ind w:left="23"/>
              <w:jc w:val="center"/>
              <w:rPr>
                <w:sz w:val="24"/>
              </w:rPr>
            </w:pPr>
            <w:r>
              <w:rPr>
                <w:sz w:val="24"/>
              </w:rPr>
              <w:t>3</w:t>
            </w:r>
          </w:p>
        </w:tc>
        <w:tc>
          <w:tcPr>
            <w:tcW w:w="935" w:type="dxa"/>
            <w:tcBorders>
              <w:top w:val="single" w:sz="6" w:space="0" w:color="000000"/>
              <w:left w:val="single" w:sz="6" w:space="0" w:color="000000"/>
              <w:bottom w:val="single" w:sz="6" w:space="0" w:color="000000"/>
              <w:right w:val="single" w:sz="6" w:space="0" w:color="000000"/>
            </w:tcBorders>
          </w:tcPr>
          <w:p>
            <w:pPr>
              <w:pStyle w:val="TableParagraph"/>
              <w:spacing w:before="62"/>
              <w:ind w:left="168" w:right="145"/>
              <w:jc w:val="center"/>
              <w:rPr>
                <w:sz w:val="24"/>
              </w:rPr>
            </w:pPr>
            <w:r>
              <w:rPr>
                <w:sz w:val="24"/>
              </w:rPr>
              <w:t>607</w:t>
            </w:r>
          </w:p>
        </w:tc>
        <w:tc>
          <w:tcPr>
            <w:tcW w:w="1114" w:type="dxa"/>
            <w:tcBorders>
              <w:top w:val="single" w:sz="6" w:space="0" w:color="000000"/>
              <w:left w:val="single" w:sz="6" w:space="0" w:color="000000"/>
              <w:bottom w:val="single" w:sz="6" w:space="0" w:color="000000"/>
              <w:right w:val="single" w:sz="6" w:space="0" w:color="000000"/>
            </w:tcBorders>
          </w:tcPr>
          <w:p>
            <w:pPr>
              <w:pStyle w:val="TableParagraph"/>
              <w:spacing w:before="62"/>
              <w:ind w:left="179" w:right="157"/>
              <w:jc w:val="center"/>
              <w:rPr>
                <w:sz w:val="24"/>
              </w:rPr>
            </w:pPr>
            <w:r>
              <w:rPr>
                <w:sz w:val="24"/>
              </w:rPr>
              <w:t>0.49%</w:t>
            </w:r>
          </w:p>
        </w:tc>
        <w:tc>
          <w:tcPr>
            <w:tcW w:w="1254" w:type="dxa"/>
            <w:tcBorders>
              <w:top w:val="single" w:sz="6" w:space="0" w:color="000000"/>
              <w:left w:val="single" w:sz="6" w:space="0" w:color="000000"/>
              <w:bottom w:val="single" w:sz="6" w:space="0" w:color="000000"/>
            </w:tcBorders>
          </w:tcPr>
          <w:p>
            <w:pPr>
              <w:pStyle w:val="TableParagraph"/>
              <w:spacing w:before="62"/>
              <w:ind w:left="164" w:right="132"/>
              <w:jc w:val="center"/>
              <w:rPr>
                <w:sz w:val="24"/>
              </w:rPr>
            </w:pPr>
            <w:r>
              <w:rPr>
                <w:sz w:val="24"/>
              </w:rPr>
              <w:t>0.947</w:t>
            </w:r>
          </w:p>
        </w:tc>
      </w:tr>
      <w:tr>
        <w:trPr>
          <w:trHeight w:val="1731" w:hRule="atLeast"/>
        </w:trPr>
        <w:tc>
          <w:tcPr>
            <w:tcW w:w="13668" w:type="dxa"/>
            <w:gridSpan w:val="12"/>
            <w:tcBorders>
              <w:top w:val="single" w:sz="6" w:space="0" w:color="000000"/>
            </w:tcBorders>
          </w:tcPr>
          <w:p>
            <w:pPr>
              <w:pStyle w:val="TableParagraph"/>
              <w:spacing w:line="405" w:lineRule="exact" w:before="71"/>
              <w:ind w:left="125"/>
              <w:rPr>
                <w:sz w:val="24"/>
              </w:rPr>
            </w:pPr>
            <w:r>
              <w:rPr>
                <w:sz w:val="24"/>
              </w:rPr>
              <w:t>1.LTBI 開始治療時間 2016/4~2018/6(3HP、9H)&amp;2016/4~2020/12(4R)</w:t>
            </w:r>
          </w:p>
          <w:p>
            <w:pPr>
              <w:pStyle w:val="TableParagraph"/>
              <w:spacing w:line="206" w:lineRule="auto" w:before="9"/>
              <w:ind w:left="125" w:right="8994"/>
              <w:rPr>
                <w:sz w:val="24"/>
              </w:rPr>
            </w:pPr>
            <w:r>
              <w:rPr>
                <w:sz w:val="24"/>
              </w:rPr>
              <w:t>2.肝毒性定義：達 ATS guidelines 5x GPT 3.p-value：chi-square test (和 3HP 相比)</w:t>
            </w:r>
          </w:p>
          <w:p>
            <w:pPr>
              <w:pStyle w:val="TableParagraph"/>
              <w:spacing w:line="398" w:lineRule="exact"/>
              <w:ind w:left="125"/>
              <w:rPr>
                <w:sz w:val="24"/>
              </w:rPr>
            </w:pPr>
            <w:r>
              <w:rPr>
                <w:sz w:val="24"/>
              </w:rPr>
              <w:t>4.參考 2008-2012 世代 12-19 歲使用 9H 治療者肝毒性發生率為 0.1-0.2%</w:t>
            </w:r>
          </w:p>
        </w:tc>
      </w:tr>
    </w:tbl>
    <w:p>
      <w:pPr>
        <w:spacing w:after="0" w:line="398" w:lineRule="exact"/>
        <w:rPr>
          <w:sz w:val="24"/>
        </w:rPr>
        <w:sectPr>
          <w:pgSz w:w="17190" w:h="12250" w:orient="landscape"/>
          <w:pgMar w:header="0" w:footer="828" w:top="1140" w:bottom="1020" w:left="560" w:right="420"/>
        </w:sectPr>
      </w:pPr>
    </w:p>
    <w:p>
      <w:pPr>
        <w:spacing w:before="116"/>
        <w:ind w:left="78" w:right="579" w:firstLine="0"/>
        <w:jc w:val="center"/>
        <w:rPr>
          <w:b/>
          <w:sz w:val="26"/>
        </w:rPr>
      </w:pPr>
      <w:r>
        <w:rPr/>
        <w:drawing>
          <wp:anchor distT="0" distB="0" distL="0" distR="0" allowOverlap="1" layoutInCell="1" locked="0" behindDoc="1" simplePos="0" relativeHeight="234674176">
            <wp:simplePos x="0" y="0"/>
            <wp:positionH relativeFrom="page">
              <wp:posOffset>419100</wp:posOffset>
            </wp:positionH>
            <wp:positionV relativeFrom="page">
              <wp:posOffset>1048384</wp:posOffset>
            </wp:positionV>
            <wp:extent cx="10149203" cy="5677954"/>
            <wp:effectExtent l="0" t="0" r="0" b="0"/>
            <wp:wrapNone/>
            <wp:docPr id="23" name="image10.png"/>
            <wp:cNvGraphicFramePr>
              <a:graphicFrameLocks noChangeAspect="1"/>
            </wp:cNvGraphicFramePr>
            <a:graphic>
              <a:graphicData uri="http://schemas.openxmlformats.org/drawingml/2006/picture">
                <pic:pic>
                  <pic:nvPicPr>
                    <pic:cNvPr id="24" name="image10.png"/>
                    <pic:cNvPicPr/>
                  </pic:nvPicPr>
                  <pic:blipFill>
                    <a:blip r:embed="rId65" cstate="print"/>
                    <a:stretch>
                      <a:fillRect/>
                    </a:stretch>
                  </pic:blipFill>
                  <pic:spPr>
                    <a:xfrm>
                      <a:off x="0" y="0"/>
                      <a:ext cx="10149203" cy="5677954"/>
                    </a:xfrm>
                    <a:prstGeom prst="rect">
                      <a:avLst/>
                    </a:prstGeom>
                  </pic:spPr>
                </pic:pic>
              </a:graphicData>
            </a:graphic>
          </wp:anchor>
        </w:drawing>
      </w:r>
      <w:r>
        <w:rPr>
          <w:b/>
          <w:color w:val="C00000"/>
          <w:sz w:val="26"/>
        </w:rPr>
        <w:t>圖 10-1  潛伏結核感染之治療（Treatment of LTBI）流程 </w:t>
      </w:r>
      <w:r>
        <w:rPr>
          <w:b/>
          <w:color w:val="C00000"/>
          <w:sz w:val="26"/>
          <w:shd w:fill="F1F1F1" w:color="auto" w:val="clear"/>
        </w:rPr>
        <w:t>（診療醫師使用）</w:t>
      </w:r>
    </w:p>
    <w:p>
      <w:pPr>
        <w:spacing w:after="0"/>
        <w:jc w:val="center"/>
        <w:rPr>
          <w:sz w:val="26"/>
        </w:rPr>
        <w:sectPr>
          <w:pgSz w:w="17190" w:h="12250" w:orient="landscape"/>
          <w:pgMar w:header="0" w:footer="828" w:top="1140" w:bottom="1020" w:left="560" w:right="420"/>
        </w:sectPr>
      </w:pPr>
    </w:p>
    <w:p>
      <w:pPr>
        <w:spacing w:line="452" w:lineRule="exact" w:before="20"/>
        <w:ind w:left="340" w:right="0" w:firstLine="0"/>
        <w:jc w:val="left"/>
        <w:rPr>
          <w:b/>
          <w:sz w:val="25"/>
        </w:rPr>
      </w:pPr>
      <w:r>
        <w:rPr/>
        <w:pict>
          <v:group style="position:absolute;margin-left:570.75pt;margin-top:1.485659pt;width:41.65pt;height:191.25pt;mso-position-horizontal-relative:page;mso-position-vertical-relative:paragraph;z-index:251867136" coordorigin="11415,30" coordsize="833,3825">
            <v:shape style="position:absolute;left:11415;top:29;width:833;height:3825" coordorigin="11415,30" coordsize="833,3825" path="m12242,30l11580,30,11516,43,11463,78,11428,131,11415,195,11415,3689,11428,3754,11463,3806,11516,3842,11580,3855,12242,3855,12247,3854,12247,31,12242,30xe" filled="true" fillcolor="#a6a6a6" stroked="false">
              <v:path arrowok="t"/>
              <v:fill type="solid"/>
            </v:shape>
            <v:shape style="position:absolute;left:11415;top:29;width:833;height:3825" type="#_x0000_t202" filled="false" stroked="false">
              <v:textbox inset="0,0,0,0">
                <w:txbxContent>
                  <w:p>
                    <w:pPr>
                      <w:spacing w:line="146" w:lineRule="auto" w:before="126"/>
                      <w:ind w:left="136" w:right="474" w:firstLine="0"/>
                      <w:jc w:val="both"/>
                      <w:rPr>
                        <w:sz w:val="22"/>
                      </w:rPr>
                    </w:pPr>
                    <w:r>
                      <w:rPr>
                        <w:sz w:val="22"/>
                      </w:rPr>
                      <w:t>第十章</w:t>
                    </w:r>
                  </w:p>
                  <w:p>
                    <w:pPr>
                      <w:spacing w:line="141" w:lineRule="auto" w:before="235"/>
                      <w:ind w:left="136" w:right="474" w:firstLine="0"/>
                      <w:jc w:val="both"/>
                      <w:rPr>
                        <w:sz w:val="22"/>
                      </w:rPr>
                    </w:pPr>
                    <w:r>
                      <w:rPr>
                        <w:sz w:val="22"/>
                      </w:rPr>
                      <w:t>潛伏結核感染診斷與治療</w:t>
                    </w:r>
                  </w:p>
                </w:txbxContent>
              </v:textbox>
              <w10:wrap type="none"/>
            </v:shape>
            <w10:wrap type="none"/>
          </v:group>
        </w:pict>
      </w:r>
      <w:bookmarkStart w:name="參考文獻" w:id="136"/>
      <w:bookmarkEnd w:id="136"/>
      <w:r>
        <w:rPr/>
      </w:r>
      <w:r>
        <w:rPr>
          <w:b/>
          <w:sz w:val="25"/>
        </w:rPr>
        <w:t>參考文獻</w:t>
      </w:r>
    </w:p>
    <w:p>
      <w:pPr>
        <w:pStyle w:val="ListParagraph"/>
        <w:numPr>
          <w:ilvl w:val="0"/>
          <w:numId w:val="135"/>
        </w:numPr>
        <w:tabs>
          <w:tab w:pos="1051" w:val="left" w:leader="none"/>
        </w:tabs>
        <w:spacing w:line="216" w:lineRule="auto" w:before="22" w:after="0"/>
        <w:ind w:left="1050" w:right="1317" w:hanging="380"/>
        <w:jc w:val="left"/>
        <w:rPr>
          <w:sz w:val="23"/>
        </w:rPr>
      </w:pPr>
      <w:r>
        <w:rPr>
          <w:sz w:val="23"/>
        </w:rPr>
        <w:t>World Health Organization. Guidelines on the management of latent tuberculosis infection. 2015.</w:t>
      </w:r>
      <w:r>
        <w:rPr>
          <w:spacing w:val="-3"/>
          <w:sz w:val="23"/>
        </w:rPr>
        <w:t> </w:t>
      </w:r>
      <w:r>
        <w:rPr>
          <w:sz w:val="23"/>
        </w:rPr>
        <w:t>WHO/HTM/TB/2015.01.</w:t>
      </w:r>
    </w:p>
    <w:p>
      <w:pPr>
        <w:spacing w:line="216" w:lineRule="auto" w:before="0"/>
        <w:ind w:left="1033" w:right="1354" w:firstLine="0"/>
        <w:jc w:val="left"/>
        <w:rPr>
          <w:sz w:val="23"/>
        </w:rPr>
      </w:pPr>
      <w:hyperlink r:id="rId67">
        <w:r>
          <w:rPr>
            <w:sz w:val="23"/>
          </w:rPr>
          <w:t>http://www.who.int/tb/publications/ltbi_document_page/en/</w:t>
        </w:r>
      </w:hyperlink>
      <w:r>
        <w:rPr>
          <w:sz w:val="23"/>
        </w:rPr>
        <w:t> online version accessed on 2017-01-09.</w:t>
      </w:r>
    </w:p>
    <w:p>
      <w:pPr>
        <w:pStyle w:val="ListParagraph"/>
        <w:numPr>
          <w:ilvl w:val="0"/>
          <w:numId w:val="135"/>
        </w:numPr>
        <w:tabs>
          <w:tab w:pos="1051" w:val="left" w:leader="none"/>
        </w:tabs>
        <w:spacing w:line="216" w:lineRule="auto" w:before="0" w:after="0"/>
        <w:ind w:left="1050" w:right="1315" w:hanging="380"/>
        <w:jc w:val="both"/>
        <w:rPr>
          <w:sz w:val="23"/>
        </w:rPr>
      </w:pPr>
      <w:r>
        <w:rPr>
          <w:sz w:val="23"/>
        </w:rPr>
        <w:t>Chan PC, Yang CH, Chang LY, et al. Lower prevalence of tuberculosis infection in Bacillus</w:t>
      </w:r>
      <w:r>
        <w:rPr>
          <w:spacing w:val="-8"/>
          <w:sz w:val="23"/>
        </w:rPr>
        <w:t> </w:t>
      </w:r>
      <w:r>
        <w:rPr>
          <w:sz w:val="23"/>
        </w:rPr>
        <w:t>Calmette-Guérin</w:t>
      </w:r>
      <w:r>
        <w:rPr>
          <w:spacing w:val="-7"/>
          <w:sz w:val="23"/>
        </w:rPr>
        <w:t> </w:t>
      </w:r>
      <w:r>
        <w:rPr>
          <w:sz w:val="23"/>
        </w:rPr>
        <w:t>vaccinees:</w:t>
      </w:r>
      <w:r>
        <w:rPr>
          <w:spacing w:val="-7"/>
          <w:sz w:val="23"/>
        </w:rPr>
        <w:t> </w:t>
      </w:r>
      <w:r>
        <w:rPr>
          <w:sz w:val="23"/>
        </w:rPr>
        <w:t>a</w:t>
      </w:r>
      <w:r>
        <w:rPr>
          <w:spacing w:val="-8"/>
          <w:sz w:val="23"/>
        </w:rPr>
        <w:t> </w:t>
      </w:r>
      <w:r>
        <w:rPr>
          <w:sz w:val="23"/>
        </w:rPr>
        <w:t>cross-sectional</w:t>
      </w:r>
      <w:r>
        <w:rPr>
          <w:spacing w:val="-8"/>
          <w:sz w:val="23"/>
        </w:rPr>
        <w:t> </w:t>
      </w:r>
      <w:r>
        <w:rPr>
          <w:sz w:val="23"/>
        </w:rPr>
        <w:t>study</w:t>
      </w:r>
      <w:r>
        <w:rPr>
          <w:spacing w:val="-7"/>
          <w:sz w:val="23"/>
        </w:rPr>
        <w:t> </w:t>
      </w:r>
      <w:r>
        <w:rPr>
          <w:sz w:val="23"/>
        </w:rPr>
        <w:t>in</w:t>
      </w:r>
      <w:r>
        <w:rPr>
          <w:spacing w:val="-7"/>
          <w:sz w:val="23"/>
        </w:rPr>
        <w:t> </w:t>
      </w:r>
      <w:r>
        <w:rPr>
          <w:sz w:val="23"/>
        </w:rPr>
        <w:t>adult</w:t>
      </w:r>
      <w:r>
        <w:rPr>
          <w:spacing w:val="-7"/>
          <w:sz w:val="23"/>
        </w:rPr>
        <w:t> </w:t>
      </w:r>
      <w:r>
        <w:rPr>
          <w:sz w:val="23"/>
        </w:rPr>
        <w:t>prison</w:t>
      </w:r>
      <w:r>
        <w:rPr>
          <w:spacing w:val="-7"/>
          <w:sz w:val="23"/>
        </w:rPr>
        <w:t> </w:t>
      </w:r>
      <w:r>
        <w:rPr>
          <w:sz w:val="23"/>
        </w:rPr>
        <w:t>inmates. Thorax 2013; 68(3):</w:t>
      </w:r>
      <w:r>
        <w:rPr>
          <w:spacing w:val="-3"/>
          <w:sz w:val="23"/>
        </w:rPr>
        <w:t> </w:t>
      </w:r>
      <w:r>
        <w:rPr>
          <w:sz w:val="23"/>
        </w:rPr>
        <w:t>263-8.</w:t>
      </w:r>
    </w:p>
    <w:p>
      <w:pPr>
        <w:pStyle w:val="ListParagraph"/>
        <w:numPr>
          <w:ilvl w:val="0"/>
          <w:numId w:val="135"/>
        </w:numPr>
        <w:tabs>
          <w:tab w:pos="1051" w:val="left" w:leader="none"/>
        </w:tabs>
        <w:spacing w:line="369" w:lineRule="exact" w:before="0" w:after="0"/>
        <w:ind w:left="1050" w:right="0" w:hanging="380"/>
        <w:jc w:val="both"/>
        <w:rPr>
          <w:sz w:val="23"/>
        </w:rPr>
      </w:pPr>
      <w:r>
        <w:rPr>
          <w:sz w:val="23"/>
        </w:rPr>
        <w:t>疾病管制署科技計畫報告.結核病診斷治療及都治計畫效益評估整合型計畫,2008</w:t>
      </w:r>
      <w:r>
        <w:rPr>
          <w:spacing w:val="-1"/>
          <w:sz w:val="23"/>
        </w:rPr>
        <w:t>- </w:t>
      </w:r>
      <w:r>
        <w:rPr>
          <w:sz w:val="23"/>
        </w:rPr>
        <w:t>2010.</w:t>
      </w:r>
    </w:p>
    <w:p>
      <w:pPr>
        <w:pStyle w:val="ListParagraph"/>
        <w:numPr>
          <w:ilvl w:val="0"/>
          <w:numId w:val="135"/>
        </w:numPr>
        <w:tabs>
          <w:tab w:pos="1051" w:val="left" w:leader="none"/>
        </w:tabs>
        <w:spacing w:line="216" w:lineRule="auto" w:before="8" w:after="0"/>
        <w:ind w:left="1050" w:right="1309" w:hanging="380"/>
        <w:jc w:val="both"/>
        <w:rPr>
          <w:sz w:val="23"/>
        </w:rPr>
      </w:pPr>
      <w:r>
        <w:rPr>
          <w:spacing w:val="2"/>
          <w:sz w:val="23"/>
        </w:rPr>
        <w:t>疾病管制署科技計畫報告. 結核病接觸者潛伏感染治療介入成效暨安全性及抗藥性產生</w:t>
      </w:r>
      <w:r>
        <w:rPr>
          <w:spacing w:val="-1"/>
          <w:sz w:val="23"/>
        </w:rPr>
        <w:t>評估, </w:t>
      </w:r>
      <w:r>
        <w:rPr>
          <w:sz w:val="23"/>
        </w:rPr>
        <w:t>2013-2015.</w:t>
      </w:r>
    </w:p>
    <w:p>
      <w:pPr>
        <w:pStyle w:val="ListParagraph"/>
        <w:numPr>
          <w:ilvl w:val="0"/>
          <w:numId w:val="135"/>
        </w:numPr>
        <w:tabs>
          <w:tab w:pos="1051" w:val="left" w:leader="none"/>
        </w:tabs>
        <w:spacing w:line="216" w:lineRule="auto" w:before="0" w:after="0"/>
        <w:ind w:left="1050" w:right="1314" w:hanging="380"/>
        <w:jc w:val="both"/>
        <w:rPr>
          <w:sz w:val="23"/>
        </w:rPr>
      </w:pPr>
      <w:r>
        <w:rPr>
          <w:sz w:val="23"/>
        </w:rPr>
        <w:t>Chen DY, Shen GH, Chen YM, et al. Biphasic emergence of active tuberculosis in rheumatoid</w:t>
      </w:r>
      <w:r>
        <w:rPr>
          <w:spacing w:val="-15"/>
          <w:sz w:val="23"/>
        </w:rPr>
        <w:t> </w:t>
      </w:r>
      <w:r>
        <w:rPr>
          <w:sz w:val="23"/>
        </w:rPr>
        <w:t>arthritis</w:t>
      </w:r>
      <w:r>
        <w:rPr>
          <w:spacing w:val="-15"/>
          <w:sz w:val="23"/>
        </w:rPr>
        <w:t> </w:t>
      </w:r>
      <w:r>
        <w:rPr>
          <w:sz w:val="23"/>
        </w:rPr>
        <w:t>patients</w:t>
      </w:r>
      <w:r>
        <w:rPr>
          <w:spacing w:val="-15"/>
          <w:sz w:val="23"/>
        </w:rPr>
        <w:t> </w:t>
      </w:r>
      <w:r>
        <w:rPr>
          <w:sz w:val="23"/>
        </w:rPr>
        <w:t>receiving</w:t>
      </w:r>
      <w:r>
        <w:rPr>
          <w:spacing w:val="-14"/>
          <w:sz w:val="23"/>
        </w:rPr>
        <w:t> </w:t>
      </w:r>
      <w:r>
        <w:rPr>
          <w:sz w:val="23"/>
        </w:rPr>
        <w:t>TNFα</w:t>
      </w:r>
      <w:r>
        <w:rPr>
          <w:spacing w:val="-16"/>
          <w:sz w:val="23"/>
        </w:rPr>
        <w:t> </w:t>
      </w:r>
      <w:r>
        <w:rPr>
          <w:sz w:val="23"/>
        </w:rPr>
        <w:t>inhibitors:</w:t>
      </w:r>
      <w:r>
        <w:rPr>
          <w:spacing w:val="-14"/>
          <w:sz w:val="23"/>
        </w:rPr>
        <w:t> </w:t>
      </w:r>
      <w:r>
        <w:rPr>
          <w:sz w:val="23"/>
        </w:rPr>
        <w:t>the</w:t>
      </w:r>
      <w:r>
        <w:rPr>
          <w:spacing w:val="-16"/>
          <w:sz w:val="23"/>
        </w:rPr>
        <w:t> </w:t>
      </w:r>
      <w:r>
        <w:rPr>
          <w:sz w:val="23"/>
        </w:rPr>
        <w:t>utility</w:t>
      </w:r>
      <w:r>
        <w:rPr>
          <w:spacing w:val="-14"/>
          <w:sz w:val="23"/>
        </w:rPr>
        <w:t> </w:t>
      </w:r>
      <w:r>
        <w:rPr>
          <w:sz w:val="23"/>
        </w:rPr>
        <w:t>of</w:t>
      </w:r>
      <w:r>
        <w:rPr>
          <w:spacing w:val="-16"/>
          <w:sz w:val="23"/>
        </w:rPr>
        <w:t> </w:t>
      </w:r>
      <w:r>
        <w:rPr>
          <w:sz w:val="23"/>
        </w:rPr>
        <w:t>IFNγ</w:t>
      </w:r>
      <w:r>
        <w:rPr>
          <w:spacing w:val="-16"/>
          <w:sz w:val="23"/>
        </w:rPr>
        <w:t> </w:t>
      </w:r>
      <w:r>
        <w:rPr>
          <w:sz w:val="23"/>
        </w:rPr>
        <w:t>assay.</w:t>
      </w:r>
      <w:r>
        <w:rPr>
          <w:spacing w:val="-16"/>
          <w:sz w:val="23"/>
        </w:rPr>
        <w:t> </w:t>
      </w:r>
      <w:r>
        <w:rPr>
          <w:sz w:val="23"/>
        </w:rPr>
        <w:t>Ann Rheum Dis 2012; 71:</w:t>
      </w:r>
      <w:r>
        <w:rPr>
          <w:spacing w:val="-6"/>
          <w:sz w:val="23"/>
        </w:rPr>
        <w:t> </w:t>
      </w:r>
      <w:r>
        <w:rPr>
          <w:sz w:val="23"/>
        </w:rPr>
        <w:t>231–7</w:t>
      </w:r>
    </w:p>
    <w:p>
      <w:pPr>
        <w:pStyle w:val="ListParagraph"/>
        <w:numPr>
          <w:ilvl w:val="0"/>
          <w:numId w:val="135"/>
        </w:numPr>
        <w:tabs>
          <w:tab w:pos="1051" w:val="left" w:leader="none"/>
        </w:tabs>
        <w:spacing w:line="369" w:lineRule="exact" w:before="0" w:after="0"/>
        <w:ind w:left="1050" w:right="0" w:hanging="380"/>
        <w:jc w:val="both"/>
        <w:rPr>
          <w:sz w:val="23"/>
        </w:rPr>
      </w:pPr>
      <w:r>
        <w:rPr>
          <w:spacing w:val="-1"/>
          <w:sz w:val="23"/>
        </w:rPr>
        <w:t>疾病管制署科技計畫報告. </w:t>
      </w:r>
      <w:r>
        <w:rPr>
          <w:sz w:val="23"/>
        </w:rPr>
        <w:t>Institute</w:t>
      </w:r>
      <w:r>
        <w:rPr>
          <w:spacing w:val="-1"/>
          <w:sz w:val="23"/>
        </w:rPr>
        <w:t> </w:t>
      </w:r>
      <w:r>
        <w:rPr>
          <w:sz w:val="23"/>
        </w:rPr>
        <w:t>for</w:t>
      </w:r>
      <w:r>
        <w:rPr>
          <w:spacing w:val="-2"/>
          <w:sz w:val="23"/>
        </w:rPr>
        <w:t> </w:t>
      </w:r>
      <w:r>
        <w:rPr>
          <w:sz w:val="23"/>
        </w:rPr>
        <w:t>Biotechnology</w:t>
      </w:r>
      <w:r>
        <w:rPr>
          <w:spacing w:val="-1"/>
          <w:sz w:val="23"/>
        </w:rPr>
        <w:t> </w:t>
      </w:r>
      <w:r>
        <w:rPr>
          <w:sz w:val="23"/>
        </w:rPr>
        <w:t>and</w:t>
      </w:r>
      <w:r>
        <w:rPr>
          <w:spacing w:val="-1"/>
          <w:sz w:val="23"/>
        </w:rPr>
        <w:t> </w:t>
      </w:r>
      <w:r>
        <w:rPr>
          <w:sz w:val="23"/>
        </w:rPr>
        <w:t>Medicine</w:t>
      </w:r>
      <w:r>
        <w:rPr>
          <w:spacing w:val="-2"/>
          <w:sz w:val="23"/>
        </w:rPr>
        <w:t> </w:t>
      </w:r>
      <w:r>
        <w:rPr>
          <w:sz w:val="23"/>
        </w:rPr>
        <w:t>Industry</w:t>
      </w:r>
      <w:r>
        <w:rPr>
          <w:spacing w:val="55"/>
          <w:sz w:val="23"/>
        </w:rPr>
        <w:t> </w:t>
      </w:r>
      <w:r>
        <w:rPr>
          <w:sz w:val="23"/>
        </w:rPr>
        <w:t>(IBMI)</w:t>
      </w:r>
    </w:p>
    <w:p>
      <w:pPr>
        <w:spacing w:line="380" w:lineRule="exact" w:before="0"/>
        <w:ind w:left="1050" w:right="0" w:firstLine="0"/>
        <w:jc w:val="both"/>
        <w:rPr>
          <w:sz w:val="23"/>
        </w:rPr>
      </w:pPr>
      <w:r>
        <w:rPr>
          <w:sz w:val="23"/>
        </w:rPr>
        <w:t>生策會. 結核病防治整合型研究計畫, 2011-2015.</w:t>
      </w:r>
    </w:p>
    <w:p>
      <w:pPr>
        <w:pStyle w:val="ListParagraph"/>
        <w:numPr>
          <w:ilvl w:val="0"/>
          <w:numId w:val="135"/>
        </w:numPr>
        <w:tabs>
          <w:tab w:pos="1051" w:val="left" w:leader="none"/>
        </w:tabs>
        <w:spacing w:line="380" w:lineRule="exact" w:before="0" w:after="0"/>
        <w:ind w:left="1050" w:right="0" w:hanging="380"/>
        <w:jc w:val="both"/>
        <w:rPr>
          <w:sz w:val="23"/>
        </w:rPr>
      </w:pPr>
      <w:r>
        <w:rPr>
          <w:spacing w:val="-1"/>
          <w:sz w:val="23"/>
        </w:rPr>
        <w:t>疾病管制署科技計畫報告. 結核病接觸者追蹤進階二期試辦計畫, </w:t>
      </w:r>
      <w:r>
        <w:rPr>
          <w:sz w:val="23"/>
        </w:rPr>
        <w:t>2010-2012.</w:t>
      </w:r>
    </w:p>
    <w:p>
      <w:pPr>
        <w:pStyle w:val="ListParagraph"/>
        <w:numPr>
          <w:ilvl w:val="0"/>
          <w:numId w:val="135"/>
        </w:numPr>
        <w:tabs>
          <w:tab w:pos="1051" w:val="left" w:leader="none"/>
        </w:tabs>
        <w:spacing w:line="216" w:lineRule="auto" w:before="7" w:after="0"/>
        <w:ind w:left="1050" w:right="1314" w:hanging="380"/>
        <w:jc w:val="both"/>
        <w:rPr>
          <w:sz w:val="23"/>
        </w:rPr>
      </w:pPr>
      <w:r>
        <w:rPr>
          <w:sz w:val="23"/>
        </w:rPr>
        <w:t>Yang CH, Chan PC, Liao ST, et al. Strategy to Better Select HIV-Infected Individuals for Latent TB Treatment in BCG-Vaccinated Population. PLoS ONE.2013: 8(8); e73069.</w:t>
      </w:r>
      <w:r>
        <w:rPr>
          <w:spacing w:val="-2"/>
          <w:sz w:val="23"/>
        </w:rPr>
        <w:t> </w:t>
      </w:r>
      <w:r>
        <w:rPr>
          <w:sz w:val="23"/>
        </w:rPr>
        <w:t>doi:10.1371/journal.pone.0073069.</w:t>
      </w:r>
    </w:p>
    <w:p>
      <w:pPr>
        <w:pStyle w:val="ListParagraph"/>
        <w:numPr>
          <w:ilvl w:val="0"/>
          <w:numId w:val="135"/>
        </w:numPr>
        <w:tabs>
          <w:tab w:pos="1051" w:val="left" w:leader="none"/>
        </w:tabs>
        <w:spacing w:line="216" w:lineRule="auto" w:before="0" w:after="0"/>
        <w:ind w:left="1050" w:right="1316" w:hanging="380"/>
        <w:jc w:val="both"/>
        <w:rPr>
          <w:sz w:val="23"/>
        </w:rPr>
      </w:pPr>
      <w:r>
        <w:rPr>
          <w:spacing w:val="30"/>
          <w:sz w:val="23"/>
        </w:rPr>
        <w:t>疾病管制署. </w:t>
      </w:r>
      <w:r>
        <w:rPr>
          <w:sz w:val="23"/>
        </w:rPr>
        <w:t>CXR</w:t>
      </w:r>
      <w:r>
        <w:rPr>
          <w:spacing w:val="57"/>
          <w:sz w:val="23"/>
        </w:rPr>
        <w:t> </w:t>
      </w:r>
      <w:r>
        <w:rPr>
          <w:sz w:val="23"/>
        </w:rPr>
        <w:t>screening</w:t>
      </w:r>
      <w:r>
        <w:rPr>
          <w:spacing w:val="56"/>
          <w:sz w:val="23"/>
        </w:rPr>
        <w:t> </w:t>
      </w:r>
      <w:r>
        <w:rPr>
          <w:sz w:val="23"/>
        </w:rPr>
        <w:t>at</w:t>
      </w:r>
      <w:r>
        <w:rPr>
          <w:spacing w:val="56"/>
          <w:sz w:val="23"/>
        </w:rPr>
        <w:t> </w:t>
      </w:r>
      <w:r>
        <w:rPr>
          <w:sz w:val="23"/>
        </w:rPr>
        <w:t>MMT</w:t>
      </w:r>
      <w:r>
        <w:rPr>
          <w:spacing w:val="56"/>
          <w:sz w:val="23"/>
        </w:rPr>
        <w:t> </w:t>
      </w:r>
      <w:r>
        <w:rPr>
          <w:sz w:val="23"/>
        </w:rPr>
        <w:t>clinics</w:t>
      </w:r>
      <w:r>
        <w:rPr>
          <w:spacing w:val="57"/>
          <w:sz w:val="23"/>
        </w:rPr>
        <w:t> </w:t>
      </w:r>
      <w:r>
        <w:rPr>
          <w:sz w:val="23"/>
        </w:rPr>
        <w:t>for</w:t>
      </w:r>
      <w:r>
        <w:rPr>
          <w:spacing w:val="55"/>
          <w:sz w:val="23"/>
        </w:rPr>
        <w:t> </w:t>
      </w:r>
      <w:r>
        <w:rPr>
          <w:sz w:val="23"/>
        </w:rPr>
        <w:t>Harm  Reduction</w:t>
      </w:r>
      <w:r>
        <w:rPr>
          <w:spacing w:val="56"/>
          <w:sz w:val="23"/>
        </w:rPr>
        <w:t> </w:t>
      </w:r>
      <w:r>
        <w:rPr>
          <w:sz w:val="23"/>
        </w:rPr>
        <w:t>Program</w:t>
      </w:r>
      <w:r>
        <w:rPr>
          <w:spacing w:val="28"/>
          <w:sz w:val="23"/>
        </w:rPr>
        <w:t> (</w:t>
      </w:r>
      <w:r>
        <w:rPr>
          <w:sz w:val="23"/>
        </w:rPr>
        <w:t>not published).</w:t>
      </w:r>
    </w:p>
    <w:p>
      <w:pPr>
        <w:pStyle w:val="ListParagraph"/>
        <w:numPr>
          <w:ilvl w:val="0"/>
          <w:numId w:val="135"/>
        </w:numPr>
        <w:tabs>
          <w:tab w:pos="1051" w:val="left" w:leader="none"/>
        </w:tabs>
        <w:spacing w:line="216" w:lineRule="auto" w:before="0" w:after="0"/>
        <w:ind w:left="1050" w:right="1313" w:hanging="380"/>
        <w:jc w:val="both"/>
        <w:rPr>
          <w:sz w:val="23"/>
        </w:rPr>
      </w:pPr>
      <w:r>
        <w:rPr>
          <w:sz w:val="23"/>
        </w:rPr>
        <w:t>Lee SSJ, Lin HH, Tsai HC, et al. A Clinical Algorithm to Identify HIV Patients at High Risk</w:t>
      </w:r>
      <w:r>
        <w:rPr>
          <w:spacing w:val="-12"/>
          <w:sz w:val="23"/>
        </w:rPr>
        <w:t> </w:t>
      </w:r>
      <w:r>
        <w:rPr>
          <w:sz w:val="23"/>
        </w:rPr>
        <w:t>for</w:t>
      </w:r>
      <w:r>
        <w:rPr>
          <w:spacing w:val="-11"/>
          <w:sz w:val="23"/>
        </w:rPr>
        <w:t> </w:t>
      </w:r>
      <w:r>
        <w:rPr>
          <w:sz w:val="23"/>
        </w:rPr>
        <w:t>Incident</w:t>
      </w:r>
      <w:r>
        <w:rPr>
          <w:spacing w:val="-12"/>
          <w:sz w:val="23"/>
        </w:rPr>
        <w:t> </w:t>
      </w:r>
      <w:r>
        <w:rPr>
          <w:sz w:val="23"/>
        </w:rPr>
        <w:t>Active</w:t>
      </w:r>
      <w:r>
        <w:rPr>
          <w:spacing w:val="-11"/>
          <w:sz w:val="23"/>
        </w:rPr>
        <w:t> </w:t>
      </w:r>
      <w:r>
        <w:rPr>
          <w:sz w:val="23"/>
        </w:rPr>
        <w:t>Tuberculosis:</w:t>
      </w:r>
      <w:r>
        <w:rPr>
          <w:spacing w:val="-12"/>
          <w:sz w:val="23"/>
        </w:rPr>
        <w:t> </w:t>
      </w:r>
      <w:r>
        <w:rPr>
          <w:sz w:val="23"/>
        </w:rPr>
        <w:t>A</w:t>
      </w:r>
      <w:r>
        <w:rPr>
          <w:spacing w:val="-12"/>
          <w:sz w:val="23"/>
        </w:rPr>
        <w:t> </w:t>
      </w:r>
      <w:r>
        <w:rPr>
          <w:sz w:val="23"/>
        </w:rPr>
        <w:t>Prospective</w:t>
      </w:r>
      <w:r>
        <w:rPr>
          <w:spacing w:val="-12"/>
          <w:sz w:val="23"/>
        </w:rPr>
        <w:t> </w:t>
      </w:r>
      <w:r>
        <w:rPr>
          <w:sz w:val="23"/>
        </w:rPr>
        <w:t>5-Year</w:t>
      </w:r>
      <w:r>
        <w:rPr>
          <w:spacing w:val="-11"/>
          <w:sz w:val="23"/>
        </w:rPr>
        <w:t> </w:t>
      </w:r>
      <w:r>
        <w:rPr>
          <w:sz w:val="23"/>
        </w:rPr>
        <w:t>Cohort</w:t>
      </w:r>
      <w:r>
        <w:rPr>
          <w:spacing w:val="-11"/>
          <w:sz w:val="23"/>
        </w:rPr>
        <w:t> </w:t>
      </w:r>
      <w:r>
        <w:rPr>
          <w:sz w:val="23"/>
        </w:rPr>
        <w:t>Study.</w:t>
      </w:r>
      <w:r>
        <w:rPr>
          <w:spacing w:val="-11"/>
          <w:sz w:val="23"/>
        </w:rPr>
        <w:t> </w:t>
      </w:r>
      <w:r>
        <w:rPr>
          <w:sz w:val="23"/>
        </w:rPr>
        <w:t>PLoS</w:t>
      </w:r>
      <w:r>
        <w:rPr>
          <w:spacing w:val="-12"/>
          <w:sz w:val="23"/>
        </w:rPr>
        <w:t> </w:t>
      </w:r>
      <w:r>
        <w:rPr>
          <w:sz w:val="23"/>
        </w:rPr>
        <w:t>ONE. 2015; 10(8): e0135801.</w:t>
      </w:r>
      <w:r>
        <w:rPr>
          <w:spacing w:val="-4"/>
          <w:sz w:val="23"/>
        </w:rPr>
        <w:t> </w:t>
      </w:r>
      <w:r>
        <w:rPr>
          <w:sz w:val="23"/>
        </w:rPr>
        <w:t>doi:10.1371/journal.pone.0135801</w:t>
      </w:r>
    </w:p>
    <w:p>
      <w:pPr>
        <w:pStyle w:val="ListParagraph"/>
        <w:numPr>
          <w:ilvl w:val="0"/>
          <w:numId w:val="135"/>
        </w:numPr>
        <w:tabs>
          <w:tab w:pos="1051" w:val="left" w:leader="none"/>
        </w:tabs>
        <w:spacing w:line="216" w:lineRule="auto" w:before="0" w:after="0"/>
        <w:ind w:left="1050" w:right="1314" w:hanging="380"/>
        <w:jc w:val="both"/>
        <w:rPr>
          <w:sz w:val="23"/>
        </w:rPr>
      </w:pPr>
      <w:r>
        <w:rPr>
          <w:sz w:val="23"/>
        </w:rPr>
        <w:t>Sun</w:t>
      </w:r>
      <w:r>
        <w:rPr>
          <w:spacing w:val="-8"/>
          <w:sz w:val="23"/>
        </w:rPr>
        <w:t> </w:t>
      </w:r>
      <w:r>
        <w:rPr>
          <w:sz w:val="23"/>
        </w:rPr>
        <w:t>HY,</w:t>
      </w:r>
      <w:r>
        <w:rPr>
          <w:spacing w:val="-8"/>
          <w:sz w:val="23"/>
        </w:rPr>
        <w:t> </w:t>
      </w:r>
      <w:r>
        <w:rPr>
          <w:sz w:val="23"/>
        </w:rPr>
        <w:t>Hsueh</w:t>
      </w:r>
      <w:r>
        <w:rPr>
          <w:spacing w:val="-8"/>
          <w:sz w:val="23"/>
        </w:rPr>
        <w:t> </w:t>
      </w:r>
      <w:r>
        <w:rPr>
          <w:sz w:val="23"/>
        </w:rPr>
        <w:t>PR,</w:t>
      </w:r>
      <w:r>
        <w:rPr>
          <w:spacing w:val="-8"/>
          <w:sz w:val="23"/>
        </w:rPr>
        <w:t> </w:t>
      </w:r>
      <w:r>
        <w:rPr>
          <w:sz w:val="23"/>
        </w:rPr>
        <w:t>Liu</w:t>
      </w:r>
      <w:r>
        <w:rPr>
          <w:spacing w:val="-7"/>
          <w:sz w:val="23"/>
        </w:rPr>
        <w:t> </w:t>
      </w:r>
      <w:r>
        <w:rPr>
          <w:sz w:val="23"/>
        </w:rPr>
        <w:t>WC,</w:t>
      </w:r>
      <w:r>
        <w:rPr>
          <w:spacing w:val="-9"/>
          <w:sz w:val="23"/>
        </w:rPr>
        <w:t> </w:t>
      </w:r>
      <w:r>
        <w:rPr>
          <w:sz w:val="23"/>
        </w:rPr>
        <w:t>et</w:t>
      </w:r>
      <w:r>
        <w:rPr>
          <w:spacing w:val="-7"/>
          <w:sz w:val="23"/>
        </w:rPr>
        <w:t> </w:t>
      </w:r>
      <w:r>
        <w:rPr>
          <w:sz w:val="23"/>
        </w:rPr>
        <w:t>al.</w:t>
      </w:r>
      <w:r>
        <w:rPr>
          <w:spacing w:val="-8"/>
          <w:sz w:val="23"/>
        </w:rPr>
        <w:t> </w:t>
      </w:r>
      <w:r>
        <w:rPr>
          <w:sz w:val="23"/>
        </w:rPr>
        <w:t>Risk</w:t>
      </w:r>
      <w:r>
        <w:rPr>
          <w:spacing w:val="-9"/>
          <w:sz w:val="23"/>
        </w:rPr>
        <w:t> </w:t>
      </w:r>
      <w:r>
        <w:rPr>
          <w:sz w:val="23"/>
        </w:rPr>
        <w:t>of</w:t>
      </w:r>
      <w:r>
        <w:rPr>
          <w:spacing w:val="-7"/>
          <w:sz w:val="23"/>
        </w:rPr>
        <w:t> </w:t>
      </w:r>
      <w:r>
        <w:rPr>
          <w:sz w:val="23"/>
        </w:rPr>
        <w:t>Active</w:t>
      </w:r>
      <w:r>
        <w:rPr>
          <w:spacing w:val="-8"/>
          <w:sz w:val="23"/>
        </w:rPr>
        <w:t> </w:t>
      </w:r>
      <w:r>
        <w:rPr>
          <w:sz w:val="23"/>
        </w:rPr>
        <w:t>Tuberculosis</w:t>
      </w:r>
      <w:r>
        <w:rPr>
          <w:spacing w:val="-8"/>
          <w:sz w:val="23"/>
        </w:rPr>
        <w:t> </w:t>
      </w:r>
      <w:r>
        <w:rPr>
          <w:sz w:val="23"/>
        </w:rPr>
        <w:t>in</w:t>
      </w:r>
      <w:r>
        <w:rPr>
          <w:spacing w:val="-7"/>
          <w:sz w:val="23"/>
        </w:rPr>
        <w:t> </w:t>
      </w:r>
      <w:r>
        <w:rPr>
          <w:sz w:val="23"/>
        </w:rPr>
        <w:t>HIV-Infected</w:t>
      </w:r>
      <w:r>
        <w:rPr>
          <w:spacing w:val="-7"/>
          <w:sz w:val="23"/>
        </w:rPr>
        <w:t> </w:t>
      </w:r>
      <w:r>
        <w:rPr>
          <w:sz w:val="23"/>
        </w:rPr>
        <w:t>Patients in Taiwan with Free Access to HIV Care and a Positive T-Spot.TB Test.PLoS ONE. 2015; 10(5): e0125260.</w:t>
      </w:r>
      <w:r>
        <w:rPr>
          <w:spacing w:val="-3"/>
          <w:sz w:val="23"/>
        </w:rPr>
        <w:t> </w:t>
      </w:r>
      <w:r>
        <w:rPr>
          <w:sz w:val="23"/>
        </w:rPr>
        <w:t>doi:10.1371/journal.pone.0125260</w:t>
      </w:r>
    </w:p>
    <w:p>
      <w:pPr>
        <w:pStyle w:val="ListParagraph"/>
        <w:numPr>
          <w:ilvl w:val="0"/>
          <w:numId w:val="135"/>
        </w:numPr>
        <w:tabs>
          <w:tab w:pos="1051" w:val="left" w:leader="none"/>
        </w:tabs>
        <w:spacing w:line="216" w:lineRule="auto" w:before="0" w:after="0"/>
        <w:ind w:left="1050" w:right="1314" w:hanging="380"/>
        <w:jc w:val="both"/>
        <w:rPr>
          <w:sz w:val="23"/>
        </w:rPr>
      </w:pPr>
      <w:r>
        <w:rPr>
          <w:sz w:val="23"/>
        </w:rPr>
        <w:t>US CDC. Recommendations for use of an isoniazid-rifapentine regimen with direct observation to treat Latent mycobacterium tuberculosis infection. MMWR 2011; 60(48);</w:t>
      </w:r>
      <w:r>
        <w:rPr>
          <w:spacing w:val="-2"/>
          <w:sz w:val="23"/>
        </w:rPr>
        <w:t> </w:t>
      </w:r>
      <w:r>
        <w:rPr>
          <w:sz w:val="23"/>
        </w:rPr>
        <w:t>1650-1653.</w:t>
      </w:r>
    </w:p>
    <w:p>
      <w:pPr>
        <w:pStyle w:val="ListParagraph"/>
        <w:numPr>
          <w:ilvl w:val="0"/>
          <w:numId w:val="135"/>
        </w:numPr>
        <w:tabs>
          <w:tab w:pos="1051" w:val="left" w:leader="none"/>
        </w:tabs>
        <w:spacing w:line="216" w:lineRule="auto" w:before="0" w:after="0"/>
        <w:ind w:left="1016" w:right="1313" w:hanging="346"/>
        <w:jc w:val="left"/>
        <w:rPr>
          <w:sz w:val="23"/>
        </w:rPr>
      </w:pPr>
      <w:r>
        <w:rPr>
          <w:sz w:val="23"/>
        </w:rPr>
        <w:t>Sterling</w:t>
      </w:r>
      <w:r>
        <w:rPr>
          <w:spacing w:val="-13"/>
          <w:sz w:val="23"/>
        </w:rPr>
        <w:t> </w:t>
      </w:r>
      <w:r>
        <w:rPr>
          <w:sz w:val="23"/>
        </w:rPr>
        <w:t>TR,</w:t>
      </w:r>
      <w:r>
        <w:rPr>
          <w:spacing w:val="-14"/>
          <w:sz w:val="23"/>
        </w:rPr>
        <w:t> </w:t>
      </w:r>
      <w:r>
        <w:rPr>
          <w:sz w:val="23"/>
        </w:rPr>
        <w:t>Villarino</w:t>
      </w:r>
      <w:r>
        <w:rPr>
          <w:spacing w:val="-13"/>
          <w:sz w:val="23"/>
        </w:rPr>
        <w:t> </w:t>
      </w:r>
      <w:r>
        <w:rPr>
          <w:sz w:val="23"/>
        </w:rPr>
        <w:t>ME,</w:t>
      </w:r>
      <w:r>
        <w:rPr>
          <w:spacing w:val="-13"/>
          <w:sz w:val="23"/>
        </w:rPr>
        <w:t> </w:t>
      </w:r>
      <w:r>
        <w:rPr>
          <w:sz w:val="23"/>
        </w:rPr>
        <w:t>Borisov</w:t>
      </w:r>
      <w:r>
        <w:rPr>
          <w:spacing w:val="-15"/>
          <w:sz w:val="23"/>
        </w:rPr>
        <w:t> </w:t>
      </w:r>
      <w:r>
        <w:rPr>
          <w:sz w:val="23"/>
        </w:rPr>
        <w:t>AS,</w:t>
      </w:r>
      <w:r>
        <w:rPr>
          <w:spacing w:val="-12"/>
          <w:sz w:val="23"/>
        </w:rPr>
        <w:t> </w:t>
      </w:r>
      <w:r>
        <w:rPr>
          <w:sz w:val="23"/>
        </w:rPr>
        <w:t>et</w:t>
      </w:r>
      <w:r>
        <w:rPr>
          <w:spacing w:val="-13"/>
          <w:sz w:val="23"/>
        </w:rPr>
        <w:t> </w:t>
      </w:r>
      <w:r>
        <w:rPr>
          <w:sz w:val="23"/>
        </w:rPr>
        <w:t>al.</w:t>
      </w:r>
      <w:r>
        <w:rPr>
          <w:spacing w:val="-12"/>
          <w:sz w:val="23"/>
        </w:rPr>
        <w:t> </w:t>
      </w:r>
      <w:r>
        <w:rPr>
          <w:sz w:val="23"/>
        </w:rPr>
        <w:t>Three</w:t>
      </w:r>
      <w:r>
        <w:rPr>
          <w:spacing w:val="-13"/>
          <w:sz w:val="23"/>
        </w:rPr>
        <w:t> </w:t>
      </w:r>
      <w:r>
        <w:rPr>
          <w:sz w:val="23"/>
        </w:rPr>
        <w:t>months</w:t>
      </w:r>
      <w:r>
        <w:rPr>
          <w:spacing w:val="-13"/>
          <w:sz w:val="23"/>
        </w:rPr>
        <w:t> </w:t>
      </w:r>
      <w:r>
        <w:rPr>
          <w:sz w:val="23"/>
        </w:rPr>
        <w:t>of</w:t>
      </w:r>
      <w:r>
        <w:rPr>
          <w:spacing w:val="-13"/>
          <w:sz w:val="23"/>
        </w:rPr>
        <w:t> </w:t>
      </w:r>
      <w:r>
        <w:rPr>
          <w:sz w:val="23"/>
        </w:rPr>
        <w:t>rifapentine</w:t>
      </w:r>
      <w:r>
        <w:rPr>
          <w:spacing w:val="-12"/>
          <w:sz w:val="23"/>
        </w:rPr>
        <w:t> </w:t>
      </w:r>
      <w:r>
        <w:rPr>
          <w:sz w:val="23"/>
        </w:rPr>
        <w:t>and</w:t>
      </w:r>
      <w:r>
        <w:rPr>
          <w:spacing w:val="-14"/>
          <w:sz w:val="23"/>
        </w:rPr>
        <w:t> </w:t>
      </w:r>
      <w:r>
        <w:rPr>
          <w:sz w:val="23"/>
        </w:rPr>
        <w:t>isoniazid for</w:t>
      </w:r>
      <w:r>
        <w:rPr>
          <w:spacing w:val="-15"/>
          <w:sz w:val="23"/>
        </w:rPr>
        <w:t> </w:t>
      </w:r>
      <w:r>
        <w:rPr>
          <w:sz w:val="23"/>
        </w:rPr>
        <w:t>latent</w:t>
      </w:r>
      <w:r>
        <w:rPr>
          <w:spacing w:val="-13"/>
          <w:sz w:val="23"/>
        </w:rPr>
        <w:t> </w:t>
      </w:r>
      <w:r>
        <w:rPr>
          <w:sz w:val="23"/>
        </w:rPr>
        <w:t>tuberculosis</w:t>
      </w:r>
      <w:r>
        <w:rPr>
          <w:spacing w:val="-13"/>
          <w:sz w:val="23"/>
        </w:rPr>
        <w:t> </w:t>
      </w:r>
      <w:r>
        <w:rPr>
          <w:sz w:val="23"/>
        </w:rPr>
        <w:t>infection.</w:t>
      </w:r>
      <w:r>
        <w:rPr>
          <w:spacing w:val="-16"/>
          <w:sz w:val="23"/>
        </w:rPr>
        <w:t> </w:t>
      </w:r>
      <w:r>
        <w:rPr>
          <w:sz w:val="23"/>
        </w:rPr>
        <w:t>NEJM</w:t>
      </w:r>
      <w:r>
        <w:rPr>
          <w:spacing w:val="-14"/>
          <w:sz w:val="23"/>
        </w:rPr>
        <w:t> </w:t>
      </w:r>
      <w:r>
        <w:rPr>
          <w:sz w:val="23"/>
        </w:rPr>
        <w:t>2011;</w:t>
      </w:r>
      <w:r>
        <w:rPr>
          <w:spacing w:val="-14"/>
          <w:sz w:val="23"/>
        </w:rPr>
        <w:t> </w:t>
      </w:r>
      <w:r>
        <w:rPr>
          <w:sz w:val="23"/>
        </w:rPr>
        <w:t>365:</w:t>
      </w:r>
      <w:r>
        <w:rPr>
          <w:spacing w:val="-14"/>
          <w:sz w:val="23"/>
        </w:rPr>
        <w:t> </w:t>
      </w:r>
      <w:r>
        <w:rPr>
          <w:sz w:val="23"/>
        </w:rPr>
        <w:t>2155-216</w:t>
      </w:r>
      <w:r>
        <w:rPr>
          <w:spacing w:val="-14"/>
          <w:sz w:val="23"/>
        </w:rPr>
        <w:t> </w:t>
      </w:r>
      <w:r>
        <w:rPr>
          <w:sz w:val="23"/>
        </w:rPr>
        <w:t>supplementary</w:t>
      </w:r>
      <w:r>
        <w:rPr>
          <w:spacing w:val="-14"/>
          <w:sz w:val="23"/>
        </w:rPr>
        <w:t> </w:t>
      </w:r>
      <w:r>
        <w:rPr>
          <w:sz w:val="23"/>
        </w:rPr>
        <w:t>material accessed on:</w:t>
      </w:r>
      <w:r>
        <w:rPr>
          <w:sz w:val="23"/>
          <w:u w:val="single"/>
        </w:rPr>
        <w:t> </w:t>
      </w:r>
      <w:hyperlink r:id="rId68">
        <w:r>
          <w:rPr>
            <w:spacing w:val="2"/>
            <w:sz w:val="23"/>
            <w:u w:val="single"/>
          </w:rPr>
          <w:t>http://www.nejm.org/doi/suppl/10.1056/NEJMoa1104875/suppl_file/</w:t>
        </w:r>
      </w:hyperlink>
      <w:r>
        <w:rPr>
          <w:spacing w:val="2"/>
          <w:sz w:val="23"/>
          <w:u w:val="single"/>
        </w:rPr>
        <w:t>nejmoa11 </w:t>
      </w:r>
      <w:r>
        <w:rPr>
          <w:sz w:val="23"/>
          <w:u w:val="single"/>
        </w:rPr>
        <w:t>04875_protocol.pdf</w:t>
      </w:r>
      <w:r>
        <w:rPr>
          <w:sz w:val="23"/>
        </w:rPr>
        <w:t>, online version accessed on</w:t>
      </w:r>
      <w:r>
        <w:rPr>
          <w:spacing w:val="-5"/>
          <w:sz w:val="23"/>
        </w:rPr>
        <w:t> </w:t>
      </w:r>
      <w:r>
        <w:rPr>
          <w:sz w:val="23"/>
        </w:rPr>
        <w:t>2017-01-09.</w:t>
      </w:r>
    </w:p>
    <w:p>
      <w:pPr>
        <w:pStyle w:val="ListParagraph"/>
        <w:numPr>
          <w:ilvl w:val="0"/>
          <w:numId w:val="135"/>
        </w:numPr>
        <w:tabs>
          <w:tab w:pos="1051" w:val="left" w:leader="none"/>
          <w:tab w:pos="8923" w:val="left" w:leader="none"/>
        </w:tabs>
        <w:spacing w:line="216" w:lineRule="auto" w:before="0" w:after="0"/>
        <w:ind w:left="1050" w:right="1313" w:hanging="380"/>
        <w:jc w:val="left"/>
        <w:rPr>
          <w:sz w:val="23"/>
        </w:rPr>
      </w:pPr>
      <w:r>
        <w:rPr>
          <w:sz w:val="23"/>
        </w:rPr>
        <w:t>Sterling</w:t>
      </w:r>
      <w:r>
        <w:rPr>
          <w:spacing w:val="-3"/>
          <w:sz w:val="23"/>
        </w:rPr>
        <w:t> </w:t>
      </w:r>
      <w:r>
        <w:rPr>
          <w:sz w:val="23"/>
        </w:rPr>
        <w:t>TR,</w:t>
      </w:r>
      <w:r>
        <w:rPr>
          <w:spacing w:val="-5"/>
          <w:sz w:val="23"/>
        </w:rPr>
        <w:t> </w:t>
      </w:r>
      <w:r>
        <w:rPr>
          <w:sz w:val="23"/>
        </w:rPr>
        <w:t>Moro</w:t>
      </w:r>
      <w:r>
        <w:rPr>
          <w:spacing w:val="-4"/>
          <w:sz w:val="23"/>
        </w:rPr>
        <w:t> </w:t>
      </w:r>
      <w:r>
        <w:rPr>
          <w:sz w:val="23"/>
        </w:rPr>
        <w:t>RN,</w:t>
      </w:r>
      <w:r>
        <w:rPr>
          <w:spacing w:val="-4"/>
          <w:sz w:val="23"/>
        </w:rPr>
        <w:t> </w:t>
      </w:r>
      <w:r>
        <w:rPr>
          <w:sz w:val="23"/>
        </w:rPr>
        <w:t>Borisov</w:t>
      </w:r>
      <w:r>
        <w:rPr>
          <w:spacing w:val="-4"/>
          <w:sz w:val="23"/>
        </w:rPr>
        <w:t> </w:t>
      </w:r>
      <w:r>
        <w:rPr>
          <w:sz w:val="23"/>
        </w:rPr>
        <w:t>AS,</w:t>
      </w:r>
      <w:r>
        <w:rPr>
          <w:spacing w:val="-5"/>
          <w:sz w:val="23"/>
        </w:rPr>
        <w:t> </w:t>
      </w:r>
      <w:r>
        <w:rPr>
          <w:sz w:val="23"/>
        </w:rPr>
        <w:t>et</w:t>
      </w:r>
      <w:r>
        <w:rPr>
          <w:spacing w:val="-3"/>
          <w:sz w:val="23"/>
        </w:rPr>
        <w:t> </w:t>
      </w:r>
      <w:r>
        <w:rPr>
          <w:sz w:val="23"/>
        </w:rPr>
        <w:t>al.</w:t>
      </w:r>
      <w:r>
        <w:rPr>
          <w:spacing w:val="-4"/>
          <w:sz w:val="23"/>
        </w:rPr>
        <w:t> </w:t>
      </w:r>
      <w:r>
        <w:rPr>
          <w:sz w:val="23"/>
        </w:rPr>
        <w:t>Flu-like</w:t>
      </w:r>
      <w:r>
        <w:rPr>
          <w:spacing w:val="-4"/>
          <w:sz w:val="23"/>
        </w:rPr>
        <w:t> </w:t>
      </w:r>
      <w:r>
        <w:rPr>
          <w:sz w:val="23"/>
        </w:rPr>
        <w:t>and</w:t>
      </w:r>
      <w:r>
        <w:rPr>
          <w:spacing w:val="-3"/>
          <w:sz w:val="23"/>
        </w:rPr>
        <w:t> </w:t>
      </w:r>
      <w:r>
        <w:rPr>
          <w:sz w:val="23"/>
        </w:rPr>
        <w:t>other</w:t>
      </w:r>
      <w:r>
        <w:rPr>
          <w:spacing w:val="-4"/>
          <w:sz w:val="23"/>
        </w:rPr>
        <w:t> </w:t>
      </w:r>
      <w:r>
        <w:rPr>
          <w:sz w:val="23"/>
        </w:rPr>
        <w:t>systemic</w:t>
      </w:r>
      <w:r>
        <w:rPr>
          <w:spacing w:val="-4"/>
          <w:sz w:val="23"/>
        </w:rPr>
        <w:t> </w:t>
      </w:r>
      <w:r>
        <w:rPr>
          <w:sz w:val="23"/>
        </w:rPr>
        <w:t>drug</w:t>
        <w:tab/>
      </w:r>
      <w:r>
        <w:rPr>
          <w:spacing w:val="-3"/>
          <w:sz w:val="23"/>
        </w:rPr>
        <w:t>reactions </w:t>
      </w:r>
      <w:r>
        <w:rPr>
          <w:sz w:val="23"/>
        </w:rPr>
        <w:t>among</w:t>
      </w:r>
      <w:r>
        <w:rPr>
          <w:spacing w:val="33"/>
          <w:sz w:val="23"/>
        </w:rPr>
        <w:t> </w:t>
      </w:r>
      <w:r>
        <w:rPr>
          <w:sz w:val="23"/>
        </w:rPr>
        <w:t>persons</w:t>
      </w:r>
      <w:r>
        <w:rPr>
          <w:spacing w:val="34"/>
          <w:sz w:val="23"/>
        </w:rPr>
        <w:t> </w:t>
      </w:r>
      <w:r>
        <w:rPr>
          <w:sz w:val="23"/>
        </w:rPr>
        <w:t>receiving</w:t>
      </w:r>
      <w:r>
        <w:rPr>
          <w:spacing w:val="32"/>
          <w:sz w:val="23"/>
        </w:rPr>
        <w:t> </w:t>
      </w:r>
      <w:r>
        <w:rPr>
          <w:sz w:val="23"/>
        </w:rPr>
        <w:t>weekly</w:t>
      </w:r>
      <w:r>
        <w:rPr>
          <w:spacing w:val="32"/>
          <w:sz w:val="23"/>
        </w:rPr>
        <w:t> </w:t>
      </w:r>
      <w:r>
        <w:rPr>
          <w:sz w:val="23"/>
        </w:rPr>
        <w:t>rifapentine</w:t>
      </w:r>
      <w:r>
        <w:rPr>
          <w:spacing w:val="33"/>
          <w:sz w:val="23"/>
        </w:rPr>
        <w:t> </w:t>
      </w:r>
      <w:r>
        <w:rPr>
          <w:sz w:val="23"/>
        </w:rPr>
        <w:t>plus</w:t>
      </w:r>
      <w:r>
        <w:rPr>
          <w:spacing w:val="35"/>
          <w:sz w:val="23"/>
        </w:rPr>
        <w:t> </w:t>
      </w:r>
      <w:r>
        <w:rPr>
          <w:sz w:val="23"/>
        </w:rPr>
        <w:t>isoniazid</w:t>
      </w:r>
      <w:r>
        <w:rPr>
          <w:spacing w:val="33"/>
          <w:sz w:val="23"/>
        </w:rPr>
        <w:t> </w:t>
      </w:r>
      <w:r>
        <w:rPr>
          <w:sz w:val="23"/>
        </w:rPr>
        <w:t>or</w:t>
      </w:r>
      <w:r>
        <w:rPr>
          <w:spacing w:val="33"/>
          <w:sz w:val="23"/>
        </w:rPr>
        <w:t> </w:t>
      </w:r>
      <w:r>
        <w:rPr>
          <w:sz w:val="23"/>
        </w:rPr>
        <w:t>daily</w:t>
      </w:r>
      <w:r>
        <w:rPr>
          <w:spacing w:val="32"/>
          <w:sz w:val="23"/>
        </w:rPr>
        <w:t> </w:t>
      </w:r>
      <w:r>
        <w:rPr>
          <w:sz w:val="23"/>
        </w:rPr>
        <w:t>isoniazid</w:t>
      </w:r>
      <w:r>
        <w:rPr>
          <w:spacing w:val="33"/>
          <w:sz w:val="23"/>
        </w:rPr>
        <w:t> </w:t>
      </w:r>
      <w:r>
        <w:rPr>
          <w:sz w:val="23"/>
        </w:rPr>
        <w:t>for</w:t>
      </w:r>
    </w:p>
    <w:p>
      <w:pPr>
        <w:spacing w:after="0" w:line="216" w:lineRule="auto"/>
        <w:jc w:val="left"/>
        <w:rPr>
          <w:sz w:val="23"/>
        </w:rPr>
        <w:sectPr>
          <w:footerReference w:type="default" r:id="rId66"/>
          <w:pgSz w:w="12250" w:h="17190"/>
          <w:pgMar w:footer="734" w:header="0" w:top="1440" w:bottom="920" w:left="1020" w:right="0"/>
          <w:pgNumType w:start="149"/>
        </w:sectPr>
      </w:pPr>
    </w:p>
    <w:p>
      <w:pPr>
        <w:spacing w:line="216" w:lineRule="auto" w:before="42"/>
        <w:ind w:left="1049" w:right="1314" w:firstLine="0"/>
        <w:jc w:val="both"/>
        <w:rPr>
          <w:sz w:val="23"/>
        </w:rPr>
      </w:pPr>
      <w:r>
        <w:rPr>
          <w:sz w:val="23"/>
        </w:rPr>
        <w:t>treatment of latent tuberculosis infection in the PREVENT Tuberculosis study. Clin Infect Dis 2015; 61(4): 527-35</w:t>
      </w:r>
    </w:p>
    <w:p>
      <w:pPr>
        <w:pStyle w:val="ListParagraph"/>
        <w:numPr>
          <w:ilvl w:val="0"/>
          <w:numId w:val="135"/>
        </w:numPr>
        <w:tabs>
          <w:tab w:pos="1051" w:val="left" w:leader="none"/>
        </w:tabs>
        <w:spacing w:line="216" w:lineRule="auto" w:before="0" w:after="0"/>
        <w:ind w:left="1050" w:right="1308" w:hanging="380"/>
        <w:jc w:val="both"/>
        <w:rPr>
          <w:sz w:val="23"/>
        </w:rPr>
      </w:pPr>
      <w:r>
        <w:rPr>
          <w:spacing w:val="3"/>
          <w:sz w:val="23"/>
        </w:rPr>
        <w:t>疾病管制署科技計畫報告. 研究何種潛伏結核感染的治療較為安全且可達成--臺灣的多</w:t>
      </w:r>
      <w:r>
        <w:rPr>
          <w:spacing w:val="-1"/>
          <w:sz w:val="23"/>
        </w:rPr>
        <w:t>中心隨機分派研究, </w:t>
      </w:r>
      <w:r>
        <w:rPr>
          <w:sz w:val="23"/>
        </w:rPr>
        <w:t>2014-2016.</w:t>
      </w:r>
    </w:p>
    <w:p>
      <w:pPr>
        <w:pStyle w:val="ListParagraph"/>
        <w:numPr>
          <w:ilvl w:val="0"/>
          <w:numId w:val="135"/>
        </w:numPr>
        <w:tabs>
          <w:tab w:pos="1041" w:val="left" w:leader="none"/>
        </w:tabs>
        <w:spacing w:line="216" w:lineRule="auto" w:before="0" w:after="0"/>
        <w:ind w:left="1040" w:right="1312" w:hanging="370"/>
        <w:jc w:val="both"/>
        <w:rPr>
          <w:sz w:val="23"/>
        </w:rPr>
      </w:pPr>
      <w:r>
        <w:rPr>
          <w:spacing w:val="-4"/>
          <w:sz w:val="23"/>
        </w:rPr>
        <w:t>Huang </w:t>
      </w:r>
      <w:r>
        <w:rPr>
          <w:spacing w:val="-3"/>
          <w:sz w:val="23"/>
        </w:rPr>
        <w:t>YW, Yang SF, Yeh </w:t>
      </w:r>
      <w:r>
        <w:rPr>
          <w:sz w:val="23"/>
        </w:rPr>
        <w:t>YP, et </w:t>
      </w:r>
      <w:r>
        <w:rPr>
          <w:spacing w:val="-3"/>
          <w:sz w:val="23"/>
        </w:rPr>
        <w:t>al. </w:t>
      </w:r>
      <w:r>
        <w:rPr>
          <w:spacing w:val="-4"/>
          <w:sz w:val="23"/>
        </w:rPr>
        <w:t>Impacts </w:t>
      </w:r>
      <w:r>
        <w:rPr>
          <w:sz w:val="23"/>
        </w:rPr>
        <w:t>of </w:t>
      </w:r>
      <w:r>
        <w:rPr>
          <w:spacing w:val="-4"/>
          <w:sz w:val="23"/>
        </w:rPr>
        <w:t>12-dose regimen </w:t>
      </w:r>
      <w:r>
        <w:rPr>
          <w:spacing w:val="-3"/>
          <w:sz w:val="23"/>
        </w:rPr>
        <w:t>for </w:t>
      </w:r>
      <w:r>
        <w:rPr>
          <w:spacing w:val="-4"/>
          <w:sz w:val="23"/>
        </w:rPr>
        <w:t>latent tuberculosis </w:t>
      </w:r>
      <w:r>
        <w:rPr>
          <w:sz w:val="23"/>
        </w:rPr>
        <w:t>infection: Treatment completion rate and cost-effectiveness in </w:t>
      </w:r>
      <w:r>
        <w:rPr>
          <w:spacing w:val="-3"/>
          <w:sz w:val="23"/>
        </w:rPr>
        <w:t>Taiwan. Medicine (Baltimore) 2016; 95(34): e4126. doi:10.1097/MD.0000000000004126</w:t>
      </w:r>
    </w:p>
    <w:p>
      <w:pPr>
        <w:pStyle w:val="ListParagraph"/>
        <w:numPr>
          <w:ilvl w:val="0"/>
          <w:numId w:val="135"/>
        </w:numPr>
        <w:tabs>
          <w:tab w:pos="1051" w:val="left" w:leader="none"/>
        </w:tabs>
        <w:spacing w:line="216" w:lineRule="auto" w:before="0" w:after="0"/>
        <w:ind w:left="1050" w:right="1315" w:hanging="380"/>
        <w:jc w:val="both"/>
        <w:rPr>
          <w:sz w:val="23"/>
        </w:rPr>
      </w:pPr>
      <w:r>
        <w:rPr>
          <w:sz w:val="23"/>
        </w:rPr>
        <w:t>Villarino ME, Scott NA, Weis SE, et al. International Maternal Pediatric and Adolescents AIDS Clinical Trials Group; Tuberculosis Trials Consortium. Treatment for preventing tuberculosis in children and adolescents: a randomized clinical trial of</w:t>
      </w:r>
      <w:r>
        <w:rPr>
          <w:spacing w:val="-14"/>
          <w:sz w:val="23"/>
        </w:rPr>
        <w:t> </w:t>
      </w:r>
      <w:r>
        <w:rPr>
          <w:sz w:val="23"/>
        </w:rPr>
        <w:t>a</w:t>
      </w:r>
      <w:r>
        <w:rPr>
          <w:spacing w:val="-15"/>
          <w:sz w:val="23"/>
        </w:rPr>
        <w:t> </w:t>
      </w:r>
      <w:r>
        <w:rPr>
          <w:sz w:val="23"/>
        </w:rPr>
        <w:t>3-month,</w:t>
      </w:r>
      <w:r>
        <w:rPr>
          <w:spacing w:val="-14"/>
          <w:sz w:val="23"/>
        </w:rPr>
        <w:t> </w:t>
      </w:r>
      <w:r>
        <w:rPr>
          <w:sz w:val="23"/>
        </w:rPr>
        <w:t>12-dose</w:t>
      </w:r>
      <w:r>
        <w:rPr>
          <w:spacing w:val="-16"/>
          <w:sz w:val="23"/>
        </w:rPr>
        <w:t> </w:t>
      </w:r>
      <w:r>
        <w:rPr>
          <w:sz w:val="23"/>
        </w:rPr>
        <w:t>regimen</w:t>
      </w:r>
      <w:r>
        <w:rPr>
          <w:spacing w:val="-13"/>
          <w:sz w:val="23"/>
        </w:rPr>
        <w:t> </w:t>
      </w:r>
      <w:r>
        <w:rPr>
          <w:sz w:val="23"/>
        </w:rPr>
        <w:t>of</w:t>
      </w:r>
      <w:r>
        <w:rPr>
          <w:spacing w:val="-15"/>
          <w:sz w:val="23"/>
        </w:rPr>
        <w:t> </w:t>
      </w:r>
      <w:r>
        <w:rPr>
          <w:sz w:val="23"/>
        </w:rPr>
        <w:t>a</w:t>
      </w:r>
      <w:r>
        <w:rPr>
          <w:spacing w:val="-13"/>
          <w:sz w:val="23"/>
        </w:rPr>
        <w:t> </w:t>
      </w:r>
      <w:r>
        <w:rPr>
          <w:sz w:val="23"/>
        </w:rPr>
        <w:t>combination</w:t>
      </w:r>
      <w:r>
        <w:rPr>
          <w:spacing w:val="-14"/>
          <w:sz w:val="23"/>
        </w:rPr>
        <w:t> </w:t>
      </w:r>
      <w:r>
        <w:rPr>
          <w:sz w:val="23"/>
        </w:rPr>
        <w:t>of</w:t>
      </w:r>
      <w:r>
        <w:rPr>
          <w:spacing w:val="-13"/>
          <w:sz w:val="23"/>
        </w:rPr>
        <w:t> </w:t>
      </w:r>
      <w:r>
        <w:rPr>
          <w:sz w:val="23"/>
        </w:rPr>
        <w:t>rifapentine</w:t>
      </w:r>
      <w:r>
        <w:rPr>
          <w:spacing w:val="-15"/>
          <w:sz w:val="23"/>
        </w:rPr>
        <w:t> </w:t>
      </w:r>
      <w:r>
        <w:rPr>
          <w:sz w:val="23"/>
        </w:rPr>
        <w:t>and</w:t>
      </w:r>
      <w:r>
        <w:rPr>
          <w:spacing w:val="-13"/>
          <w:sz w:val="23"/>
        </w:rPr>
        <w:t> </w:t>
      </w:r>
      <w:r>
        <w:rPr>
          <w:sz w:val="23"/>
        </w:rPr>
        <w:t>isoniazid.</w:t>
      </w:r>
      <w:r>
        <w:rPr>
          <w:spacing w:val="-16"/>
          <w:sz w:val="23"/>
        </w:rPr>
        <w:t> </w:t>
      </w:r>
      <w:r>
        <w:rPr>
          <w:sz w:val="23"/>
        </w:rPr>
        <w:t>JAMA Pediatr. 2015;</w:t>
      </w:r>
      <w:r>
        <w:rPr>
          <w:spacing w:val="-3"/>
          <w:sz w:val="23"/>
        </w:rPr>
        <w:t> </w:t>
      </w:r>
      <w:r>
        <w:rPr>
          <w:sz w:val="23"/>
        </w:rPr>
        <w:t>169(3):247-55.</w:t>
      </w:r>
    </w:p>
    <w:p>
      <w:pPr>
        <w:pStyle w:val="ListParagraph"/>
        <w:numPr>
          <w:ilvl w:val="0"/>
          <w:numId w:val="135"/>
        </w:numPr>
        <w:tabs>
          <w:tab w:pos="1051" w:val="left" w:leader="none"/>
        </w:tabs>
        <w:spacing w:line="216" w:lineRule="auto" w:before="0" w:after="0"/>
        <w:ind w:left="1050" w:right="1316" w:hanging="380"/>
        <w:jc w:val="both"/>
        <w:rPr>
          <w:sz w:val="23"/>
        </w:rPr>
      </w:pPr>
      <w:r>
        <w:rPr>
          <w:sz w:val="23"/>
        </w:rPr>
        <w:t>Stennis NL, Burzynski JN, Herbert C, et al. Treatment for tuberculosis infection with 3 Months of isoniazid and rifapentine in New York City health department clinics. Clin Infect Dis 2016; 62 (1):</w:t>
      </w:r>
      <w:r>
        <w:rPr>
          <w:spacing w:val="-6"/>
          <w:sz w:val="23"/>
        </w:rPr>
        <w:t> </w:t>
      </w:r>
      <w:r>
        <w:rPr>
          <w:sz w:val="23"/>
        </w:rPr>
        <w:t>53-9.</w:t>
      </w:r>
    </w:p>
    <w:p>
      <w:pPr>
        <w:pStyle w:val="ListParagraph"/>
        <w:numPr>
          <w:ilvl w:val="0"/>
          <w:numId w:val="135"/>
        </w:numPr>
        <w:tabs>
          <w:tab w:pos="1051" w:val="left" w:leader="none"/>
        </w:tabs>
        <w:spacing w:line="216" w:lineRule="auto" w:before="0" w:after="0"/>
        <w:ind w:left="1050" w:right="1315" w:hanging="380"/>
        <w:jc w:val="both"/>
        <w:rPr>
          <w:sz w:val="23"/>
        </w:rPr>
      </w:pPr>
      <w:r>
        <w:rPr>
          <w:sz w:val="23"/>
        </w:rPr>
        <w:t>Weiner M, Savic RM, Kenzie WR, Rifapentine Pharmacokinetics and Tolerability in Children</w:t>
      </w:r>
      <w:r>
        <w:rPr>
          <w:spacing w:val="-7"/>
          <w:sz w:val="23"/>
        </w:rPr>
        <w:t> </w:t>
      </w:r>
      <w:r>
        <w:rPr>
          <w:sz w:val="23"/>
        </w:rPr>
        <w:t>and</w:t>
      </w:r>
      <w:r>
        <w:rPr>
          <w:spacing w:val="-6"/>
          <w:sz w:val="23"/>
        </w:rPr>
        <w:t> </w:t>
      </w:r>
      <w:r>
        <w:rPr>
          <w:sz w:val="23"/>
        </w:rPr>
        <w:t>Adults</w:t>
      </w:r>
      <w:r>
        <w:rPr>
          <w:spacing w:val="-7"/>
          <w:sz w:val="23"/>
        </w:rPr>
        <w:t> </w:t>
      </w:r>
      <w:r>
        <w:rPr>
          <w:sz w:val="23"/>
        </w:rPr>
        <w:t>Treated</w:t>
      </w:r>
      <w:r>
        <w:rPr>
          <w:spacing w:val="-6"/>
          <w:sz w:val="23"/>
        </w:rPr>
        <w:t> </w:t>
      </w:r>
      <w:r>
        <w:rPr>
          <w:sz w:val="23"/>
        </w:rPr>
        <w:t>Once</w:t>
      </w:r>
      <w:r>
        <w:rPr>
          <w:spacing w:val="-7"/>
          <w:sz w:val="23"/>
        </w:rPr>
        <w:t> </w:t>
      </w:r>
      <w:r>
        <w:rPr>
          <w:sz w:val="23"/>
        </w:rPr>
        <w:t>Weekly</w:t>
      </w:r>
      <w:r>
        <w:rPr>
          <w:spacing w:val="-5"/>
          <w:sz w:val="23"/>
        </w:rPr>
        <w:t> </w:t>
      </w:r>
      <w:r>
        <w:rPr>
          <w:sz w:val="23"/>
        </w:rPr>
        <w:t>with</w:t>
      </w:r>
      <w:r>
        <w:rPr>
          <w:spacing w:val="-6"/>
          <w:sz w:val="23"/>
        </w:rPr>
        <w:t> </w:t>
      </w:r>
      <w:r>
        <w:rPr>
          <w:sz w:val="23"/>
        </w:rPr>
        <w:t>Rifapentine</w:t>
      </w:r>
      <w:r>
        <w:rPr>
          <w:spacing w:val="-6"/>
          <w:sz w:val="23"/>
        </w:rPr>
        <w:t> </w:t>
      </w:r>
      <w:r>
        <w:rPr>
          <w:sz w:val="23"/>
        </w:rPr>
        <w:t>and</w:t>
      </w:r>
      <w:r>
        <w:rPr>
          <w:spacing w:val="-6"/>
          <w:sz w:val="23"/>
        </w:rPr>
        <w:t> </w:t>
      </w:r>
      <w:r>
        <w:rPr>
          <w:sz w:val="23"/>
        </w:rPr>
        <w:t>Isoniazid</w:t>
      </w:r>
      <w:r>
        <w:rPr>
          <w:spacing w:val="-7"/>
          <w:sz w:val="23"/>
        </w:rPr>
        <w:t> </w:t>
      </w:r>
      <w:r>
        <w:rPr>
          <w:sz w:val="23"/>
        </w:rPr>
        <w:t>for</w:t>
      </w:r>
      <w:r>
        <w:rPr>
          <w:spacing w:val="-7"/>
          <w:sz w:val="23"/>
        </w:rPr>
        <w:t> </w:t>
      </w:r>
      <w:r>
        <w:rPr>
          <w:sz w:val="23"/>
        </w:rPr>
        <w:t>Latent Tuberculosis Infection. J Pediatric Infect Dis Soc 2014; 3(2):</w:t>
      </w:r>
      <w:r>
        <w:rPr>
          <w:spacing w:val="-12"/>
          <w:sz w:val="23"/>
        </w:rPr>
        <w:t> </w:t>
      </w:r>
      <w:r>
        <w:rPr>
          <w:sz w:val="23"/>
        </w:rPr>
        <w:t>132-45.</w:t>
      </w:r>
    </w:p>
    <w:p>
      <w:pPr>
        <w:pStyle w:val="ListParagraph"/>
        <w:numPr>
          <w:ilvl w:val="0"/>
          <w:numId w:val="135"/>
        </w:numPr>
        <w:tabs>
          <w:tab w:pos="1051" w:val="left" w:leader="none"/>
        </w:tabs>
        <w:spacing w:line="216" w:lineRule="auto" w:before="0" w:after="0"/>
        <w:ind w:left="1049" w:right="1313" w:hanging="378"/>
        <w:jc w:val="left"/>
        <w:rPr>
          <w:sz w:val="23"/>
        </w:rPr>
      </w:pPr>
      <w:r>
        <w:rPr>
          <w:sz w:val="23"/>
        </w:rPr>
        <w:t>Ho C. Implementing shorter LTBI treatment regimens in low-incidence settings: lessons learned from 3HP post-marketing surveillance. IJTLD 2015; 19 (12) supplement 2. S53. Accessed:</w:t>
      </w:r>
      <w:hyperlink r:id="rId69">
        <w:r>
          <w:rPr>
            <w:sz w:val="23"/>
          </w:rPr>
          <w:t> </w:t>
        </w:r>
        <w:r>
          <w:rPr>
            <w:spacing w:val="-3"/>
            <w:sz w:val="23"/>
          </w:rPr>
          <w:t>http://capetown.worldlunghealth.org/Abstract_Book_2015-Web.pdf, </w:t>
        </w:r>
      </w:hyperlink>
      <w:r>
        <w:rPr>
          <w:spacing w:val="-3"/>
          <w:sz w:val="23"/>
        </w:rPr>
        <w:t>online version </w:t>
      </w:r>
      <w:r>
        <w:rPr>
          <w:sz w:val="23"/>
        </w:rPr>
        <w:t>accessed on</w:t>
      </w:r>
      <w:r>
        <w:rPr>
          <w:spacing w:val="-1"/>
          <w:sz w:val="23"/>
        </w:rPr>
        <w:t> </w:t>
      </w:r>
      <w:r>
        <w:rPr>
          <w:sz w:val="23"/>
        </w:rPr>
        <w:t>2017-01-09.</w:t>
      </w:r>
    </w:p>
    <w:p>
      <w:pPr>
        <w:pStyle w:val="ListParagraph"/>
        <w:numPr>
          <w:ilvl w:val="0"/>
          <w:numId w:val="135"/>
        </w:numPr>
        <w:tabs>
          <w:tab w:pos="1051" w:val="left" w:leader="none"/>
        </w:tabs>
        <w:spacing w:line="216" w:lineRule="auto" w:before="0" w:after="0"/>
        <w:ind w:left="1050" w:right="1317" w:hanging="380"/>
        <w:jc w:val="left"/>
        <w:rPr>
          <w:sz w:val="23"/>
        </w:rPr>
      </w:pPr>
      <w:r>
        <w:rPr>
          <w:sz w:val="23"/>
        </w:rPr>
        <w:t>Peloquin CA, Durbin D, Childs J, et al. Stability of antituberculosis drugs mixed in food. Clin Infect Dis. 2007; 45(4):</w:t>
      </w:r>
      <w:r>
        <w:rPr>
          <w:spacing w:val="-5"/>
          <w:sz w:val="23"/>
        </w:rPr>
        <w:t> </w:t>
      </w:r>
      <w:r>
        <w:rPr>
          <w:sz w:val="23"/>
        </w:rPr>
        <w:t>521.</w:t>
      </w:r>
    </w:p>
    <w:p>
      <w:pPr>
        <w:pStyle w:val="ListParagraph"/>
        <w:numPr>
          <w:ilvl w:val="0"/>
          <w:numId w:val="135"/>
        </w:numPr>
        <w:tabs>
          <w:tab w:pos="1051" w:val="left" w:leader="none"/>
        </w:tabs>
        <w:spacing w:line="216" w:lineRule="auto" w:before="0" w:after="0"/>
        <w:ind w:left="1050" w:right="1315" w:hanging="380"/>
        <w:jc w:val="left"/>
        <w:rPr>
          <w:sz w:val="23"/>
        </w:rPr>
      </w:pPr>
      <w:r>
        <w:rPr>
          <w:sz w:val="23"/>
        </w:rPr>
        <w:t>Ling DL, Liaw YP, Lee CY, et al. Contact investigations of tuberculosis in Taiwan. Thoracic Med 2009; 24(Suppl):</w:t>
      </w:r>
      <w:r>
        <w:rPr>
          <w:spacing w:val="-3"/>
          <w:sz w:val="23"/>
        </w:rPr>
        <w:t> </w:t>
      </w:r>
      <w:r>
        <w:rPr>
          <w:sz w:val="23"/>
        </w:rPr>
        <w:t>FB05.</w:t>
      </w:r>
    </w:p>
    <w:p>
      <w:pPr>
        <w:pStyle w:val="ListParagraph"/>
        <w:numPr>
          <w:ilvl w:val="0"/>
          <w:numId w:val="135"/>
        </w:numPr>
        <w:tabs>
          <w:tab w:pos="1051" w:val="left" w:leader="none"/>
        </w:tabs>
        <w:spacing w:line="216" w:lineRule="auto" w:before="0" w:after="0"/>
        <w:ind w:left="1050" w:right="1315" w:hanging="380"/>
        <w:jc w:val="left"/>
        <w:rPr>
          <w:sz w:val="23"/>
        </w:rPr>
      </w:pPr>
      <w:r>
        <w:rPr>
          <w:sz w:val="23"/>
        </w:rPr>
        <w:t>Centers</w:t>
      </w:r>
      <w:r>
        <w:rPr>
          <w:spacing w:val="-16"/>
          <w:sz w:val="23"/>
        </w:rPr>
        <w:t> </w:t>
      </w:r>
      <w:r>
        <w:rPr>
          <w:sz w:val="23"/>
        </w:rPr>
        <w:t>for</w:t>
      </w:r>
      <w:r>
        <w:rPr>
          <w:spacing w:val="-17"/>
          <w:sz w:val="23"/>
        </w:rPr>
        <w:t> </w:t>
      </w:r>
      <w:r>
        <w:rPr>
          <w:sz w:val="23"/>
        </w:rPr>
        <w:t>Disease</w:t>
      </w:r>
      <w:r>
        <w:rPr>
          <w:spacing w:val="-16"/>
          <w:sz w:val="23"/>
        </w:rPr>
        <w:t> </w:t>
      </w:r>
      <w:r>
        <w:rPr>
          <w:sz w:val="23"/>
        </w:rPr>
        <w:t>Control,</w:t>
      </w:r>
      <w:r>
        <w:rPr>
          <w:spacing w:val="-16"/>
          <w:sz w:val="23"/>
        </w:rPr>
        <w:t> </w:t>
      </w:r>
      <w:r>
        <w:rPr>
          <w:sz w:val="23"/>
        </w:rPr>
        <w:t>Department</w:t>
      </w:r>
      <w:r>
        <w:rPr>
          <w:spacing w:val="-17"/>
          <w:sz w:val="23"/>
        </w:rPr>
        <w:t> </w:t>
      </w:r>
      <w:r>
        <w:rPr>
          <w:sz w:val="23"/>
        </w:rPr>
        <w:t>of</w:t>
      </w:r>
      <w:r>
        <w:rPr>
          <w:spacing w:val="-15"/>
          <w:sz w:val="23"/>
        </w:rPr>
        <w:t> </w:t>
      </w:r>
      <w:r>
        <w:rPr>
          <w:sz w:val="23"/>
        </w:rPr>
        <w:t>Health,</w:t>
      </w:r>
      <w:r>
        <w:rPr>
          <w:spacing w:val="-16"/>
          <w:sz w:val="23"/>
        </w:rPr>
        <w:t> </w:t>
      </w:r>
      <w:r>
        <w:rPr>
          <w:sz w:val="23"/>
        </w:rPr>
        <w:t>Taiwan.</w:t>
      </w:r>
      <w:r>
        <w:rPr>
          <w:spacing w:val="-16"/>
          <w:sz w:val="23"/>
        </w:rPr>
        <w:t> </w:t>
      </w:r>
      <w:r>
        <w:rPr>
          <w:sz w:val="23"/>
        </w:rPr>
        <w:t>Manual</w:t>
      </w:r>
      <w:r>
        <w:rPr>
          <w:spacing w:val="-18"/>
          <w:sz w:val="23"/>
        </w:rPr>
        <w:t> </w:t>
      </w:r>
      <w:r>
        <w:rPr>
          <w:sz w:val="23"/>
        </w:rPr>
        <w:t>for</w:t>
      </w:r>
      <w:r>
        <w:rPr>
          <w:spacing w:val="-16"/>
          <w:sz w:val="23"/>
        </w:rPr>
        <w:t> </w:t>
      </w:r>
      <w:r>
        <w:rPr>
          <w:sz w:val="23"/>
        </w:rPr>
        <w:t>Tuberculosis Control. goo.gl/Uq2OnZ, online version accessed on</w:t>
      </w:r>
      <w:r>
        <w:rPr>
          <w:spacing w:val="-8"/>
          <w:sz w:val="23"/>
        </w:rPr>
        <w:t> </w:t>
      </w:r>
      <w:r>
        <w:rPr>
          <w:sz w:val="23"/>
        </w:rPr>
        <w:t>2017-01-09.</w:t>
      </w:r>
    </w:p>
    <w:p>
      <w:pPr>
        <w:pStyle w:val="ListParagraph"/>
        <w:numPr>
          <w:ilvl w:val="0"/>
          <w:numId w:val="135"/>
        </w:numPr>
        <w:tabs>
          <w:tab w:pos="1051" w:val="left" w:leader="none"/>
        </w:tabs>
        <w:spacing w:line="216" w:lineRule="auto" w:before="0" w:after="0"/>
        <w:ind w:left="1050" w:right="1315" w:hanging="380"/>
        <w:jc w:val="left"/>
        <w:rPr>
          <w:sz w:val="23"/>
        </w:rPr>
      </w:pPr>
      <w:r>
        <w:rPr>
          <w:sz w:val="23"/>
        </w:rPr>
        <w:t>CDC, USPHS. Targeted tuberculin testing and treatment of latent tuberculosis infection. MMWR 2000;</w:t>
      </w:r>
      <w:r>
        <w:rPr>
          <w:spacing w:val="-5"/>
          <w:sz w:val="23"/>
        </w:rPr>
        <w:t> </w:t>
      </w:r>
      <w:r>
        <w:rPr>
          <w:sz w:val="23"/>
        </w:rPr>
        <w:t>49:RR-6.</w:t>
      </w:r>
    </w:p>
    <w:p>
      <w:pPr>
        <w:pStyle w:val="ListParagraph"/>
        <w:numPr>
          <w:ilvl w:val="0"/>
          <w:numId w:val="135"/>
        </w:numPr>
        <w:tabs>
          <w:tab w:pos="1051" w:val="left" w:leader="none"/>
        </w:tabs>
        <w:spacing w:line="216" w:lineRule="auto" w:before="0" w:after="0"/>
        <w:ind w:left="1050" w:right="1314" w:hanging="380"/>
        <w:jc w:val="both"/>
        <w:rPr>
          <w:sz w:val="23"/>
        </w:rPr>
      </w:pPr>
      <w:r>
        <w:rPr>
          <w:sz w:val="23"/>
        </w:rPr>
        <w:t>Pediatric Tuberculosis Collaborative Group. Targeted tuberculin skin testing and treatment of latent tuberculosis infection in children and adolescents. Pediatrics 2004; 114:</w:t>
      </w:r>
      <w:r>
        <w:rPr>
          <w:spacing w:val="-2"/>
          <w:sz w:val="23"/>
        </w:rPr>
        <w:t> </w:t>
      </w:r>
      <w:r>
        <w:rPr>
          <w:sz w:val="23"/>
        </w:rPr>
        <w:t>1175–1201.</w:t>
      </w:r>
    </w:p>
    <w:p>
      <w:pPr>
        <w:pStyle w:val="ListParagraph"/>
        <w:numPr>
          <w:ilvl w:val="0"/>
          <w:numId w:val="135"/>
        </w:numPr>
        <w:tabs>
          <w:tab w:pos="1051" w:val="left" w:leader="none"/>
        </w:tabs>
        <w:spacing w:line="216" w:lineRule="auto" w:before="0" w:after="0"/>
        <w:ind w:left="1050" w:right="1314" w:hanging="380"/>
        <w:jc w:val="both"/>
        <w:rPr>
          <w:sz w:val="23"/>
        </w:rPr>
      </w:pPr>
      <w:r>
        <w:rPr>
          <w:sz w:val="23"/>
        </w:rPr>
        <w:t>Menzies D, Pai M,Comstock G. Meta-analysis: new tests for the diagnosis of latent tuberculosis infection:Areas of uncertainty and recommendations for research. Ann Intern Med 2007; 146:</w:t>
      </w:r>
      <w:r>
        <w:rPr>
          <w:spacing w:val="-5"/>
          <w:sz w:val="23"/>
        </w:rPr>
        <w:t> </w:t>
      </w:r>
      <w:r>
        <w:rPr>
          <w:sz w:val="23"/>
        </w:rPr>
        <w:t>340-54.</w:t>
      </w:r>
    </w:p>
    <w:p>
      <w:pPr>
        <w:pStyle w:val="ListParagraph"/>
        <w:numPr>
          <w:ilvl w:val="0"/>
          <w:numId w:val="135"/>
        </w:numPr>
        <w:tabs>
          <w:tab w:pos="1051" w:val="left" w:leader="none"/>
        </w:tabs>
        <w:spacing w:line="390" w:lineRule="exact" w:before="0" w:after="0"/>
        <w:ind w:left="1050" w:right="0" w:hanging="380"/>
        <w:jc w:val="both"/>
        <w:rPr>
          <w:sz w:val="23"/>
        </w:rPr>
      </w:pPr>
      <w:r>
        <w:rPr>
          <w:sz w:val="23"/>
        </w:rPr>
        <w:t>Pai</w:t>
      </w:r>
      <w:r>
        <w:rPr>
          <w:spacing w:val="8"/>
          <w:sz w:val="23"/>
        </w:rPr>
        <w:t> </w:t>
      </w:r>
      <w:r>
        <w:rPr>
          <w:sz w:val="23"/>
        </w:rPr>
        <w:t>M,</w:t>
      </w:r>
      <w:r>
        <w:rPr>
          <w:spacing w:val="8"/>
          <w:sz w:val="23"/>
        </w:rPr>
        <w:t> </w:t>
      </w:r>
      <w:r>
        <w:rPr>
          <w:sz w:val="23"/>
        </w:rPr>
        <w:t>Zwerling</w:t>
      </w:r>
      <w:r>
        <w:rPr>
          <w:spacing w:val="8"/>
          <w:sz w:val="23"/>
        </w:rPr>
        <w:t> </w:t>
      </w:r>
      <w:r>
        <w:rPr>
          <w:sz w:val="23"/>
        </w:rPr>
        <w:t>A,</w:t>
      </w:r>
      <w:r>
        <w:rPr>
          <w:spacing w:val="7"/>
          <w:sz w:val="23"/>
        </w:rPr>
        <w:t> </w:t>
      </w:r>
      <w:r>
        <w:rPr>
          <w:sz w:val="23"/>
        </w:rPr>
        <w:t>Menzies</w:t>
      </w:r>
      <w:r>
        <w:rPr>
          <w:spacing w:val="8"/>
          <w:sz w:val="23"/>
        </w:rPr>
        <w:t> </w:t>
      </w:r>
      <w:r>
        <w:rPr>
          <w:sz w:val="23"/>
        </w:rPr>
        <w:t>D.</w:t>
      </w:r>
      <w:r>
        <w:rPr>
          <w:spacing w:val="8"/>
          <w:sz w:val="23"/>
        </w:rPr>
        <w:t> </w:t>
      </w:r>
      <w:r>
        <w:rPr>
          <w:sz w:val="23"/>
        </w:rPr>
        <w:t>Systematic</w:t>
      </w:r>
      <w:r>
        <w:rPr>
          <w:spacing w:val="9"/>
          <w:sz w:val="23"/>
        </w:rPr>
        <w:t> </w:t>
      </w:r>
      <w:r>
        <w:rPr>
          <w:sz w:val="23"/>
        </w:rPr>
        <w:t>review:</w:t>
      </w:r>
      <w:r>
        <w:rPr>
          <w:spacing w:val="8"/>
          <w:sz w:val="23"/>
        </w:rPr>
        <w:t> </w:t>
      </w:r>
      <w:r>
        <w:rPr>
          <w:sz w:val="23"/>
        </w:rPr>
        <w:t>T-cell-based</w:t>
      </w:r>
      <w:r>
        <w:rPr>
          <w:spacing w:val="9"/>
          <w:sz w:val="23"/>
        </w:rPr>
        <w:t> </w:t>
      </w:r>
      <w:r>
        <w:rPr>
          <w:sz w:val="23"/>
        </w:rPr>
        <w:t>assays</w:t>
      </w:r>
      <w:r>
        <w:rPr>
          <w:spacing w:val="9"/>
          <w:sz w:val="23"/>
        </w:rPr>
        <w:t> </w:t>
      </w:r>
      <w:r>
        <w:rPr>
          <w:sz w:val="23"/>
        </w:rPr>
        <w:t>for</w:t>
      </w:r>
      <w:r>
        <w:rPr>
          <w:spacing w:val="8"/>
          <w:sz w:val="23"/>
        </w:rPr>
        <w:t> </w:t>
      </w:r>
      <w:r>
        <w:rPr>
          <w:sz w:val="23"/>
        </w:rPr>
        <w:t>the</w:t>
      </w:r>
    </w:p>
    <w:p>
      <w:pPr>
        <w:spacing w:after="0" w:line="390" w:lineRule="exact"/>
        <w:jc w:val="both"/>
        <w:rPr>
          <w:sz w:val="23"/>
        </w:rPr>
        <w:sectPr>
          <w:pgSz w:w="12250" w:h="17190"/>
          <w:pgMar w:header="0" w:footer="734" w:top="1460" w:bottom="1020" w:left="1020" w:right="0"/>
        </w:sectPr>
      </w:pPr>
    </w:p>
    <w:p>
      <w:pPr>
        <w:spacing w:line="216" w:lineRule="auto" w:before="42"/>
        <w:ind w:left="1050" w:right="1319" w:firstLine="0"/>
        <w:jc w:val="both"/>
        <w:rPr>
          <w:sz w:val="23"/>
        </w:rPr>
      </w:pPr>
      <w:r>
        <w:rPr/>
        <w:pict>
          <v:group style="position:absolute;margin-left:570.75pt;margin-top:.446084pt;width:41.65pt;height:191.25pt;mso-position-horizontal-relative:page;mso-position-vertical-relative:paragraph;z-index:251869184" coordorigin="11415,9" coordsize="833,3825">
            <v:shape style="position:absolute;left:11415;top:8;width:833;height:3825" coordorigin="11415,9" coordsize="833,3825" path="m12242,9l11580,9,11516,22,11463,57,11428,110,11415,174,11415,3669,11428,3733,11463,3785,11516,3821,11580,3834,12242,3834,12247,3833,12247,10,12242,9xe" filled="true" fillcolor="#a6a6a6" stroked="false">
              <v:path arrowok="t"/>
              <v:fill type="solid"/>
            </v:shape>
            <v:shape style="position:absolute;left:11415;top:8;width:833;height:3825" type="#_x0000_t202" filled="false" stroked="false">
              <v:textbox inset="0,0,0,0">
                <w:txbxContent>
                  <w:p>
                    <w:pPr>
                      <w:spacing w:line="146" w:lineRule="auto" w:before="126"/>
                      <w:ind w:left="136" w:right="474" w:firstLine="0"/>
                      <w:jc w:val="both"/>
                      <w:rPr>
                        <w:sz w:val="22"/>
                      </w:rPr>
                    </w:pPr>
                    <w:r>
                      <w:rPr>
                        <w:sz w:val="22"/>
                      </w:rPr>
                      <w:t>第十章</w:t>
                    </w:r>
                  </w:p>
                  <w:p>
                    <w:pPr>
                      <w:spacing w:line="141" w:lineRule="auto" w:before="235"/>
                      <w:ind w:left="136" w:right="474" w:firstLine="0"/>
                      <w:jc w:val="both"/>
                      <w:rPr>
                        <w:sz w:val="22"/>
                      </w:rPr>
                    </w:pPr>
                    <w:r>
                      <w:rPr>
                        <w:sz w:val="22"/>
                      </w:rPr>
                      <w:t>潛伏結核感染診斷與治療</w:t>
                    </w:r>
                  </w:p>
                </w:txbxContent>
              </v:textbox>
              <w10:wrap type="none"/>
            </v:shape>
            <w10:wrap type="none"/>
          </v:group>
        </w:pict>
      </w:r>
      <w:r>
        <w:rPr>
          <w:sz w:val="23"/>
        </w:rPr>
        <w:t>diagnosis of latent tuberculosis infection: an update. Ann Intern Med. 2008; 149: 177-84</w:t>
      </w:r>
    </w:p>
    <w:p>
      <w:pPr>
        <w:pStyle w:val="ListParagraph"/>
        <w:numPr>
          <w:ilvl w:val="0"/>
          <w:numId w:val="135"/>
        </w:numPr>
        <w:tabs>
          <w:tab w:pos="1050" w:val="left" w:leader="none"/>
        </w:tabs>
        <w:spacing w:line="216" w:lineRule="auto" w:before="0" w:after="0"/>
        <w:ind w:left="1050" w:right="1312" w:hanging="380"/>
        <w:jc w:val="both"/>
        <w:rPr>
          <w:sz w:val="23"/>
        </w:rPr>
      </w:pPr>
      <w:r>
        <w:rPr>
          <w:sz w:val="23"/>
        </w:rPr>
        <w:t>Chan PC, Peng SS, Chiou MY, et al. Risk for tuberculosis in child contacts: development and validation of a predictive score. Am J Respir Crit Care Med. 2014; 189(2):</w:t>
      </w:r>
      <w:r>
        <w:rPr>
          <w:spacing w:val="-2"/>
          <w:sz w:val="23"/>
        </w:rPr>
        <w:t> </w:t>
      </w:r>
      <w:r>
        <w:rPr>
          <w:sz w:val="23"/>
        </w:rPr>
        <w:t>203-13.</w:t>
      </w:r>
    </w:p>
    <w:p>
      <w:pPr>
        <w:pStyle w:val="ListParagraph"/>
        <w:numPr>
          <w:ilvl w:val="0"/>
          <w:numId w:val="135"/>
        </w:numPr>
        <w:tabs>
          <w:tab w:pos="1044" w:val="left" w:leader="none"/>
        </w:tabs>
        <w:spacing w:line="216" w:lineRule="auto" w:before="0" w:after="0"/>
        <w:ind w:left="1043" w:right="1316" w:hanging="374"/>
        <w:jc w:val="both"/>
        <w:rPr>
          <w:sz w:val="23"/>
        </w:rPr>
      </w:pPr>
      <w:r>
        <w:rPr>
          <w:spacing w:val="-3"/>
          <w:sz w:val="23"/>
        </w:rPr>
        <w:t>Chan </w:t>
      </w:r>
      <w:r>
        <w:rPr>
          <w:sz w:val="23"/>
        </w:rPr>
        <w:t>PC, </w:t>
      </w:r>
      <w:r>
        <w:rPr>
          <w:spacing w:val="-3"/>
          <w:sz w:val="23"/>
        </w:rPr>
        <w:t>Yang </w:t>
      </w:r>
      <w:r>
        <w:rPr>
          <w:sz w:val="23"/>
        </w:rPr>
        <w:t>CH, </w:t>
      </w:r>
      <w:r>
        <w:rPr>
          <w:spacing w:val="-3"/>
          <w:sz w:val="23"/>
        </w:rPr>
        <w:t>Chang LY, </w:t>
      </w:r>
      <w:r>
        <w:rPr>
          <w:sz w:val="23"/>
        </w:rPr>
        <w:t>et al. </w:t>
      </w:r>
      <w:r>
        <w:rPr>
          <w:spacing w:val="-3"/>
          <w:sz w:val="23"/>
        </w:rPr>
        <w:t>Latent tuberculosis infection treatment </w:t>
      </w:r>
      <w:r>
        <w:rPr>
          <w:sz w:val="23"/>
        </w:rPr>
        <w:t>for </w:t>
      </w:r>
      <w:r>
        <w:rPr>
          <w:spacing w:val="-3"/>
          <w:sz w:val="23"/>
        </w:rPr>
        <w:t>prison inmates: </w:t>
      </w:r>
      <w:r>
        <w:rPr>
          <w:sz w:val="23"/>
        </w:rPr>
        <w:t>a </w:t>
      </w:r>
      <w:r>
        <w:rPr>
          <w:spacing w:val="-3"/>
          <w:sz w:val="23"/>
        </w:rPr>
        <w:t>randomised controlled trial. </w:t>
      </w:r>
      <w:r>
        <w:rPr>
          <w:sz w:val="23"/>
        </w:rPr>
        <w:t>Int J </w:t>
      </w:r>
      <w:r>
        <w:rPr>
          <w:spacing w:val="-3"/>
          <w:sz w:val="23"/>
        </w:rPr>
        <w:t>Tuberc Lung </w:t>
      </w:r>
      <w:r>
        <w:rPr>
          <w:sz w:val="23"/>
        </w:rPr>
        <w:t>Dis </w:t>
      </w:r>
      <w:r>
        <w:rPr>
          <w:spacing w:val="-3"/>
          <w:sz w:val="23"/>
        </w:rPr>
        <w:t>2012; 16(5):</w:t>
      </w:r>
      <w:r>
        <w:rPr>
          <w:spacing w:val="-15"/>
          <w:sz w:val="23"/>
        </w:rPr>
        <w:t> </w:t>
      </w:r>
      <w:r>
        <w:rPr>
          <w:spacing w:val="-3"/>
          <w:sz w:val="23"/>
        </w:rPr>
        <w:t>633-8.</w:t>
      </w:r>
    </w:p>
    <w:p>
      <w:pPr>
        <w:pStyle w:val="ListParagraph"/>
        <w:numPr>
          <w:ilvl w:val="0"/>
          <w:numId w:val="135"/>
        </w:numPr>
        <w:tabs>
          <w:tab w:pos="1050" w:val="left" w:leader="none"/>
        </w:tabs>
        <w:spacing w:line="216" w:lineRule="auto" w:before="0" w:after="0"/>
        <w:ind w:left="1049" w:right="1315" w:hanging="380"/>
        <w:jc w:val="both"/>
        <w:rPr>
          <w:sz w:val="23"/>
        </w:rPr>
      </w:pPr>
      <w:r>
        <w:rPr>
          <w:sz w:val="23"/>
        </w:rPr>
        <w:t>World Health Organization. Latent TB infection: Updated and Consolidated Guidelines for Programmatic Management. 2018. WHO/CDS/TB/2018.4 https:</w:t>
      </w:r>
      <w:hyperlink r:id="rId70">
        <w:r>
          <w:rPr>
            <w:sz w:val="23"/>
          </w:rPr>
          <w:t>//ww</w:t>
        </w:r>
      </w:hyperlink>
      <w:r>
        <w:rPr>
          <w:sz w:val="23"/>
        </w:rPr>
        <w:t>w</w:t>
      </w:r>
      <w:hyperlink r:id="rId70">
        <w:r>
          <w:rPr>
            <w:sz w:val="23"/>
          </w:rPr>
          <w:t>.who.int/tb/publications/2018/latent-tuberculosis-infection/en/</w:t>
        </w:r>
      </w:hyperlink>
    </w:p>
    <w:p>
      <w:pPr>
        <w:pStyle w:val="ListParagraph"/>
        <w:numPr>
          <w:ilvl w:val="0"/>
          <w:numId w:val="135"/>
        </w:numPr>
        <w:tabs>
          <w:tab w:pos="1050" w:val="left" w:leader="none"/>
        </w:tabs>
        <w:spacing w:line="216" w:lineRule="auto" w:before="0" w:after="0"/>
        <w:ind w:left="1049" w:right="1316" w:hanging="380"/>
        <w:jc w:val="both"/>
        <w:rPr>
          <w:sz w:val="23"/>
        </w:rPr>
      </w:pPr>
      <w:r>
        <w:rPr>
          <w:sz w:val="23"/>
        </w:rPr>
        <w:t>Sun</w:t>
      </w:r>
      <w:r>
        <w:rPr>
          <w:spacing w:val="-7"/>
          <w:sz w:val="23"/>
        </w:rPr>
        <w:t> </w:t>
      </w:r>
      <w:r>
        <w:rPr>
          <w:sz w:val="23"/>
        </w:rPr>
        <w:t>HY,</w:t>
      </w:r>
      <w:r>
        <w:rPr>
          <w:spacing w:val="-6"/>
          <w:sz w:val="23"/>
        </w:rPr>
        <w:t> </w:t>
      </w:r>
      <w:r>
        <w:rPr>
          <w:sz w:val="23"/>
        </w:rPr>
        <w:t>Huang</w:t>
      </w:r>
      <w:r>
        <w:rPr>
          <w:spacing w:val="-7"/>
          <w:sz w:val="23"/>
        </w:rPr>
        <w:t> </w:t>
      </w:r>
      <w:r>
        <w:rPr>
          <w:sz w:val="23"/>
        </w:rPr>
        <w:t>YW,</w:t>
      </w:r>
      <w:r>
        <w:rPr>
          <w:spacing w:val="-6"/>
          <w:sz w:val="23"/>
        </w:rPr>
        <w:t> </w:t>
      </w:r>
      <w:r>
        <w:rPr>
          <w:sz w:val="23"/>
        </w:rPr>
        <w:t>Huang</w:t>
      </w:r>
      <w:r>
        <w:rPr>
          <w:spacing w:val="-8"/>
          <w:sz w:val="23"/>
        </w:rPr>
        <w:t> </w:t>
      </w:r>
      <w:r>
        <w:rPr>
          <w:sz w:val="23"/>
        </w:rPr>
        <w:t>WC,</w:t>
      </w:r>
      <w:r>
        <w:rPr>
          <w:spacing w:val="-7"/>
          <w:sz w:val="23"/>
        </w:rPr>
        <w:t> </w:t>
      </w:r>
      <w:r>
        <w:rPr>
          <w:sz w:val="23"/>
        </w:rPr>
        <w:t>et</w:t>
      </w:r>
      <w:r>
        <w:rPr>
          <w:spacing w:val="-7"/>
          <w:sz w:val="23"/>
        </w:rPr>
        <w:t> </w:t>
      </w:r>
      <w:r>
        <w:rPr>
          <w:sz w:val="23"/>
        </w:rPr>
        <w:t>al.</w:t>
      </w:r>
      <w:r>
        <w:rPr>
          <w:spacing w:val="-6"/>
          <w:sz w:val="23"/>
        </w:rPr>
        <w:t> </w:t>
      </w:r>
      <w:r>
        <w:rPr>
          <w:sz w:val="23"/>
        </w:rPr>
        <w:t>Twelve-dose</w:t>
      </w:r>
      <w:r>
        <w:rPr>
          <w:spacing w:val="-9"/>
          <w:sz w:val="23"/>
        </w:rPr>
        <w:t> </w:t>
      </w:r>
      <w:r>
        <w:rPr>
          <w:sz w:val="23"/>
        </w:rPr>
        <w:t>weekly</w:t>
      </w:r>
      <w:r>
        <w:rPr>
          <w:spacing w:val="-6"/>
          <w:sz w:val="23"/>
        </w:rPr>
        <w:t> </w:t>
      </w:r>
      <w:r>
        <w:rPr>
          <w:sz w:val="23"/>
        </w:rPr>
        <w:t>rifapentine</w:t>
      </w:r>
      <w:r>
        <w:rPr>
          <w:spacing w:val="-7"/>
          <w:sz w:val="23"/>
        </w:rPr>
        <w:t> </w:t>
      </w:r>
      <w:r>
        <w:rPr>
          <w:sz w:val="23"/>
        </w:rPr>
        <w:t>plus</w:t>
      </w:r>
      <w:r>
        <w:rPr>
          <w:spacing w:val="-6"/>
          <w:sz w:val="23"/>
        </w:rPr>
        <w:t> </w:t>
      </w:r>
      <w:r>
        <w:rPr>
          <w:sz w:val="23"/>
        </w:rPr>
        <w:t>isoniazid for latent tuberculosis infection: A multicentre randomised controlled trial in Taiwan. Tuberculosis (Edinb). 2018 Jul;</w:t>
      </w:r>
      <w:r>
        <w:rPr>
          <w:spacing w:val="-6"/>
          <w:sz w:val="23"/>
        </w:rPr>
        <w:t> </w:t>
      </w:r>
      <w:r>
        <w:rPr>
          <w:sz w:val="23"/>
        </w:rPr>
        <w:t>111:121-126.</w:t>
      </w:r>
    </w:p>
    <w:p>
      <w:pPr>
        <w:pStyle w:val="ListParagraph"/>
        <w:numPr>
          <w:ilvl w:val="0"/>
          <w:numId w:val="135"/>
        </w:numPr>
        <w:tabs>
          <w:tab w:pos="1050" w:val="left" w:leader="none"/>
        </w:tabs>
        <w:spacing w:line="216" w:lineRule="auto" w:before="0" w:after="0"/>
        <w:ind w:left="1049" w:right="1316" w:hanging="380"/>
        <w:jc w:val="both"/>
        <w:rPr>
          <w:sz w:val="23"/>
        </w:rPr>
      </w:pPr>
      <w:r>
        <w:rPr>
          <w:sz w:val="23"/>
        </w:rPr>
        <w:t>US CDC. Update of Recommendations for Use of Once-Weekly Isoniazid- Rifapentine</w:t>
      </w:r>
      <w:r>
        <w:rPr>
          <w:spacing w:val="-18"/>
          <w:sz w:val="23"/>
        </w:rPr>
        <w:t> </w:t>
      </w:r>
      <w:r>
        <w:rPr>
          <w:sz w:val="23"/>
        </w:rPr>
        <w:t>Regimen</w:t>
      </w:r>
      <w:r>
        <w:rPr>
          <w:spacing w:val="-16"/>
          <w:sz w:val="23"/>
        </w:rPr>
        <w:t> </w:t>
      </w:r>
      <w:r>
        <w:rPr>
          <w:sz w:val="23"/>
        </w:rPr>
        <w:t>to</w:t>
      </w:r>
      <w:r>
        <w:rPr>
          <w:spacing w:val="-17"/>
          <w:sz w:val="23"/>
        </w:rPr>
        <w:t> </w:t>
      </w:r>
      <w:r>
        <w:rPr>
          <w:sz w:val="23"/>
        </w:rPr>
        <w:t>Treat</w:t>
      </w:r>
      <w:r>
        <w:rPr>
          <w:spacing w:val="-16"/>
          <w:sz w:val="23"/>
        </w:rPr>
        <w:t> </w:t>
      </w:r>
      <w:r>
        <w:rPr>
          <w:sz w:val="23"/>
        </w:rPr>
        <w:t>Latent</w:t>
      </w:r>
      <w:r>
        <w:rPr>
          <w:spacing w:val="-16"/>
          <w:sz w:val="23"/>
        </w:rPr>
        <w:t> </w:t>
      </w:r>
      <w:r>
        <w:rPr>
          <w:sz w:val="23"/>
        </w:rPr>
        <w:t>Mycobacterium</w:t>
      </w:r>
      <w:r>
        <w:rPr>
          <w:spacing w:val="-16"/>
          <w:sz w:val="23"/>
        </w:rPr>
        <w:t> </w:t>
      </w:r>
      <w:r>
        <w:rPr>
          <w:sz w:val="23"/>
        </w:rPr>
        <w:t>tuberculosis</w:t>
      </w:r>
      <w:r>
        <w:rPr>
          <w:spacing w:val="-17"/>
          <w:sz w:val="23"/>
        </w:rPr>
        <w:t> </w:t>
      </w:r>
      <w:r>
        <w:rPr>
          <w:sz w:val="23"/>
        </w:rPr>
        <w:t>Infection.</w:t>
      </w:r>
      <w:r>
        <w:rPr>
          <w:spacing w:val="-17"/>
          <w:sz w:val="23"/>
        </w:rPr>
        <w:t> </w:t>
      </w:r>
      <w:r>
        <w:rPr>
          <w:sz w:val="23"/>
        </w:rPr>
        <w:t>MMWR</w:t>
      </w:r>
    </w:p>
    <w:p>
      <w:pPr>
        <w:spacing w:line="369" w:lineRule="exact" w:before="0"/>
        <w:ind w:left="1049" w:right="0" w:firstLine="0"/>
        <w:jc w:val="both"/>
        <w:rPr>
          <w:sz w:val="23"/>
        </w:rPr>
      </w:pPr>
      <w:r>
        <w:rPr>
          <w:sz w:val="23"/>
        </w:rPr>
        <w:t>/ June 29, 2018 / 67(25);723–726.</w:t>
      </w:r>
    </w:p>
    <w:p>
      <w:pPr>
        <w:pStyle w:val="ListParagraph"/>
        <w:numPr>
          <w:ilvl w:val="0"/>
          <w:numId w:val="135"/>
        </w:numPr>
        <w:tabs>
          <w:tab w:pos="1050" w:val="left" w:leader="none"/>
        </w:tabs>
        <w:spacing w:line="216" w:lineRule="auto" w:before="2" w:after="0"/>
        <w:ind w:left="1049" w:right="1315" w:hanging="380"/>
        <w:jc w:val="both"/>
        <w:rPr>
          <w:sz w:val="23"/>
        </w:rPr>
      </w:pPr>
      <w:r>
        <w:rPr>
          <w:sz w:val="23"/>
        </w:rPr>
        <w:t>Moro RN, Scott NA, Vernon A, et al. Exposure to Latent Tuberculosis Treatment during Pregnancy. The PREVENT TB and the iAdhere Trials. Ann Am Thorac Soc. 2018 May;</w:t>
      </w:r>
      <w:r>
        <w:rPr>
          <w:spacing w:val="-3"/>
          <w:sz w:val="23"/>
        </w:rPr>
        <w:t> </w:t>
      </w:r>
      <w:r>
        <w:rPr>
          <w:sz w:val="23"/>
        </w:rPr>
        <w:t>15(5):570-580.</w:t>
      </w:r>
    </w:p>
    <w:p>
      <w:pPr>
        <w:pStyle w:val="ListParagraph"/>
        <w:numPr>
          <w:ilvl w:val="0"/>
          <w:numId w:val="135"/>
        </w:numPr>
        <w:tabs>
          <w:tab w:pos="1050" w:val="left" w:leader="none"/>
        </w:tabs>
        <w:spacing w:line="216" w:lineRule="auto" w:before="0" w:after="0"/>
        <w:ind w:left="1049" w:right="1314" w:hanging="380"/>
        <w:jc w:val="both"/>
        <w:rPr>
          <w:sz w:val="23"/>
        </w:rPr>
      </w:pPr>
      <w:r>
        <w:rPr>
          <w:sz w:val="23"/>
        </w:rPr>
        <w:t>Njie GJ, Morris SB, Woodruff RY, et al. Isoniazid-rifapentine for latent tuberculosis infection: a systematic review and meta-analysis. Am J Prev Med 2018. Epub June 11,</w:t>
      </w:r>
      <w:r>
        <w:rPr>
          <w:spacing w:val="-2"/>
          <w:sz w:val="23"/>
        </w:rPr>
        <w:t> </w:t>
      </w:r>
      <w:r>
        <w:rPr>
          <w:sz w:val="23"/>
        </w:rPr>
        <w:t>2018.</w:t>
      </w:r>
    </w:p>
    <w:p>
      <w:pPr>
        <w:pStyle w:val="ListParagraph"/>
        <w:numPr>
          <w:ilvl w:val="0"/>
          <w:numId w:val="135"/>
        </w:numPr>
        <w:tabs>
          <w:tab w:pos="1050" w:val="left" w:leader="none"/>
        </w:tabs>
        <w:spacing w:line="216" w:lineRule="auto" w:before="0" w:after="0"/>
        <w:ind w:left="1049" w:right="1314" w:hanging="380"/>
        <w:jc w:val="both"/>
        <w:rPr>
          <w:sz w:val="23"/>
        </w:rPr>
      </w:pPr>
      <w:r>
        <w:rPr>
          <w:sz w:val="23"/>
        </w:rPr>
        <w:t>CDC. Latent Tuberculosis Infection: A Guide for Primary Health Care Providers.</w:t>
      </w:r>
      <w:hyperlink r:id="rId71">
        <w:r>
          <w:rPr>
            <w:sz w:val="23"/>
          </w:rPr>
          <w:t> https://www.cdc.gov/tb/publications/ltbi/treatment.htm</w:t>
        </w:r>
      </w:hyperlink>
    </w:p>
    <w:p>
      <w:pPr>
        <w:pStyle w:val="ListParagraph"/>
        <w:numPr>
          <w:ilvl w:val="0"/>
          <w:numId w:val="135"/>
        </w:numPr>
        <w:tabs>
          <w:tab w:pos="1050" w:val="left" w:leader="none"/>
        </w:tabs>
        <w:spacing w:line="216" w:lineRule="auto" w:before="0" w:after="0"/>
        <w:ind w:left="1049" w:right="1315" w:hanging="380"/>
        <w:jc w:val="both"/>
        <w:rPr>
          <w:sz w:val="23"/>
        </w:rPr>
      </w:pPr>
      <w:r>
        <w:rPr>
          <w:spacing w:val="-2"/>
          <w:sz w:val="23"/>
        </w:rPr>
        <w:t>疾病管制署科技計畫報告. 速克伏全都治：副作用, 介入成效及抗藥性產生評估, </w:t>
      </w:r>
      <w:r>
        <w:rPr>
          <w:sz w:val="23"/>
        </w:rPr>
        <w:t>2019</w:t>
      </w:r>
      <w:r>
        <w:rPr>
          <w:spacing w:val="27"/>
          <w:sz w:val="23"/>
        </w:rPr>
        <w:t> 期末報告</w:t>
      </w:r>
    </w:p>
    <w:p>
      <w:pPr>
        <w:pStyle w:val="ListParagraph"/>
        <w:numPr>
          <w:ilvl w:val="0"/>
          <w:numId w:val="135"/>
        </w:numPr>
        <w:tabs>
          <w:tab w:pos="1050" w:val="left" w:leader="none"/>
        </w:tabs>
        <w:spacing w:line="216" w:lineRule="auto" w:before="0" w:after="0"/>
        <w:ind w:left="1049" w:right="1315" w:hanging="380"/>
        <w:jc w:val="both"/>
        <w:rPr>
          <w:sz w:val="23"/>
        </w:rPr>
      </w:pPr>
      <w:r>
        <w:rPr>
          <w:sz w:val="23"/>
        </w:rPr>
        <w:t>Menzies</w:t>
      </w:r>
      <w:r>
        <w:rPr>
          <w:spacing w:val="-12"/>
          <w:sz w:val="23"/>
        </w:rPr>
        <w:t> </w:t>
      </w:r>
      <w:r>
        <w:rPr>
          <w:sz w:val="23"/>
        </w:rPr>
        <w:t>D,</w:t>
      </w:r>
      <w:r>
        <w:rPr>
          <w:spacing w:val="-12"/>
          <w:sz w:val="23"/>
        </w:rPr>
        <w:t> </w:t>
      </w:r>
      <w:r>
        <w:rPr>
          <w:sz w:val="23"/>
        </w:rPr>
        <w:t>Adjobimey</w:t>
      </w:r>
      <w:r>
        <w:rPr>
          <w:spacing w:val="-12"/>
          <w:sz w:val="23"/>
        </w:rPr>
        <w:t> </w:t>
      </w:r>
      <w:r>
        <w:rPr>
          <w:sz w:val="23"/>
        </w:rPr>
        <w:t>M,</w:t>
      </w:r>
      <w:r>
        <w:rPr>
          <w:spacing w:val="-11"/>
          <w:sz w:val="23"/>
        </w:rPr>
        <w:t> </w:t>
      </w:r>
      <w:r>
        <w:rPr>
          <w:sz w:val="23"/>
        </w:rPr>
        <w:t>Ruslami</w:t>
      </w:r>
      <w:r>
        <w:rPr>
          <w:spacing w:val="-11"/>
          <w:sz w:val="23"/>
        </w:rPr>
        <w:t> </w:t>
      </w:r>
      <w:r>
        <w:rPr>
          <w:sz w:val="23"/>
        </w:rPr>
        <w:t>R,</w:t>
      </w:r>
      <w:r>
        <w:rPr>
          <w:spacing w:val="-9"/>
          <w:sz w:val="23"/>
        </w:rPr>
        <w:t> </w:t>
      </w:r>
      <w:r>
        <w:rPr>
          <w:sz w:val="23"/>
        </w:rPr>
        <w:t>et</w:t>
      </w:r>
      <w:r>
        <w:rPr>
          <w:spacing w:val="-11"/>
          <w:sz w:val="23"/>
        </w:rPr>
        <w:t> </w:t>
      </w:r>
      <w:r>
        <w:rPr>
          <w:sz w:val="23"/>
        </w:rPr>
        <w:t>al.</w:t>
      </w:r>
      <w:r>
        <w:rPr>
          <w:spacing w:val="-11"/>
          <w:sz w:val="23"/>
        </w:rPr>
        <w:t> </w:t>
      </w:r>
      <w:r>
        <w:rPr>
          <w:sz w:val="23"/>
        </w:rPr>
        <w:t>Four</w:t>
      </w:r>
      <w:r>
        <w:rPr>
          <w:spacing w:val="-10"/>
          <w:sz w:val="23"/>
        </w:rPr>
        <w:t> </w:t>
      </w:r>
      <w:r>
        <w:rPr>
          <w:sz w:val="23"/>
        </w:rPr>
        <w:t>Months</w:t>
      </w:r>
      <w:r>
        <w:rPr>
          <w:spacing w:val="-10"/>
          <w:sz w:val="23"/>
        </w:rPr>
        <w:t> </w:t>
      </w:r>
      <w:r>
        <w:rPr>
          <w:sz w:val="23"/>
        </w:rPr>
        <w:t>of</w:t>
      </w:r>
      <w:r>
        <w:rPr>
          <w:spacing w:val="-10"/>
          <w:sz w:val="23"/>
        </w:rPr>
        <w:t> </w:t>
      </w:r>
      <w:r>
        <w:rPr>
          <w:sz w:val="23"/>
        </w:rPr>
        <w:t>Rifampin</w:t>
      </w:r>
      <w:r>
        <w:rPr>
          <w:spacing w:val="-12"/>
          <w:sz w:val="23"/>
        </w:rPr>
        <w:t> </w:t>
      </w:r>
      <w:r>
        <w:rPr>
          <w:sz w:val="23"/>
        </w:rPr>
        <w:t>or</w:t>
      </w:r>
      <w:r>
        <w:rPr>
          <w:spacing w:val="-10"/>
          <w:sz w:val="23"/>
        </w:rPr>
        <w:t> </w:t>
      </w:r>
      <w:r>
        <w:rPr>
          <w:sz w:val="23"/>
        </w:rPr>
        <w:t>Nine</w:t>
      </w:r>
      <w:r>
        <w:rPr>
          <w:spacing w:val="-11"/>
          <w:sz w:val="23"/>
        </w:rPr>
        <w:t> </w:t>
      </w:r>
      <w:r>
        <w:rPr>
          <w:sz w:val="23"/>
        </w:rPr>
        <w:t>Months of</w:t>
      </w:r>
      <w:r>
        <w:rPr>
          <w:spacing w:val="-8"/>
          <w:sz w:val="23"/>
        </w:rPr>
        <w:t> </w:t>
      </w:r>
      <w:r>
        <w:rPr>
          <w:sz w:val="23"/>
        </w:rPr>
        <w:t>Isoniazid</w:t>
      </w:r>
      <w:r>
        <w:rPr>
          <w:spacing w:val="-7"/>
          <w:sz w:val="23"/>
        </w:rPr>
        <w:t> </w:t>
      </w:r>
      <w:r>
        <w:rPr>
          <w:sz w:val="23"/>
        </w:rPr>
        <w:t>for</w:t>
      </w:r>
      <w:r>
        <w:rPr>
          <w:spacing w:val="-8"/>
          <w:sz w:val="23"/>
        </w:rPr>
        <w:t> </w:t>
      </w:r>
      <w:r>
        <w:rPr>
          <w:sz w:val="23"/>
        </w:rPr>
        <w:t>Latent</w:t>
      </w:r>
      <w:r>
        <w:rPr>
          <w:spacing w:val="-7"/>
          <w:sz w:val="23"/>
        </w:rPr>
        <w:t> </w:t>
      </w:r>
      <w:r>
        <w:rPr>
          <w:sz w:val="23"/>
        </w:rPr>
        <w:t>Tuberculosis</w:t>
      </w:r>
      <w:r>
        <w:rPr>
          <w:spacing w:val="-7"/>
          <w:sz w:val="23"/>
        </w:rPr>
        <w:t> </w:t>
      </w:r>
      <w:r>
        <w:rPr>
          <w:sz w:val="23"/>
        </w:rPr>
        <w:t>in</w:t>
      </w:r>
      <w:r>
        <w:rPr>
          <w:spacing w:val="-7"/>
          <w:sz w:val="23"/>
        </w:rPr>
        <w:t> </w:t>
      </w:r>
      <w:r>
        <w:rPr>
          <w:sz w:val="23"/>
        </w:rPr>
        <w:t>Adults.</w:t>
      </w:r>
      <w:r>
        <w:rPr>
          <w:spacing w:val="-8"/>
          <w:sz w:val="23"/>
        </w:rPr>
        <w:t> </w:t>
      </w:r>
      <w:r>
        <w:rPr>
          <w:sz w:val="23"/>
        </w:rPr>
        <w:t>N</w:t>
      </w:r>
      <w:r>
        <w:rPr>
          <w:spacing w:val="-7"/>
          <w:sz w:val="23"/>
        </w:rPr>
        <w:t> </w:t>
      </w:r>
      <w:r>
        <w:rPr>
          <w:sz w:val="23"/>
        </w:rPr>
        <w:t>Engl</w:t>
      </w:r>
      <w:r>
        <w:rPr>
          <w:spacing w:val="-7"/>
          <w:sz w:val="23"/>
        </w:rPr>
        <w:t> </w:t>
      </w:r>
      <w:r>
        <w:rPr>
          <w:sz w:val="23"/>
        </w:rPr>
        <w:t>J</w:t>
      </w:r>
      <w:r>
        <w:rPr>
          <w:spacing w:val="-8"/>
          <w:sz w:val="23"/>
        </w:rPr>
        <w:t> </w:t>
      </w:r>
      <w:r>
        <w:rPr>
          <w:sz w:val="23"/>
        </w:rPr>
        <w:t>Med.</w:t>
      </w:r>
      <w:r>
        <w:rPr>
          <w:spacing w:val="-8"/>
          <w:sz w:val="23"/>
        </w:rPr>
        <w:t> </w:t>
      </w:r>
      <w:r>
        <w:rPr>
          <w:sz w:val="23"/>
        </w:rPr>
        <w:t>2018:2;</w:t>
      </w:r>
      <w:r>
        <w:rPr>
          <w:spacing w:val="-7"/>
          <w:sz w:val="23"/>
        </w:rPr>
        <w:t> </w:t>
      </w:r>
      <w:r>
        <w:rPr>
          <w:sz w:val="23"/>
        </w:rPr>
        <w:t>379(5):440-453.</w:t>
      </w:r>
    </w:p>
    <w:p>
      <w:pPr>
        <w:pStyle w:val="ListParagraph"/>
        <w:numPr>
          <w:ilvl w:val="0"/>
          <w:numId w:val="135"/>
        </w:numPr>
        <w:tabs>
          <w:tab w:pos="1050" w:val="left" w:leader="none"/>
        </w:tabs>
        <w:spacing w:line="216" w:lineRule="auto" w:before="0" w:after="0"/>
        <w:ind w:left="1049" w:right="1315" w:hanging="380"/>
        <w:jc w:val="both"/>
        <w:rPr>
          <w:sz w:val="23"/>
        </w:rPr>
      </w:pPr>
      <w:r>
        <w:rPr>
          <w:sz w:val="23"/>
        </w:rPr>
        <w:t>Lee MR, Huang HL, Lin SW, et al. Isoniazid Concentration and NAT2 Genotype Predict</w:t>
      </w:r>
      <w:r>
        <w:rPr>
          <w:spacing w:val="-6"/>
          <w:sz w:val="23"/>
        </w:rPr>
        <w:t> </w:t>
      </w:r>
      <w:r>
        <w:rPr>
          <w:sz w:val="23"/>
        </w:rPr>
        <w:t>Risk</w:t>
      </w:r>
      <w:r>
        <w:rPr>
          <w:spacing w:val="-5"/>
          <w:sz w:val="23"/>
        </w:rPr>
        <w:t> </w:t>
      </w:r>
      <w:r>
        <w:rPr>
          <w:sz w:val="23"/>
        </w:rPr>
        <w:t>of</w:t>
      </w:r>
      <w:r>
        <w:rPr>
          <w:spacing w:val="-5"/>
          <w:sz w:val="23"/>
        </w:rPr>
        <w:t> </w:t>
      </w:r>
      <w:r>
        <w:rPr>
          <w:sz w:val="23"/>
        </w:rPr>
        <w:t>Systemic</w:t>
      </w:r>
      <w:r>
        <w:rPr>
          <w:spacing w:val="-5"/>
          <w:sz w:val="23"/>
        </w:rPr>
        <w:t> </w:t>
      </w:r>
      <w:r>
        <w:rPr>
          <w:sz w:val="23"/>
        </w:rPr>
        <w:t>Drug</w:t>
      </w:r>
      <w:r>
        <w:rPr>
          <w:spacing w:val="-5"/>
          <w:sz w:val="23"/>
        </w:rPr>
        <w:t> </w:t>
      </w:r>
      <w:r>
        <w:rPr>
          <w:sz w:val="23"/>
        </w:rPr>
        <w:t>Reactions</w:t>
      </w:r>
      <w:r>
        <w:rPr>
          <w:spacing w:val="-5"/>
          <w:sz w:val="23"/>
        </w:rPr>
        <w:t> </w:t>
      </w:r>
      <w:r>
        <w:rPr>
          <w:sz w:val="23"/>
        </w:rPr>
        <w:t>during</w:t>
      </w:r>
      <w:r>
        <w:rPr>
          <w:spacing w:val="-5"/>
          <w:sz w:val="23"/>
        </w:rPr>
        <w:t> </w:t>
      </w:r>
      <w:r>
        <w:rPr>
          <w:sz w:val="23"/>
        </w:rPr>
        <w:t>3HP</w:t>
      </w:r>
      <w:r>
        <w:rPr>
          <w:spacing w:val="-7"/>
          <w:sz w:val="23"/>
        </w:rPr>
        <w:t> </w:t>
      </w:r>
      <w:r>
        <w:rPr>
          <w:sz w:val="23"/>
        </w:rPr>
        <w:t>for</w:t>
      </w:r>
      <w:r>
        <w:rPr>
          <w:spacing w:val="-6"/>
          <w:sz w:val="23"/>
        </w:rPr>
        <w:t> </w:t>
      </w:r>
      <w:r>
        <w:rPr>
          <w:sz w:val="23"/>
        </w:rPr>
        <w:t>LTBI.</w:t>
      </w:r>
      <w:r>
        <w:rPr>
          <w:spacing w:val="-6"/>
          <w:sz w:val="23"/>
        </w:rPr>
        <w:t> </w:t>
      </w:r>
      <w:r>
        <w:rPr>
          <w:sz w:val="23"/>
        </w:rPr>
        <w:t>J</w:t>
      </w:r>
      <w:r>
        <w:rPr>
          <w:spacing w:val="-5"/>
          <w:sz w:val="23"/>
        </w:rPr>
        <w:t> </w:t>
      </w:r>
      <w:r>
        <w:rPr>
          <w:sz w:val="23"/>
        </w:rPr>
        <w:t>Clin</w:t>
      </w:r>
      <w:r>
        <w:rPr>
          <w:spacing w:val="-6"/>
          <w:sz w:val="23"/>
        </w:rPr>
        <w:t> </w:t>
      </w:r>
      <w:r>
        <w:rPr>
          <w:sz w:val="23"/>
        </w:rPr>
        <w:t>Med.</w:t>
      </w:r>
      <w:r>
        <w:rPr>
          <w:spacing w:val="-6"/>
          <w:sz w:val="23"/>
        </w:rPr>
        <w:t> </w:t>
      </w:r>
      <w:r>
        <w:rPr>
          <w:sz w:val="23"/>
        </w:rPr>
        <w:t>2019</w:t>
      </w:r>
      <w:r>
        <w:rPr>
          <w:spacing w:val="-5"/>
          <w:sz w:val="23"/>
        </w:rPr>
        <w:t> </w:t>
      </w:r>
      <w:r>
        <w:rPr>
          <w:sz w:val="23"/>
        </w:rPr>
        <w:t>;</w:t>
      </w:r>
      <w:r>
        <w:rPr>
          <w:spacing w:val="-6"/>
          <w:sz w:val="23"/>
        </w:rPr>
        <w:t> </w:t>
      </w:r>
      <w:r>
        <w:rPr>
          <w:sz w:val="23"/>
        </w:rPr>
        <w:t>8(6): 812.</w:t>
      </w:r>
    </w:p>
    <w:p>
      <w:pPr>
        <w:pStyle w:val="ListParagraph"/>
        <w:numPr>
          <w:ilvl w:val="0"/>
          <w:numId w:val="135"/>
        </w:numPr>
        <w:tabs>
          <w:tab w:pos="1050" w:val="left" w:leader="none"/>
        </w:tabs>
        <w:spacing w:line="216" w:lineRule="auto" w:before="0" w:after="0"/>
        <w:ind w:left="1049" w:right="1313" w:hanging="380"/>
        <w:jc w:val="both"/>
        <w:rPr>
          <w:sz w:val="23"/>
        </w:rPr>
      </w:pPr>
      <w:r>
        <w:rPr>
          <w:sz w:val="23"/>
        </w:rPr>
        <w:t>WHO consolidated guidelines on tuberculosis: tuberculosis preventive treatment. Geneva: World Health Organization;</w:t>
      </w:r>
      <w:r>
        <w:rPr>
          <w:spacing w:val="-4"/>
          <w:sz w:val="23"/>
        </w:rPr>
        <w:t> </w:t>
      </w:r>
      <w:r>
        <w:rPr>
          <w:sz w:val="23"/>
        </w:rPr>
        <w:t>2020.</w:t>
      </w:r>
    </w:p>
    <w:p>
      <w:pPr>
        <w:pStyle w:val="ListParagraph"/>
        <w:numPr>
          <w:ilvl w:val="0"/>
          <w:numId w:val="135"/>
        </w:numPr>
        <w:tabs>
          <w:tab w:pos="1050" w:val="left" w:leader="none"/>
        </w:tabs>
        <w:spacing w:line="216" w:lineRule="auto" w:before="0" w:after="0"/>
        <w:ind w:left="1049" w:right="1315" w:hanging="380"/>
        <w:jc w:val="both"/>
        <w:rPr>
          <w:sz w:val="23"/>
        </w:rPr>
      </w:pPr>
      <w:r>
        <w:rPr>
          <w:sz w:val="23"/>
        </w:rPr>
        <w:t>Zenner D, Beer N, Harris RJ, et al. Treatment of Latent Tuberculosis Infection: An Updated Network Meta-analysis. Annals of Internal Medicine 2017; 167(4):</w:t>
      </w:r>
      <w:r>
        <w:rPr>
          <w:spacing w:val="-42"/>
          <w:sz w:val="23"/>
        </w:rPr>
        <w:t> </w:t>
      </w:r>
      <w:r>
        <w:rPr>
          <w:sz w:val="23"/>
        </w:rPr>
        <w:t>248-55.</w:t>
      </w:r>
    </w:p>
    <w:p>
      <w:pPr>
        <w:pStyle w:val="ListParagraph"/>
        <w:numPr>
          <w:ilvl w:val="0"/>
          <w:numId w:val="135"/>
        </w:numPr>
        <w:tabs>
          <w:tab w:pos="1050" w:val="left" w:leader="none"/>
        </w:tabs>
        <w:spacing w:line="216" w:lineRule="auto" w:before="0" w:after="0"/>
        <w:ind w:left="1049" w:right="1315" w:hanging="379"/>
        <w:jc w:val="both"/>
        <w:rPr>
          <w:sz w:val="23"/>
        </w:rPr>
      </w:pPr>
      <w:r>
        <w:rPr>
          <w:sz w:val="23"/>
        </w:rPr>
        <w:t>Spyridis NP, Spyridis PG, Gelesme A, et al. The effectiveness of a 9-month regimen of isoniazid alone versus 3- and 4-month regimens of isoniazid plus rifampin for treatment</w:t>
      </w:r>
      <w:r>
        <w:rPr>
          <w:spacing w:val="35"/>
          <w:sz w:val="23"/>
        </w:rPr>
        <w:t> </w:t>
      </w:r>
      <w:r>
        <w:rPr>
          <w:sz w:val="23"/>
        </w:rPr>
        <w:t>of</w:t>
      </w:r>
      <w:r>
        <w:rPr>
          <w:spacing w:val="36"/>
          <w:sz w:val="23"/>
        </w:rPr>
        <w:t> </w:t>
      </w:r>
      <w:r>
        <w:rPr>
          <w:sz w:val="23"/>
        </w:rPr>
        <w:t>latent</w:t>
      </w:r>
      <w:r>
        <w:rPr>
          <w:spacing w:val="34"/>
          <w:sz w:val="23"/>
        </w:rPr>
        <w:t> </w:t>
      </w:r>
      <w:r>
        <w:rPr>
          <w:sz w:val="23"/>
        </w:rPr>
        <w:t>tuberculosis</w:t>
      </w:r>
      <w:r>
        <w:rPr>
          <w:spacing w:val="36"/>
          <w:sz w:val="23"/>
        </w:rPr>
        <w:t> </w:t>
      </w:r>
      <w:r>
        <w:rPr>
          <w:sz w:val="23"/>
        </w:rPr>
        <w:t>infection</w:t>
      </w:r>
      <w:r>
        <w:rPr>
          <w:spacing w:val="36"/>
          <w:sz w:val="23"/>
        </w:rPr>
        <w:t> </w:t>
      </w:r>
      <w:r>
        <w:rPr>
          <w:sz w:val="23"/>
        </w:rPr>
        <w:t>in</w:t>
      </w:r>
      <w:r>
        <w:rPr>
          <w:spacing w:val="35"/>
          <w:sz w:val="23"/>
        </w:rPr>
        <w:t> </w:t>
      </w:r>
      <w:r>
        <w:rPr>
          <w:sz w:val="23"/>
        </w:rPr>
        <w:t>children:</w:t>
      </w:r>
      <w:r>
        <w:rPr>
          <w:spacing w:val="35"/>
          <w:sz w:val="23"/>
        </w:rPr>
        <w:t> </w:t>
      </w:r>
      <w:r>
        <w:rPr>
          <w:sz w:val="23"/>
        </w:rPr>
        <w:t>results</w:t>
      </w:r>
      <w:r>
        <w:rPr>
          <w:spacing w:val="36"/>
          <w:sz w:val="23"/>
        </w:rPr>
        <w:t> </w:t>
      </w:r>
      <w:r>
        <w:rPr>
          <w:sz w:val="23"/>
        </w:rPr>
        <w:t>of</w:t>
      </w:r>
      <w:r>
        <w:rPr>
          <w:spacing w:val="36"/>
          <w:sz w:val="23"/>
        </w:rPr>
        <w:t> </w:t>
      </w:r>
      <w:r>
        <w:rPr>
          <w:sz w:val="23"/>
        </w:rPr>
        <w:t>an</w:t>
      </w:r>
      <w:r>
        <w:rPr>
          <w:spacing w:val="36"/>
          <w:sz w:val="23"/>
        </w:rPr>
        <w:t> </w:t>
      </w:r>
      <w:r>
        <w:rPr>
          <w:sz w:val="23"/>
        </w:rPr>
        <w:t>11-year</w:t>
      </w:r>
    </w:p>
    <w:p>
      <w:pPr>
        <w:spacing w:after="0" w:line="216" w:lineRule="auto"/>
        <w:jc w:val="both"/>
        <w:rPr>
          <w:sz w:val="23"/>
        </w:rPr>
        <w:sectPr>
          <w:pgSz w:w="12250" w:h="17190"/>
          <w:pgMar w:header="0" w:footer="734" w:top="1460" w:bottom="1020" w:left="1020" w:right="0"/>
        </w:sectPr>
      </w:pPr>
    </w:p>
    <w:p>
      <w:pPr>
        <w:spacing w:line="402" w:lineRule="exact" w:before="12"/>
        <w:ind w:left="1050" w:right="0" w:firstLine="0"/>
        <w:jc w:val="left"/>
        <w:rPr>
          <w:sz w:val="23"/>
        </w:rPr>
      </w:pPr>
      <w:r>
        <w:rPr>
          <w:sz w:val="23"/>
        </w:rPr>
        <w:t>randomized study. Clin Infect Dis 2007; 45:715-22.</w:t>
      </w:r>
    </w:p>
    <w:p>
      <w:pPr>
        <w:pStyle w:val="ListParagraph"/>
        <w:numPr>
          <w:ilvl w:val="0"/>
          <w:numId w:val="135"/>
        </w:numPr>
        <w:tabs>
          <w:tab w:pos="1050" w:val="left" w:leader="none"/>
        </w:tabs>
        <w:spacing w:line="216" w:lineRule="auto" w:before="9" w:after="0"/>
        <w:ind w:left="1049" w:right="1316" w:hanging="379"/>
        <w:jc w:val="left"/>
        <w:rPr>
          <w:sz w:val="23"/>
        </w:rPr>
      </w:pPr>
      <w:r>
        <w:rPr>
          <w:sz w:val="23"/>
        </w:rPr>
        <w:t>Diallo T, Adjobimey M, Ruslami R, et al. Safety and Side Effects of Rifampin versus Isoniazid in Children. New Engl J Med 2018; 379(5):</w:t>
      </w:r>
      <w:r>
        <w:rPr>
          <w:spacing w:val="-11"/>
          <w:sz w:val="23"/>
        </w:rPr>
        <w:t> </w:t>
      </w:r>
      <w:r>
        <w:rPr>
          <w:sz w:val="23"/>
        </w:rPr>
        <w:t>454-63.</w:t>
      </w:r>
    </w:p>
    <w:p>
      <w:pPr>
        <w:pStyle w:val="ListParagraph"/>
        <w:numPr>
          <w:ilvl w:val="0"/>
          <w:numId w:val="135"/>
        </w:numPr>
        <w:tabs>
          <w:tab w:pos="1050" w:val="left" w:leader="none"/>
        </w:tabs>
        <w:spacing w:line="216" w:lineRule="auto" w:before="0" w:after="0"/>
        <w:ind w:left="1049" w:right="1365" w:hanging="380"/>
        <w:jc w:val="left"/>
        <w:rPr>
          <w:color w:val="C00000"/>
          <w:sz w:val="23"/>
        </w:rPr>
      </w:pPr>
      <w:r>
        <w:rPr>
          <w:color w:val="C00000"/>
          <w:sz w:val="23"/>
        </w:rPr>
        <w:t>Chan PC, Lee PH, Lu MJ, et al. Safety and Tolerability Report on Once-Weekly Rifapentine plus Isoniazid among Child Contacts in Taiwan. (Oral presentation at 2017 Taiwan Pediatric Association annual conference, Autumn, Kaohsiung, Taiwan 20171118).</w:t>
      </w:r>
    </w:p>
    <w:p>
      <w:pPr>
        <w:pStyle w:val="ListParagraph"/>
        <w:numPr>
          <w:ilvl w:val="0"/>
          <w:numId w:val="135"/>
        </w:numPr>
        <w:tabs>
          <w:tab w:pos="1050" w:val="left" w:leader="none"/>
        </w:tabs>
        <w:spacing w:line="216" w:lineRule="auto" w:before="0" w:after="0"/>
        <w:ind w:left="1049" w:right="1785" w:hanging="380"/>
        <w:jc w:val="both"/>
        <w:rPr>
          <w:sz w:val="23"/>
        </w:rPr>
      </w:pPr>
      <w:r>
        <w:rPr>
          <w:sz w:val="23"/>
        </w:rPr>
        <w:t>Giulia Lombardi et al. QuantiFERON-TB Performs Better in Children, Including Infants, than in Adults with Active Tuberculosis: a Multicenter Study. Journal of Clinical Microbiology 2019 Volume 57 Issue 10</w:t>
      </w:r>
      <w:r>
        <w:rPr>
          <w:spacing w:val="-8"/>
          <w:sz w:val="23"/>
        </w:rPr>
        <w:t> </w:t>
      </w:r>
      <w:r>
        <w:rPr>
          <w:sz w:val="23"/>
        </w:rPr>
        <w:t>e01048-19</w:t>
      </w:r>
    </w:p>
    <w:p>
      <w:pPr>
        <w:pStyle w:val="ListParagraph"/>
        <w:numPr>
          <w:ilvl w:val="0"/>
          <w:numId w:val="135"/>
        </w:numPr>
        <w:tabs>
          <w:tab w:pos="1051" w:val="left" w:leader="none"/>
        </w:tabs>
        <w:spacing w:line="216" w:lineRule="auto" w:before="0" w:after="0"/>
        <w:ind w:left="1050" w:right="1442" w:hanging="380"/>
        <w:jc w:val="left"/>
        <w:rPr>
          <w:color w:val="C00000"/>
          <w:sz w:val="23"/>
        </w:rPr>
      </w:pPr>
      <w:r>
        <w:rPr>
          <w:color w:val="C00000"/>
          <w:sz w:val="23"/>
        </w:rPr>
        <w:t>食品藥品管理署. 含腫瘤壞死因子阻斷劑類（TNF-Alpha</w:t>
      </w:r>
      <w:r>
        <w:rPr>
          <w:color w:val="C00000"/>
          <w:spacing w:val="-7"/>
          <w:sz w:val="23"/>
        </w:rPr>
        <w:t> </w:t>
      </w:r>
      <w:r>
        <w:rPr>
          <w:color w:val="C00000"/>
          <w:sz w:val="23"/>
        </w:rPr>
        <w:t>Blockers）藥品之上市後風險</w:t>
      </w:r>
      <w:r>
        <w:rPr>
          <w:color w:val="C00000"/>
          <w:spacing w:val="-1"/>
          <w:sz w:val="23"/>
        </w:rPr>
        <w:t>管理計畫書. </w:t>
      </w:r>
      <w:r>
        <w:rPr>
          <w:color w:val="C00000"/>
          <w:sz w:val="23"/>
        </w:rPr>
        <w:t>2022/1/28</w:t>
      </w:r>
      <w:r>
        <w:rPr>
          <w:color w:val="C00000"/>
          <w:spacing w:val="8"/>
          <w:sz w:val="23"/>
        </w:rPr>
        <w:t> 公告修訂.</w:t>
      </w:r>
    </w:p>
    <w:p>
      <w:pPr>
        <w:pStyle w:val="ListParagraph"/>
        <w:numPr>
          <w:ilvl w:val="0"/>
          <w:numId w:val="135"/>
        </w:numPr>
        <w:tabs>
          <w:tab w:pos="1051" w:val="left" w:leader="none"/>
        </w:tabs>
        <w:spacing w:line="216" w:lineRule="auto" w:before="0" w:after="0"/>
        <w:ind w:left="1050" w:right="2053" w:hanging="380"/>
        <w:jc w:val="left"/>
        <w:rPr>
          <w:sz w:val="23"/>
        </w:rPr>
      </w:pPr>
      <w:r>
        <w:rPr>
          <w:sz w:val="23"/>
        </w:rPr>
        <w:t>Dooley KE, Savic R, Gupte A, et al. Once-weekly rifapentine and isoniazid for tuberculosis prevention in patients with HIV taking dolutegravir-based antiretroviral therapy: a phase 1/2 trial. Lancet HIV</w:t>
      </w:r>
      <w:r>
        <w:rPr>
          <w:spacing w:val="-15"/>
          <w:sz w:val="23"/>
        </w:rPr>
        <w:t> </w:t>
      </w:r>
      <w:r>
        <w:rPr>
          <w:sz w:val="23"/>
        </w:rPr>
        <w:t>2020;7:E401-409</w:t>
      </w:r>
    </w:p>
    <w:p>
      <w:pPr>
        <w:pStyle w:val="ListParagraph"/>
        <w:numPr>
          <w:ilvl w:val="0"/>
          <w:numId w:val="135"/>
        </w:numPr>
        <w:tabs>
          <w:tab w:pos="1051" w:val="left" w:leader="none"/>
        </w:tabs>
        <w:spacing w:line="216" w:lineRule="auto" w:before="0" w:after="0"/>
        <w:ind w:left="1050" w:right="1501" w:hanging="380"/>
        <w:jc w:val="left"/>
        <w:rPr>
          <w:sz w:val="23"/>
        </w:rPr>
      </w:pPr>
      <w:r>
        <w:rPr>
          <w:sz w:val="23"/>
        </w:rPr>
        <w:t>Hamada Y, Figueroa C, Martín-Sánchez M, Falzon D, Kanchar A. The safetyof isoniazid tuberculosis preventive treatment in pregnant and postpartum women: systematic review and meta-analysis. European Respiratory Journal 2020 55: 1901967; DOI:</w:t>
      </w:r>
      <w:r>
        <w:rPr>
          <w:spacing w:val="-3"/>
          <w:sz w:val="23"/>
        </w:rPr>
        <w:t> </w:t>
      </w:r>
      <w:r>
        <w:rPr>
          <w:sz w:val="23"/>
        </w:rPr>
        <w:t>10.1183/13993003.01967-2019</w:t>
      </w:r>
    </w:p>
    <w:p>
      <w:pPr>
        <w:pStyle w:val="ListParagraph"/>
        <w:numPr>
          <w:ilvl w:val="0"/>
          <w:numId w:val="135"/>
        </w:numPr>
        <w:tabs>
          <w:tab w:pos="1051" w:val="left" w:leader="none"/>
        </w:tabs>
        <w:spacing w:line="216" w:lineRule="auto" w:before="0" w:after="0"/>
        <w:ind w:left="1050" w:right="1725" w:hanging="380"/>
        <w:jc w:val="left"/>
        <w:rPr>
          <w:sz w:val="23"/>
        </w:rPr>
      </w:pPr>
      <w:r>
        <w:rPr>
          <w:sz w:val="23"/>
        </w:rPr>
        <w:t>Fu, </w:t>
      </w:r>
      <w:r>
        <w:rPr>
          <w:spacing w:val="2"/>
          <w:sz w:val="23"/>
        </w:rPr>
        <w:t>H. </w:t>
      </w:r>
      <w:r>
        <w:rPr>
          <w:spacing w:val="4"/>
          <w:sz w:val="23"/>
        </w:rPr>
        <w:t>(2020). Exploring challenges </w:t>
      </w:r>
      <w:r>
        <w:rPr>
          <w:spacing w:val="3"/>
          <w:sz w:val="23"/>
        </w:rPr>
        <w:t>and </w:t>
      </w:r>
      <w:r>
        <w:rPr>
          <w:spacing w:val="4"/>
          <w:sz w:val="23"/>
        </w:rPr>
        <w:t>opportunities </w:t>
      </w:r>
      <w:r>
        <w:rPr>
          <w:spacing w:val="3"/>
          <w:sz w:val="23"/>
        </w:rPr>
        <w:t>in </w:t>
      </w:r>
      <w:r>
        <w:rPr>
          <w:spacing w:val="4"/>
          <w:sz w:val="23"/>
        </w:rPr>
        <w:t>meeting </w:t>
      </w:r>
      <w:r>
        <w:rPr>
          <w:spacing w:val="5"/>
          <w:sz w:val="23"/>
        </w:rPr>
        <w:t>late-stage </w:t>
      </w:r>
      <w:r>
        <w:rPr>
          <w:sz w:val="23"/>
        </w:rPr>
        <w:t>end TB goals: Taiwan as a case study (PhD Thesis). Retrieved from</w:t>
      </w:r>
      <w:hyperlink r:id="rId72">
        <w:r>
          <w:rPr>
            <w:sz w:val="23"/>
            <w:u w:val="single"/>
          </w:rPr>
          <w:t> https://doi.org/10.25560/82532</w:t>
        </w:r>
        <w:r>
          <w:rPr>
            <w:sz w:val="23"/>
          </w:rPr>
          <w:t>.</w:t>
        </w:r>
      </w:hyperlink>
    </w:p>
    <w:p>
      <w:pPr>
        <w:pStyle w:val="ListParagraph"/>
        <w:numPr>
          <w:ilvl w:val="0"/>
          <w:numId w:val="135"/>
        </w:numPr>
        <w:tabs>
          <w:tab w:pos="1051" w:val="left" w:leader="none"/>
        </w:tabs>
        <w:spacing w:line="216" w:lineRule="auto" w:before="0" w:after="0"/>
        <w:ind w:left="1050" w:right="1315" w:hanging="380"/>
        <w:jc w:val="both"/>
        <w:rPr>
          <w:sz w:val="23"/>
        </w:rPr>
      </w:pPr>
      <w:r>
        <w:rPr>
          <w:sz w:val="23"/>
        </w:rPr>
        <w:t>Huang HL, Lee MR, Cheng MH et al. Impact of age on outcome of rifape-ntine- based weekly therapy for latent tuberculosis infection. Clin Infect Dis 2020; ciaa1741.</w:t>
      </w:r>
    </w:p>
    <w:p>
      <w:pPr>
        <w:pStyle w:val="ListParagraph"/>
        <w:numPr>
          <w:ilvl w:val="0"/>
          <w:numId w:val="135"/>
        </w:numPr>
        <w:tabs>
          <w:tab w:pos="1051" w:val="left" w:leader="none"/>
        </w:tabs>
        <w:spacing w:line="216" w:lineRule="auto" w:before="0" w:after="0"/>
        <w:ind w:left="1050" w:right="1314" w:hanging="380"/>
        <w:jc w:val="both"/>
        <w:rPr>
          <w:sz w:val="23"/>
        </w:rPr>
      </w:pPr>
      <w:r>
        <w:rPr>
          <w:sz w:val="23"/>
        </w:rPr>
        <w:t>Yu YY, Tsao SM, Yang WT et al. Association of Drug Metabolic Enzyme Genetic Polymorphisms and Adverse Drug Reactions in Patients Receiving Rifapentine and Isoniazid Therapy for Latent Tuberculosis. Int J Environ Res Public Health 2019; 17: 210.</w:t>
      </w:r>
    </w:p>
    <w:p>
      <w:pPr>
        <w:pStyle w:val="ListParagraph"/>
        <w:numPr>
          <w:ilvl w:val="0"/>
          <w:numId w:val="135"/>
        </w:numPr>
        <w:tabs>
          <w:tab w:pos="1051" w:val="left" w:leader="none"/>
        </w:tabs>
        <w:spacing w:line="216" w:lineRule="auto" w:before="0" w:after="0"/>
        <w:ind w:left="1050" w:right="1315" w:hanging="380"/>
        <w:jc w:val="both"/>
        <w:rPr>
          <w:sz w:val="23"/>
        </w:rPr>
      </w:pPr>
      <w:r>
        <w:rPr>
          <w:spacing w:val="-2"/>
          <w:sz w:val="23"/>
        </w:rPr>
        <w:t>疾病管制署科技計畫報告. 速克伏全都治：副作用, 介入成效及抗藥性產生評估, </w:t>
      </w:r>
      <w:r>
        <w:rPr>
          <w:sz w:val="23"/>
        </w:rPr>
        <w:t>2020</w:t>
      </w:r>
      <w:r>
        <w:rPr>
          <w:spacing w:val="27"/>
          <w:sz w:val="23"/>
        </w:rPr>
        <w:t> 期末報告</w:t>
      </w:r>
    </w:p>
    <w:p>
      <w:pPr>
        <w:pStyle w:val="ListParagraph"/>
        <w:numPr>
          <w:ilvl w:val="0"/>
          <w:numId w:val="135"/>
        </w:numPr>
        <w:tabs>
          <w:tab w:pos="1051" w:val="left" w:leader="none"/>
        </w:tabs>
        <w:spacing w:line="216" w:lineRule="auto" w:before="0" w:after="0"/>
        <w:ind w:left="1050" w:right="1316" w:hanging="380"/>
        <w:jc w:val="both"/>
        <w:rPr>
          <w:sz w:val="23"/>
        </w:rPr>
      </w:pPr>
      <w:r>
        <w:rPr>
          <w:spacing w:val="-1"/>
          <w:sz w:val="23"/>
        </w:rPr>
        <w:t>疾病管制署科技計畫報告. 速克伏全都治：副作用, 介入成效及抗藥性產生評估, </w:t>
      </w:r>
      <w:r>
        <w:rPr>
          <w:sz w:val="23"/>
        </w:rPr>
        <w:t>2021</w:t>
      </w:r>
      <w:r>
        <w:rPr>
          <w:spacing w:val="-1"/>
          <w:sz w:val="23"/>
        </w:rPr>
        <w:t> 期中報告</w:t>
      </w:r>
    </w:p>
    <w:p>
      <w:pPr>
        <w:pStyle w:val="ListParagraph"/>
        <w:numPr>
          <w:ilvl w:val="0"/>
          <w:numId w:val="135"/>
        </w:numPr>
        <w:tabs>
          <w:tab w:pos="1051" w:val="left" w:leader="none"/>
        </w:tabs>
        <w:spacing w:line="216" w:lineRule="auto" w:before="0" w:after="0"/>
        <w:ind w:left="1050" w:right="1314" w:hanging="380"/>
        <w:jc w:val="both"/>
        <w:rPr>
          <w:color w:val="C00000"/>
          <w:sz w:val="23"/>
        </w:rPr>
      </w:pPr>
      <w:r>
        <w:rPr>
          <w:color w:val="C00000"/>
          <w:sz w:val="23"/>
        </w:rPr>
        <w:t>Swindells S, Ramchandani R, Gupta A, Benson CA, Leon-Cruz J, Mwelase N, et al. One Month of Rifapentine plus Isoniazid to Prevent HIV-Related Tuberculosis. N Engl J Med. 2019;</w:t>
      </w:r>
      <w:r>
        <w:rPr>
          <w:color w:val="C00000"/>
          <w:spacing w:val="-4"/>
          <w:sz w:val="23"/>
        </w:rPr>
        <w:t> </w:t>
      </w:r>
      <w:r>
        <w:rPr>
          <w:color w:val="C00000"/>
          <w:sz w:val="23"/>
        </w:rPr>
        <w:t>380(11):1001–11.</w:t>
      </w:r>
    </w:p>
    <w:p>
      <w:pPr>
        <w:pStyle w:val="ListParagraph"/>
        <w:numPr>
          <w:ilvl w:val="0"/>
          <w:numId w:val="135"/>
        </w:numPr>
        <w:tabs>
          <w:tab w:pos="1067" w:val="left" w:leader="none"/>
        </w:tabs>
        <w:spacing w:line="206" w:lineRule="auto" w:before="0" w:after="0"/>
        <w:ind w:left="1066" w:right="1930" w:hanging="396"/>
        <w:jc w:val="both"/>
        <w:rPr>
          <w:color w:val="C00000"/>
          <w:sz w:val="23"/>
        </w:rPr>
      </w:pPr>
      <w:r>
        <w:rPr>
          <w:color w:val="C00000"/>
          <w:sz w:val="24"/>
        </w:rPr>
        <w:t>European Centre for Disease Prevention and Control Programmatic management </w:t>
      </w:r>
      <w:r>
        <w:rPr>
          <w:color w:val="C00000"/>
          <w:spacing w:val="-3"/>
          <w:sz w:val="24"/>
        </w:rPr>
        <w:t>of </w:t>
      </w:r>
      <w:r>
        <w:rPr>
          <w:color w:val="C00000"/>
          <w:sz w:val="24"/>
        </w:rPr>
        <w:t>latent tuberculosis infection in the European Union,</w:t>
      </w:r>
      <w:r>
        <w:rPr>
          <w:color w:val="C00000"/>
          <w:spacing w:val="-28"/>
          <w:sz w:val="24"/>
        </w:rPr>
        <w:t> </w:t>
      </w:r>
      <w:r>
        <w:rPr>
          <w:color w:val="C00000"/>
          <w:sz w:val="24"/>
        </w:rPr>
        <w:t>2018</w:t>
      </w:r>
    </w:p>
    <w:p>
      <w:pPr>
        <w:spacing w:after="0" w:line="206" w:lineRule="auto"/>
        <w:jc w:val="both"/>
        <w:rPr>
          <w:sz w:val="23"/>
        </w:rPr>
        <w:sectPr>
          <w:pgSz w:w="12250" w:h="17190"/>
          <w:pgMar w:header="0" w:footer="734" w:top="1460" w:bottom="1020" w:left="1020" w:right="0"/>
        </w:sectPr>
      </w:pPr>
    </w:p>
    <w:p>
      <w:pPr>
        <w:pStyle w:val="ListParagraph"/>
        <w:numPr>
          <w:ilvl w:val="0"/>
          <w:numId w:val="135"/>
        </w:numPr>
        <w:tabs>
          <w:tab w:pos="1067" w:val="left" w:leader="none"/>
        </w:tabs>
        <w:spacing w:line="206" w:lineRule="auto" w:before="63" w:after="0"/>
        <w:ind w:left="1066" w:right="1386" w:hanging="396"/>
        <w:jc w:val="left"/>
        <w:rPr>
          <w:color w:val="C00000"/>
          <w:sz w:val="23"/>
        </w:rPr>
      </w:pPr>
      <w:r>
        <w:rPr/>
        <w:pict>
          <v:group style="position:absolute;margin-left:570.75pt;margin-top:1.456182pt;width:41.65pt;height:191.25pt;mso-position-horizontal-relative:page;mso-position-vertical-relative:paragraph;z-index:251871232" coordorigin="11415,29" coordsize="833,3825">
            <v:shape style="position:absolute;left:11415;top:29;width:833;height:3825" coordorigin="11415,29" coordsize="833,3825" path="m12242,29l11580,29,11516,42,11463,78,11428,130,11415,194,11415,3689,11428,3753,11463,3806,11516,3841,11580,3854,12242,3854,12247,3853,12247,30,12242,29xe" filled="true" fillcolor="#a6a6a6" stroked="false">
              <v:path arrowok="t"/>
              <v:fill type="solid"/>
            </v:shape>
            <v:shape style="position:absolute;left:11415;top:29;width:833;height:3825" type="#_x0000_t202" filled="false" stroked="false">
              <v:textbox inset="0,0,0,0">
                <w:txbxContent>
                  <w:p>
                    <w:pPr>
                      <w:spacing w:line="146" w:lineRule="auto" w:before="126"/>
                      <w:ind w:left="136" w:right="474" w:firstLine="0"/>
                      <w:jc w:val="both"/>
                      <w:rPr>
                        <w:sz w:val="22"/>
                      </w:rPr>
                    </w:pPr>
                    <w:r>
                      <w:rPr>
                        <w:sz w:val="22"/>
                      </w:rPr>
                      <w:t>第十章</w:t>
                    </w:r>
                  </w:p>
                  <w:p>
                    <w:pPr>
                      <w:spacing w:line="141" w:lineRule="auto" w:before="235"/>
                      <w:ind w:left="136" w:right="474" w:firstLine="0"/>
                      <w:jc w:val="both"/>
                      <w:rPr>
                        <w:sz w:val="22"/>
                      </w:rPr>
                    </w:pPr>
                    <w:r>
                      <w:rPr>
                        <w:sz w:val="22"/>
                      </w:rPr>
                      <w:t>潛伏結核感染診斷與治療</w:t>
                    </w:r>
                  </w:p>
                </w:txbxContent>
              </v:textbox>
              <w10:wrap type="none"/>
            </v:shape>
            <w10:wrap type="none"/>
          </v:group>
        </w:pict>
      </w:r>
      <w:r>
        <w:rPr>
          <w:color w:val="C00000"/>
          <w:sz w:val="24"/>
        </w:rPr>
        <w:t>Guidelines for the treatment </w:t>
      </w:r>
      <w:r>
        <w:rPr>
          <w:color w:val="C00000"/>
          <w:spacing w:val="-3"/>
          <w:sz w:val="24"/>
        </w:rPr>
        <w:t>of </w:t>
      </w:r>
      <w:r>
        <w:rPr>
          <w:color w:val="C00000"/>
          <w:sz w:val="24"/>
        </w:rPr>
        <w:t>latent tuberculosis infection: Recommendations from the National </w:t>
      </w:r>
      <w:r>
        <w:rPr>
          <w:color w:val="C00000"/>
          <w:spacing w:val="-3"/>
          <w:sz w:val="24"/>
        </w:rPr>
        <w:t>Tuberculosis </w:t>
      </w:r>
      <w:r>
        <w:rPr>
          <w:color w:val="C00000"/>
          <w:sz w:val="24"/>
        </w:rPr>
        <w:t>Controllers Association and CDC,</w:t>
      </w:r>
      <w:r>
        <w:rPr>
          <w:color w:val="C00000"/>
          <w:spacing w:val="-1"/>
          <w:sz w:val="24"/>
        </w:rPr>
        <w:t> </w:t>
      </w:r>
      <w:r>
        <w:rPr>
          <w:color w:val="C00000"/>
          <w:sz w:val="24"/>
        </w:rPr>
        <w:t>2020</w:t>
      </w:r>
    </w:p>
    <w:p>
      <w:pPr>
        <w:pStyle w:val="ListParagraph"/>
        <w:numPr>
          <w:ilvl w:val="0"/>
          <w:numId w:val="135"/>
        </w:numPr>
        <w:tabs>
          <w:tab w:pos="1051" w:val="left" w:leader="none"/>
        </w:tabs>
        <w:spacing w:line="216" w:lineRule="auto" w:before="1" w:after="0"/>
        <w:ind w:left="1050" w:right="1419" w:hanging="380"/>
        <w:jc w:val="left"/>
        <w:rPr>
          <w:color w:val="C00000"/>
          <w:sz w:val="23"/>
        </w:rPr>
      </w:pPr>
      <w:r>
        <w:rPr>
          <w:color w:val="C00000"/>
          <w:sz w:val="23"/>
        </w:rPr>
        <w:t>Liou B-H et al. Short-course daily isoniazid and rifapentine for latent tuberculosis infection in people living with HIV who received coformulated bictegravir/emtricitabine/tenofovir alafenamide. Journal of the International AIDS Society 2021,</w:t>
      </w:r>
      <w:r>
        <w:rPr>
          <w:color w:val="C00000"/>
          <w:spacing w:val="-2"/>
          <w:sz w:val="23"/>
        </w:rPr>
        <w:t> </w:t>
      </w:r>
      <w:r>
        <w:rPr>
          <w:color w:val="C00000"/>
          <w:sz w:val="23"/>
        </w:rPr>
        <w:t>24:e25844</w:t>
      </w:r>
    </w:p>
    <w:p>
      <w:pPr>
        <w:pStyle w:val="ListParagraph"/>
        <w:numPr>
          <w:ilvl w:val="0"/>
          <w:numId w:val="135"/>
        </w:numPr>
        <w:tabs>
          <w:tab w:pos="1051" w:val="left" w:leader="none"/>
        </w:tabs>
        <w:spacing w:line="216" w:lineRule="auto" w:before="0" w:after="0"/>
        <w:ind w:left="1049" w:right="1315" w:hanging="379"/>
        <w:jc w:val="both"/>
        <w:rPr>
          <w:color w:val="C00000"/>
          <w:sz w:val="23"/>
        </w:rPr>
      </w:pPr>
      <w:r>
        <w:rPr>
          <w:color w:val="C00000"/>
          <w:sz w:val="23"/>
        </w:rPr>
        <w:t>Chan PC, Lin YX, Chu PW, Lee CC. Long-term Follow-up for TB Contacts Receiving 6H</w:t>
      </w:r>
      <w:r>
        <w:rPr>
          <w:color w:val="C00000"/>
          <w:spacing w:val="-9"/>
          <w:sz w:val="23"/>
        </w:rPr>
        <w:t> </w:t>
      </w:r>
      <w:r>
        <w:rPr>
          <w:color w:val="C00000"/>
          <w:sz w:val="23"/>
        </w:rPr>
        <w:t>and</w:t>
      </w:r>
      <w:r>
        <w:rPr>
          <w:color w:val="C00000"/>
          <w:spacing w:val="-7"/>
          <w:sz w:val="23"/>
        </w:rPr>
        <w:t> </w:t>
      </w:r>
      <w:r>
        <w:rPr>
          <w:color w:val="C00000"/>
          <w:sz w:val="23"/>
        </w:rPr>
        <w:t>9H.</w:t>
      </w:r>
      <w:r>
        <w:rPr>
          <w:color w:val="C00000"/>
          <w:spacing w:val="-8"/>
          <w:sz w:val="23"/>
        </w:rPr>
        <w:t> </w:t>
      </w:r>
      <w:r>
        <w:rPr>
          <w:color w:val="C00000"/>
          <w:sz w:val="23"/>
        </w:rPr>
        <w:t>(Oral</w:t>
      </w:r>
      <w:r>
        <w:rPr>
          <w:color w:val="C00000"/>
          <w:spacing w:val="-7"/>
          <w:sz w:val="23"/>
        </w:rPr>
        <w:t> </w:t>
      </w:r>
      <w:r>
        <w:rPr>
          <w:color w:val="C00000"/>
          <w:sz w:val="23"/>
        </w:rPr>
        <w:t>presentation</w:t>
      </w:r>
      <w:r>
        <w:rPr>
          <w:color w:val="C00000"/>
          <w:spacing w:val="-7"/>
          <w:sz w:val="23"/>
        </w:rPr>
        <w:t> </w:t>
      </w:r>
      <w:r>
        <w:rPr>
          <w:color w:val="C00000"/>
          <w:sz w:val="23"/>
        </w:rPr>
        <w:t>at</w:t>
      </w:r>
      <w:r>
        <w:rPr>
          <w:color w:val="C00000"/>
          <w:spacing w:val="-8"/>
          <w:sz w:val="23"/>
        </w:rPr>
        <w:t> </w:t>
      </w:r>
      <w:r>
        <w:rPr>
          <w:color w:val="C00000"/>
          <w:sz w:val="23"/>
        </w:rPr>
        <w:t>the</w:t>
      </w:r>
      <w:r>
        <w:rPr>
          <w:color w:val="C00000"/>
          <w:spacing w:val="-9"/>
          <w:sz w:val="23"/>
        </w:rPr>
        <w:t> </w:t>
      </w:r>
      <w:r>
        <w:rPr>
          <w:color w:val="C00000"/>
          <w:sz w:val="23"/>
        </w:rPr>
        <w:t>52</w:t>
      </w:r>
      <w:r>
        <w:rPr>
          <w:color w:val="C00000"/>
          <w:sz w:val="23"/>
          <w:vertAlign w:val="superscript"/>
        </w:rPr>
        <w:t>nd</w:t>
      </w:r>
      <w:r>
        <w:rPr>
          <w:color w:val="C00000"/>
          <w:spacing w:val="-7"/>
          <w:sz w:val="23"/>
          <w:vertAlign w:val="baseline"/>
        </w:rPr>
        <w:t> </w:t>
      </w:r>
      <w:r>
        <w:rPr>
          <w:color w:val="C00000"/>
          <w:sz w:val="23"/>
          <w:vertAlign w:val="baseline"/>
        </w:rPr>
        <w:t>World</w:t>
      </w:r>
      <w:r>
        <w:rPr>
          <w:color w:val="C00000"/>
          <w:spacing w:val="-7"/>
          <w:sz w:val="23"/>
          <w:vertAlign w:val="baseline"/>
        </w:rPr>
        <w:t> </w:t>
      </w:r>
      <w:r>
        <w:rPr>
          <w:color w:val="C00000"/>
          <w:sz w:val="23"/>
          <w:vertAlign w:val="baseline"/>
        </w:rPr>
        <w:t>Virtual</w:t>
      </w:r>
      <w:r>
        <w:rPr>
          <w:color w:val="C00000"/>
          <w:spacing w:val="-8"/>
          <w:sz w:val="23"/>
          <w:vertAlign w:val="baseline"/>
        </w:rPr>
        <w:t> </w:t>
      </w:r>
      <w:r>
        <w:rPr>
          <w:color w:val="C00000"/>
          <w:sz w:val="23"/>
          <w:vertAlign w:val="baseline"/>
        </w:rPr>
        <w:t>Conference</w:t>
      </w:r>
      <w:r>
        <w:rPr>
          <w:color w:val="C00000"/>
          <w:spacing w:val="-8"/>
          <w:sz w:val="23"/>
          <w:vertAlign w:val="baseline"/>
        </w:rPr>
        <w:t> </w:t>
      </w:r>
      <w:r>
        <w:rPr>
          <w:color w:val="C00000"/>
          <w:sz w:val="23"/>
          <w:vertAlign w:val="baseline"/>
        </w:rPr>
        <w:t>of</w:t>
      </w:r>
      <w:r>
        <w:rPr>
          <w:color w:val="C00000"/>
          <w:spacing w:val="-7"/>
          <w:sz w:val="23"/>
          <w:vertAlign w:val="baseline"/>
        </w:rPr>
        <w:t> </w:t>
      </w:r>
      <w:r>
        <w:rPr>
          <w:color w:val="C00000"/>
          <w:sz w:val="23"/>
          <w:vertAlign w:val="baseline"/>
        </w:rPr>
        <w:t>International Union against Tuberculosis and Lung Disease 2022, November 9</w:t>
      </w:r>
      <w:r>
        <w:rPr>
          <w:color w:val="C00000"/>
          <w:sz w:val="23"/>
          <w:vertAlign w:val="superscript"/>
        </w:rPr>
        <w:t>th</w:t>
      </w:r>
      <w:r>
        <w:rPr>
          <w:color w:val="C00000"/>
          <w:sz w:val="23"/>
          <w:vertAlign w:val="baseline"/>
        </w:rPr>
        <w:t>,</w:t>
      </w:r>
      <w:r>
        <w:rPr>
          <w:color w:val="C00000"/>
          <w:spacing w:val="-15"/>
          <w:sz w:val="23"/>
          <w:vertAlign w:val="baseline"/>
        </w:rPr>
        <w:t> </w:t>
      </w:r>
      <w:r>
        <w:rPr>
          <w:color w:val="C00000"/>
          <w:sz w:val="23"/>
          <w:vertAlign w:val="baseline"/>
        </w:rPr>
        <w:t>2022)</w:t>
      </w:r>
    </w:p>
    <w:p>
      <w:pPr>
        <w:pStyle w:val="ListParagraph"/>
        <w:numPr>
          <w:ilvl w:val="0"/>
          <w:numId w:val="135"/>
        </w:numPr>
        <w:tabs>
          <w:tab w:pos="1127" w:val="left" w:leader="none"/>
        </w:tabs>
        <w:spacing w:line="216" w:lineRule="auto" w:before="0" w:after="0"/>
        <w:ind w:left="1126" w:right="1314" w:hanging="360"/>
        <w:jc w:val="both"/>
        <w:rPr>
          <w:color w:val="C00000"/>
          <w:sz w:val="23"/>
        </w:rPr>
      </w:pPr>
      <w:r>
        <w:rPr>
          <w:color w:val="C00000"/>
          <w:sz w:val="23"/>
        </w:rPr>
        <w:t>Gupta</w:t>
      </w:r>
      <w:r>
        <w:rPr>
          <w:color w:val="C00000"/>
          <w:spacing w:val="-13"/>
          <w:sz w:val="23"/>
        </w:rPr>
        <w:t> </w:t>
      </w:r>
      <w:r>
        <w:rPr>
          <w:color w:val="C00000"/>
          <w:sz w:val="23"/>
        </w:rPr>
        <w:t>A,</w:t>
      </w:r>
      <w:r>
        <w:rPr>
          <w:color w:val="C00000"/>
          <w:spacing w:val="-11"/>
          <w:sz w:val="23"/>
        </w:rPr>
        <w:t> </w:t>
      </w:r>
      <w:r>
        <w:rPr>
          <w:color w:val="C00000"/>
          <w:sz w:val="23"/>
        </w:rPr>
        <w:t>Montepiedra</w:t>
      </w:r>
      <w:r>
        <w:rPr>
          <w:color w:val="C00000"/>
          <w:spacing w:val="-12"/>
          <w:sz w:val="23"/>
        </w:rPr>
        <w:t> </w:t>
      </w:r>
      <w:r>
        <w:rPr>
          <w:color w:val="C00000"/>
          <w:sz w:val="23"/>
        </w:rPr>
        <w:t>G,</w:t>
      </w:r>
      <w:r>
        <w:rPr>
          <w:color w:val="C00000"/>
          <w:spacing w:val="-11"/>
          <w:sz w:val="23"/>
        </w:rPr>
        <w:t> </w:t>
      </w:r>
      <w:r>
        <w:rPr>
          <w:color w:val="C00000"/>
          <w:sz w:val="23"/>
        </w:rPr>
        <w:t>Aaron</w:t>
      </w:r>
      <w:r>
        <w:rPr>
          <w:color w:val="C00000"/>
          <w:spacing w:val="-13"/>
          <w:sz w:val="23"/>
        </w:rPr>
        <w:t> </w:t>
      </w:r>
      <w:r>
        <w:rPr>
          <w:color w:val="C00000"/>
          <w:sz w:val="23"/>
        </w:rPr>
        <w:t>L,</w:t>
      </w:r>
      <w:r>
        <w:rPr>
          <w:color w:val="C00000"/>
          <w:spacing w:val="-11"/>
          <w:sz w:val="23"/>
        </w:rPr>
        <w:t> </w:t>
      </w:r>
      <w:r>
        <w:rPr>
          <w:color w:val="C00000"/>
          <w:sz w:val="23"/>
        </w:rPr>
        <w:t>Theron</w:t>
      </w:r>
      <w:r>
        <w:rPr>
          <w:color w:val="C00000"/>
          <w:spacing w:val="-12"/>
          <w:sz w:val="23"/>
        </w:rPr>
        <w:t> </w:t>
      </w:r>
      <w:r>
        <w:rPr>
          <w:color w:val="C00000"/>
          <w:sz w:val="23"/>
        </w:rPr>
        <w:t>G,</w:t>
      </w:r>
      <w:r>
        <w:rPr>
          <w:color w:val="C00000"/>
          <w:spacing w:val="-14"/>
          <w:sz w:val="23"/>
        </w:rPr>
        <w:t> </w:t>
      </w:r>
      <w:r>
        <w:rPr>
          <w:color w:val="C00000"/>
          <w:sz w:val="23"/>
        </w:rPr>
        <w:t>McCarthy</w:t>
      </w:r>
      <w:r>
        <w:rPr>
          <w:color w:val="C00000"/>
          <w:spacing w:val="-12"/>
          <w:sz w:val="23"/>
        </w:rPr>
        <w:t> </w:t>
      </w:r>
      <w:r>
        <w:rPr>
          <w:color w:val="C00000"/>
          <w:sz w:val="23"/>
        </w:rPr>
        <w:t>K,</w:t>
      </w:r>
      <w:r>
        <w:rPr>
          <w:color w:val="C00000"/>
          <w:spacing w:val="-12"/>
          <w:sz w:val="23"/>
        </w:rPr>
        <w:t> </w:t>
      </w:r>
      <w:r>
        <w:rPr>
          <w:color w:val="C00000"/>
          <w:sz w:val="23"/>
        </w:rPr>
        <w:t>Bradford</w:t>
      </w:r>
      <w:r>
        <w:rPr>
          <w:color w:val="C00000"/>
          <w:spacing w:val="-12"/>
          <w:sz w:val="23"/>
        </w:rPr>
        <w:t> </w:t>
      </w:r>
      <w:r>
        <w:rPr>
          <w:color w:val="C00000"/>
          <w:sz w:val="23"/>
        </w:rPr>
        <w:t>S,</w:t>
      </w:r>
      <w:r>
        <w:rPr>
          <w:color w:val="C00000"/>
          <w:spacing w:val="-11"/>
          <w:sz w:val="23"/>
        </w:rPr>
        <w:t> </w:t>
      </w:r>
      <w:r>
        <w:rPr>
          <w:color w:val="C00000"/>
          <w:sz w:val="23"/>
        </w:rPr>
        <w:t>et</w:t>
      </w:r>
      <w:r>
        <w:rPr>
          <w:color w:val="C00000"/>
          <w:spacing w:val="-13"/>
          <w:sz w:val="23"/>
        </w:rPr>
        <w:t> </w:t>
      </w:r>
      <w:r>
        <w:rPr>
          <w:color w:val="C00000"/>
          <w:sz w:val="23"/>
        </w:rPr>
        <w:t>al.</w:t>
      </w:r>
      <w:r>
        <w:rPr>
          <w:color w:val="C00000"/>
          <w:spacing w:val="-13"/>
          <w:sz w:val="23"/>
        </w:rPr>
        <w:t> </w:t>
      </w:r>
      <w:r>
        <w:rPr>
          <w:color w:val="C00000"/>
          <w:sz w:val="23"/>
        </w:rPr>
        <w:t>Isoniazid preventive therapy in HIV-infected pregnant and postpartum women. N Engl J Med.</w:t>
      </w:r>
      <w:r>
        <w:rPr>
          <w:color w:val="C00000"/>
          <w:spacing w:val="-2"/>
          <w:sz w:val="23"/>
        </w:rPr>
        <w:t> </w:t>
      </w:r>
      <w:r>
        <w:rPr>
          <w:color w:val="C00000"/>
          <w:sz w:val="23"/>
        </w:rPr>
        <w:t>2019;381(14):1333–46.</w:t>
      </w:r>
    </w:p>
    <w:p>
      <w:pPr>
        <w:pStyle w:val="ListParagraph"/>
        <w:numPr>
          <w:ilvl w:val="0"/>
          <w:numId w:val="135"/>
        </w:numPr>
        <w:tabs>
          <w:tab w:pos="1051" w:val="left" w:leader="none"/>
        </w:tabs>
        <w:spacing w:line="216" w:lineRule="auto" w:before="0" w:after="0"/>
        <w:ind w:left="1050" w:right="1315" w:hanging="380"/>
        <w:jc w:val="both"/>
        <w:rPr>
          <w:color w:val="C00000"/>
          <w:sz w:val="23"/>
        </w:rPr>
      </w:pPr>
      <w:r>
        <w:rPr>
          <w:color w:val="C00000"/>
          <w:spacing w:val="4"/>
          <w:sz w:val="23"/>
        </w:rPr>
        <w:t>疾病管制署科技計畫報告 </w:t>
      </w:r>
      <w:r>
        <w:rPr>
          <w:color w:val="C00000"/>
          <w:sz w:val="23"/>
        </w:rPr>
        <w:t>1HP</w:t>
      </w:r>
      <w:r>
        <w:rPr>
          <w:color w:val="C00000"/>
          <w:spacing w:val="17"/>
          <w:sz w:val="23"/>
        </w:rPr>
        <w:t> 與 </w:t>
      </w:r>
      <w:r>
        <w:rPr>
          <w:color w:val="C00000"/>
          <w:sz w:val="23"/>
        </w:rPr>
        <w:t>3HP 處方用於潛伏結核感染治療之完成率、安全性、生物標記與保護效力：一個多中心前瞻性臨床研究,2020-2022</w:t>
      </w:r>
      <w:r>
        <w:rPr>
          <w:color w:val="C00000"/>
          <w:spacing w:val="-1"/>
          <w:sz w:val="23"/>
        </w:rPr>
        <w:t> 期末報告</w:t>
      </w:r>
    </w:p>
    <w:p>
      <w:pPr>
        <w:pStyle w:val="ListParagraph"/>
        <w:numPr>
          <w:ilvl w:val="0"/>
          <w:numId w:val="135"/>
        </w:numPr>
        <w:tabs>
          <w:tab w:pos="1051" w:val="left" w:leader="none"/>
        </w:tabs>
        <w:spacing w:line="216" w:lineRule="auto" w:before="0" w:after="0"/>
        <w:ind w:left="1050" w:right="1425" w:hanging="380"/>
        <w:jc w:val="both"/>
        <w:rPr>
          <w:color w:val="C00000"/>
          <w:sz w:val="23"/>
        </w:rPr>
      </w:pPr>
      <w:r>
        <w:rPr>
          <w:color w:val="C00000"/>
          <w:spacing w:val="-1"/>
          <w:sz w:val="23"/>
        </w:rPr>
        <w:t>財團法人藥害救濟基金會. </w:t>
      </w:r>
      <w:r>
        <w:rPr>
          <w:color w:val="C00000"/>
          <w:sz w:val="23"/>
        </w:rPr>
        <w:t>Fluoroquinolone</w:t>
      </w:r>
      <w:r>
        <w:rPr>
          <w:color w:val="C00000"/>
          <w:spacing w:val="-3"/>
          <w:sz w:val="23"/>
        </w:rPr>
        <w:t> 與 </w:t>
      </w:r>
      <w:r>
        <w:rPr>
          <w:color w:val="C00000"/>
          <w:sz w:val="23"/>
        </w:rPr>
        <w:t>Quinolone</w:t>
      </w:r>
      <w:r>
        <w:rPr>
          <w:color w:val="C00000"/>
          <w:spacing w:val="-2"/>
          <w:sz w:val="23"/>
        </w:rPr>
        <w:t> 類抗生素藥品安全資訊風險</w:t>
      </w:r>
      <w:r>
        <w:rPr>
          <w:color w:val="C00000"/>
          <w:spacing w:val="-3"/>
          <w:sz w:val="23"/>
        </w:rPr>
        <w:t>溝通表. </w:t>
      </w:r>
      <w:r>
        <w:rPr>
          <w:color w:val="C00000"/>
          <w:sz w:val="23"/>
        </w:rPr>
        <w:t>2019</w:t>
      </w:r>
      <w:r>
        <w:rPr>
          <w:color w:val="C00000"/>
          <w:spacing w:val="-3"/>
          <w:sz w:val="23"/>
        </w:rPr>
        <w:t> </w:t>
      </w:r>
      <w:r>
        <w:rPr>
          <w:color w:val="C00000"/>
          <w:sz w:val="23"/>
        </w:rPr>
        <w:t>March</w:t>
      </w:r>
      <w:r>
        <w:rPr>
          <w:color w:val="C00000"/>
          <w:spacing w:val="9"/>
          <w:sz w:val="23"/>
        </w:rPr>
        <w:t> 公布. </w:t>
      </w:r>
      <w:hyperlink r:id="rId73">
        <w:r>
          <w:rPr>
            <w:color w:val="C00000"/>
            <w:sz w:val="23"/>
          </w:rPr>
          <w:t>https://www.tdrf.org.tw/2019/03/21/safety02-18/</w:t>
        </w:r>
      </w:hyperlink>
    </w:p>
    <w:p>
      <w:pPr>
        <w:pStyle w:val="ListParagraph"/>
        <w:numPr>
          <w:ilvl w:val="0"/>
          <w:numId w:val="135"/>
        </w:numPr>
        <w:tabs>
          <w:tab w:pos="1051" w:val="left" w:leader="none"/>
        </w:tabs>
        <w:spacing w:line="216" w:lineRule="auto" w:before="0" w:after="0"/>
        <w:ind w:left="1050" w:right="1358" w:hanging="379"/>
        <w:jc w:val="left"/>
        <w:rPr>
          <w:color w:val="C00000"/>
          <w:sz w:val="23"/>
        </w:rPr>
      </w:pPr>
      <w:r>
        <w:rPr>
          <w:color w:val="C00000"/>
          <w:sz w:val="23"/>
        </w:rPr>
        <w:t>Curry International Tuberculosis Center and California Department of Public Health. Drug-resistant tuberculosis: a survival guide for clinicians, 3rd ed. Oakland, CA: Curry International Tuberculosis Center and California Department of Public Health; 2016. </w:t>
      </w:r>
      <w:hyperlink r:id="rId74">
        <w:r>
          <w:rPr>
            <w:color w:val="C00000"/>
            <w:sz w:val="23"/>
          </w:rPr>
          <w:t>https://www.currytbcenter.ucsf.edu/products/view/drug-resistant-</w:t>
        </w:r>
      </w:hyperlink>
      <w:hyperlink r:id="rId74">
        <w:r>
          <w:rPr>
            <w:color w:val="C00000"/>
            <w:sz w:val="23"/>
          </w:rPr>
          <w:t> tuberculosis-survival-guide-clinicians-3rd-edition</w:t>
        </w:r>
      </w:hyperlink>
    </w:p>
    <w:p>
      <w:pPr>
        <w:pStyle w:val="ListParagraph"/>
        <w:numPr>
          <w:ilvl w:val="0"/>
          <w:numId w:val="135"/>
        </w:numPr>
        <w:tabs>
          <w:tab w:pos="1051" w:val="left" w:leader="none"/>
        </w:tabs>
        <w:spacing w:line="216" w:lineRule="auto" w:before="0" w:after="0"/>
        <w:ind w:left="1050" w:right="1527" w:hanging="380"/>
        <w:jc w:val="left"/>
        <w:rPr>
          <w:color w:val="C00000"/>
          <w:sz w:val="23"/>
        </w:rPr>
      </w:pPr>
      <w:r>
        <w:rPr>
          <w:color w:val="C00000"/>
          <w:sz w:val="23"/>
        </w:rPr>
        <w:t>Nahid P, Mase SR, Migliori GB, et al. Treatment of drug-resistant tuberculosis. An official ATS/CDC/ERS/IDSA clinical practice guideline. Am J Respir Crit Care Med 2019;200:e93–e142. With erratum on</w:t>
      </w:r>
      <w:hyperlink r:id="rId75">
        <w:r>
          <w:rPr>
            <w:color w:val="C00000"/>
            <w:sz w:val="23"/>
          </w:rPr>
          <w:t> https://www.atsjournals.org/doi/full/10.1164/rccm.v201erratum2</w:t>
        </w:r>
      </w:hyperlink>
    </w:p>
    <w:p>
      <w:pPr>
        <w:pStyle w:val="ListParagraph"/>
        <w:numPr>
          <w:ilvl w:val="0"/>
          <w:numId w:val="135"/>
        </w:numPr>
        <w:tabs>
          <w:tab w:pos="1051" w:val="left" w:leader="none"/>
        </w:tabs>
        <w:spacing w:line="216" w:lineRule="auto" w:before="0" w:after="0"/>
        <w:ind w:left="1050" w:right="1317" w:hanging="380"/>
        <w:jc w:val="left"/>
        <w:rPr>
          <w:color w:val="C00000"/>
          <w:sz w:val="23"/>
        </w:rPr>
      </w:pPr>
      <w:r>
        <w:rPr>
          <w:color w:val="C00000"/>
          <w:sz w:val="23"/>
        </w:rPr>
        <w:t>WHO operational handbook on tuberculosis: module 1: prevention: tuberculosis preventive treatment. Geneva: World Health Organization;</w:t>
      </w:r>
      <w:r>
        <w:rPr>
          <w:color w:val="C00000"/>
          <w:spacing w:val="-10"/>
          <w:sz w:val="23"/>
        </w:rPr>
        <w:t> </w:t>
      </w:r>
      <w:r>
        <w:rPr>
          <w:color w:val="C00000"/>
          <w:sz w:val="23"/>
        </w:rPr>
        <w:t>2020.</w:t>
      </w:r>
    </w:p>
    <w:p>
      <w:pPr>
        <w:spacing w:after="0" w:line="216" w:lineRule="auto"/>
        <w:jc w:val="left"/>
        <w:rPr>
          <w:sz w:val="23"/>
        </w:rPr>
        <w:sectPr>
          <w:pgSz w:w="12250" w:h="17190"/>
          <w:pgMar w:header="0" w:footer="734" w:top="1440" w:bottom="1020" w:left="1020" w:right="0"/>
        </w:sectPr>
      </w:pPr>
    </w:p>
    <w:p>
      <w:pPr>
        <w:pStyle w:val="Heading6"/>
        <w:spacing w:before="20"/>
        <w:ind w:left="1539" w:right="2558"/>
        <w:jc w:val="center"/>
      </w:pPr>
      <w:r>
        <w:rPr/>
        <w:t>附件 10-1: 可能與 rifampin 或 rifapentine 產生交互作用之藥物</w:t>
      </w:r>
    </w:p>
    <w:p>
      <w:pPr>
        <w:pStyle w:val="BodyText"/>
        <w:spacing w:before="39" w:after="50"/>
        <w:ind w:left="1536" w:right="2558"/>
        <w:jc w:val="center"/>
      </w:pPr>
      <w:r>
        <w:rPr/>
        <w:t>(愛滋抗病毒藥物請參考第九章)</w:t>
      </w:r>
    </w:p>
    <w:tbl>
      <w:tblPr>
        <w:tblW w:w="0" w:type="auto"/>
        <w:jc w:val="left"/>
        <w:tblInd w:w="49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393"/>
        <w:gridCol w:w="4849"/>
      </w:tblGrid>
      <w:tr>
        <w:trPr>
          <w:trHeight w:val="423" w:hRule="atLeast"/>
        </w:trPr>
        <w:tc>
          <w:tcPr>
            <w:tcW w:w="4393" w:type="dxa"/>
            <w:tcBorders>
              <w:bottom w:val="single" w:sz="6" w:space="0" w:color="000000"/>
              <w:right w:val="single" w:sz="6" w:space="0" w:color="000000"/>
            </w:tcBorders>
            <w:shd w:val="clear" w:color="auto" w:fill="F1F1F1"/>
          </w:tcPr>
          <w:p>
            <w:pPr>
              <w:pStyle w:val="TableParagraph"/>
              <w:spacing w:line="403" w:lineRule="exact"/>
              <w:ind w:left="1695" w:right="1675"/>
              <w:jc w:val="center"/>
              <w:rPr>
                <w:sz w:val="24"/>
              </w:rPr>
            </w:pPr>
            <w:r>
              <w:rPr>
                <w:sz w:val="24"/>
              </w:rPr>
              <w:t>藥物分類</w:t>
            </w:r>
          </w:p>
        </w:tc>
        <w:tc>
          <w:tcPr>
            <w:tcW w:w="4849" w:type="dxa"/>
            <w:tcBorders>
              <w:left w:val="single" w:sz="6" w:space="0" w:color="000000"/>
              <w:bottom w:val="single" w:sz="6" w:space="0" w:color="000000"/>
            </w:tcBorders>
            <w:shd w:val="clear" w:color="auto" w:fill="F1F1F1"/>
          </w:tcPr>
          <w:p>
            <w:pPr>
              <w:pStyle w:val="TableParagraph"/>
              <w:spacing w:line="403" w:lineRule="exact"/>
              <w:ind w:left="668"/>
              <w:rPr>
                <w:sz w:val="24"/>
              </w:rPr>
            </w:pPr>
            <w:r>
              <w:rPr>
                <w:sz w:val="24"/>
              </w:rPr>
              <w:t>Examples of Drugs Within Class</w:t>
            </w:r>
          </w:p>
        </w:tc>
      </w:tr>
      <w:tr>
        <w:trPr>
          <w:trHeight w:val="828" w:hRule="atLeast"/>
        </w:trPr>
        <w:tc>
          <w:tcPr>
            <w:tcW w:w="4393" w:type="dxa"/>
            <w:tcBorders>
              <w:top w:val="single" w:sz="6" w:space="0" w:color="000000"/>
              <w:bottom w:val="single" w:sz="6" w:space="0" w:color="000000"/>
              <w:right w:val="single" w:sz="6" w:space="0" w:color="000000"/>
            </w:tcBorders>
          </w:tcPr>
          <w:p>
            <w:pPr>
              <w:pStyle w:val="TableParagraph"/>
              <w:spacing w:before="5"/>
              <w:ind w:left="75"/>
              <w:rPr>
                <w:sz w:val="24"/>
              </w:rPr>
            </w:pPr>
            <w:r>
              <w:rPr>
                <w:sz w:val="24"/>
              </w:rPr>
              <w:t>Antiarrhythmics</w:t>
            </w:r>
          </w:p>
        </w:tc>
        <w:tc>
          <w:tcPr>
            <w:tcW w:w="4849" w:type="dxa"/>
            <w:tcBorders>
              <w:top w:val="single" w:sz="6" w:space="0" w:color="000000"/>
              <w:left w:val="single" w:sz="6" w:space="0" w:color="000000"/>
              <w:bottom w:val="single" w:sz="6" w:space="0" w:color="000000"/>
            </w:tcBorders>
          </w:tcPr>
          <w:p>
            <w:pPr>
              <w:pStyle w:val="TableParagraph"/>
              <w:spacing w:line="396" w:lineRule="exact" w:before="8"/>
              <w:ind w:left="82" w:right="636"/>
              <w:rPr>
                <w:sz w:val="24"/>
              </w:rPr>
            </w:pPr>
            <w:r>
              <w:rPr>
                <w:sz w:val="24"/>
              </w:rPr>
              <w:t>Disopyramide, mexiletine, quinidine, tocainide</w:t>
            </w:r>
          </w:p>
        </w:tc>
      </w:tr>
      <w:tr>
        <w:trPr>
          <w:trHeight w:val="1187" w:hRule="atLeast"/>
        </w:trPr>
        <w:tc>
          <w:tcPr>
            <w:tcW w:w="4393" w:type="dxa"/>
            <w:tcBorders>
              <w:top w:val="single" w:sz="6" w:space="0" w:color="000000"/>
              <w:bottom w:val="single" w:sz="6" w:space="0" w:color="000000"/>
              <w:right w:val="single" w:sz="6" w:space="0" w:color="000000"/>
            </w:tcBorders>
          </w:tcPr>
          <w:p>
            <w:pPr>
              <w:pStyle w:val="TableParagraph"/>
              <w:spacing w:before="4"/>
              <w:ind w:left="75"/>
              <w:rPr>
                <w:sz w:val="24"/>
              </w:rPr>
            </w:pPr>
            <w:r>
              <w:rPr>
                <w:sz w:val="24"/>
              </w:rPr>
              <w:t>Antibiotics</w:t>
            </w:r>
          </w:p>
        </w:tc>
        <w:tc>
          <w:tcPr>
            <w:tcW w:w="4849" w:type="dxa"/>
            <w:tcBorders>
              <w:top w:val="single" w:sz="6" w:space="0" w:color="000000"/>
              <w:left w:val="single" w:sz="6" w:space="0" w:color="000000"/>
              <w:bottom w:val="single" w:sz="6" w:space="0" w:color="000000"/>
            </w:tcBorders>
          </w:tcPr>
          <w:p>
            <w:pPr>
              <w:pStyle w:val="TableParagraph"/>
              <w:spacing w:line="196" w:lineRule="auto" w:before="62"/>
              <w:ind w:left="82" w:right="1003"/>
              <w:rPr>
                <w:sz w:val="24"/>
              </w:rPr>
            </w:pPr>
            <w:r>
              <w:rPr>
                <w:sz w:val="24"/>
              </w:rPr>
              <w:t>Chloramphenicol, clarithromycin, dapsone,doxycycline;</w:t>
            </w:r>
          </w:p>
          <w:p>
            <w:pPr>
              <w:pStyle w:val="TableParagraph"/>
              <w:spacing w:line="382" w:lineRule="exact"/>
              <w:ind w:left="82"/>
              <w:rPr>
                <w:sz w:val="24"/>
              </w:rPr>
            </w:pPr>
            <w:r>
              <w:rPr>
                <w:sz w:val="24"/>
              </w:rPr>
              <w:t>Fluoroquinolones (such as ciprofloxacin)</w:t>
            </w:r>
          </w:p>
        </w:tc>
      </w:tr>
      <w:tr>
        <w:trPr>
          <w:trHeight w:val="456"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5"/>
              <w:ind w:left="75"/>
              <w:rPr>
                <w:sz w:val="24"/>
              </w:rPr>
            </w:pPr>
            <w:r>
              <w:rPr>
                <w:sz w:val="24"/>
              </w:rPr>
              <w:t>Oral Anticoagulants</w:t>
            </w:r>
          </w:p>
        </w:tc>
        <w:tc>
          <w:tcPr>
            <w:tcW w:w="4849" w:type="dxa"/>
            <w:tcBorders>
              <w:top w:val="single" w:sz="6" w:space="0" w:color="000000"/>
              <w:left w:val="single" w:sz="6" w:space="0" w:color="000000"/>
              <w:bottom w:val="single" w:sz="6" w:space="0" w:color="000000"/>
            </w:tcBorders>
          </w:tcPr>
          <w:p>
            <w:pPr>
              <w:pStyle w:val="TableParagraph"/>
              <w:spacing w:line="431" w:lineRule="exact" w:before="5"/>
              <w:ind w:left="82"/>
              <w:rPr>
                <w:sz w:val="24"/>
              </w:rPr>
            </w:pPr>
            <w:r>
              <w:rPr>
                <w:sz w:val="24"/>
              </w:rPr>
              <w:t>Warfarin</w:t>
            </w:r>
          </w:p>
        </w:tc>
      </w:tr>
      <w:tr>
        <w:trPr>
          <w:trHeight w:val="455"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4"/>
              <w:ind w:left="75"/>
              <w:rPr>
                <w:sz w:val="24"/>
              </w:rPr>
            </w:pPr>
            <w:r>
              <w:rPr>
                <w:sz w:val="24"/>
              </w:rPr>
              <w:t>Anticonvulsants</w:t>
            </w:r>
          </w:p>
        </w:tc>
        <w:tc>
          <w:tcPr>
            <w:tcW w:w="4849" w:type="dxa"/>
            <w:tcBorders>
              <w:top w:val="single" w:sz="6" w:space="0" w:color="000000"/>
              <w:left w:val="single" w:sz="6" w:space="0" w:color="000000"/>
              <w:bottom w:val="single" w:sz="6" w:space="0" w:color="000000"/>
            </w:tcBorders>
          </w:tcPr>
          <w:p>
            <w:pPr>
              <w:pStyle w:val="TableParagraph"/>
              <w:spacing w:line="431" w:lineRule="exact" w:before="4"/>
              <w:ind w:left="82"/>
              <w:rPr>
                <w:sz w:val="24"/>
              </w:rPr>
            </w:pPr>
            <w:r>
              <w:rPr>
                <w:sz w:val="24"/>
              </w:rPr>
              <w:t>Phenytoin</w:t>
            </w:r>
          </w:p>
        </w:tc>
      </w:tr>
      <w:tr>
        <w:trPr>
          <w:trHeight w:val="456"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5"/>
              <w:ind w:left="75"/>
              <w:rPr>
                <w:sz w:val="24"/>
              </w:rPr>
            </w:pPr>
            <w:r>
              <w:rPr>
                <w:sz w:val="24"/>
              </w:rPr>
              <w:t>Antimalarials</w:t>
            </w:r>
          </w:p>
        </w:tc>
        <w:tc>
          <w:tcPr>
            <w:tcW w:w="4849" w:type="dxa"/>
            <w:tcBorders>
              <w:top w:val="single" w:sz="6" w:space="0" w:color="000000"/>
              <w:left w:val="single" w:sz="6" w:space="0" w:color="000000"/>
              <w:bottom w:val="single" w:sz="6" w:space="0" w:color="000000"/>
            </w:tcBorders>
          </w:tcPr>
          <w:p>
            <w:pPr>
              <w:pStyle w:val="TableParagraph"/>
              <w:spacing w:line="431" w:lineRule="exact" w:before="5"/>
              <w:ind w:left="82"/>
              <w:rPr>
                <w:sz w:val="24"/>
              </w:rPr>
            </w:pPr>
            <w:r>
              <w:rPr>
                <w:sz w:val="24"/>
              </w:rPr>
              <w:t>Quinine</w:t>
            </w:r>
          </w:p>
        </w:tc>
      </w:tr>
      <w:tr>
        <w:trPr>
          <w:trHeight w:val="455"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4"/>
              <w:ind w:left="75"/>
              <w:rPr>
                <w:sz w:val="24"/>
              </w:rPr>
            </w:pPr>
            <w:r>
              <w:rPr>
                <w:sz w:val="24"/>
              </w:rPr>
              <w:t>Azole Antifungals</w:t>
            </w:r>
          </w:p>
        </w:tc>
        <w:tc>
          <w:tcPr>
            <w:tcW w:w="4849" w:type="dxa"/>
            <w:tcBorders>
              <w:top w:val="single" w:sz="6" w:space="0" w:color="000000"/>
              <w:left w:val="single" w:sz="6" w:space="0" w:color="000000"/>
              <w:bottom w:val="single" w:sz="6" w:space="0" w:color="000000"/>
            </w:tcBorders>
          </w:tcPr>
          <w:p>
            <w:pPr>
              <w:pStyle w:val="TableParagraph"/>
              <w:spacing w:line="431" w:lineRule="exact" w:before="4"/>
              <w:ind w:left="82"/>
              <w:rPr>
                <w:sz w:val="24"/>
              </w:rPr>
            </w:pPr>
            <w:r>
              <w:rPr>
                <w:sz w:val="24"/>
              </w:rPr>
              <w:t>Fluconazole, itraconazole, ketoconazole</w:t>
            </w:r>
          </w:p>
        </w:tc>
      </w:tr>
      <w:tr>
        <w:trPr>
          <w:trHeight w:val="456"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5"/>
              <w:ind w:left="75"/>
              <w:rPr>
                <w:sz w:val="24"/>
              </w:rPr>
            </w:pPr>
            <w:r>
              <w:rPr>
                <w:sz w:val="24"/>
              </w:rPr>
              <w:t>Antipsychotics</w:t>
            </w:r>
          </w:p>
        </w:tc>
        <w:tc>
          <w:tcPr>
            <w:tcW w:w="4849" w:type="dxa"/>
            <w:tcBorders>
              <w:top w:val="single" w:sz="6" w:space="0" w:color="000000"/>
              <w:left w:val="single" w:sz="6" w:space="0" w:color="000000"/>
              <w:bottom w:val="single" w:sz="6" w:space="0" w:color="000000"/>
            </w:tcBorders>
          </w:tcPr>
          <w:p>
            <w:pPr>
              <w:pStyle w:val="TableParagraph"/>
              <w:spacing w:line="431" w:lineRule="exact" w:before="5"/>
              <w:ind w:left="82"/>
              <w:rPr>
                <w:sz w:val="24"/>
              </w:rPr>
            </w:pPr>
            <w:r>
              <w:rPr>
                <w:sz w:val="24"/>
              </w:rPr>
              <w:t>Haloperidol</w:t>
            </w:r>
          </w:p>
        </w:tc>
      </w:tr>
      <w:tr>
        <w:trPr>
          <w:trHeight w:val="455"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4"/>
              <w:ind w:left="75"/>
              <w:rPr>
                <w:sz w:val="24"/>
              </w:rPr>
            </w:pPr>
            <w:r>
              <w:rPr>
                <w:sz w:val="24"/>
              </w:rPr>
              <w:t>Barbiturates</w:t>
            </w:r>
          </w:p>
        </w:tc>
        <w:tc>
          <w:tcPr>
            <w:tcW w:w="4849" w:type="dxa"/>
            <w:tcBorders>
              <w:top w:val="single" w:sz="6" w:space="0" w:color="000000"/>
              <w:left w:val="single" w:sz="6" w:space="0" w:color="000000"/>
              <w:bottom w:val="single" w:sz="6" w:space="0" w:color="000000"/>
            </w:tcBorders>
          </w:tcPr>
          <w:p>
            <w:pPr>
              <w:pStyle w:val="TableParagraph"/>
              <w:spacing w:line="431" w:lineRule="exact" w:before="4"/>
              <w:ind w:left="82"/>
              <w:rPr>
                <w:sz w:val="24"/>
              </w:rPr>
            </w:pPr>
            <w:r>
              <w:rPr>
                <w:sz w:val="24"/>
              </w:rPr>
              <w:t>Phenobarbital</w:t>
            </w:r>
          </w:p>
        </w:tc>
      </w:tr>
      <w:tr>
        <w:trPr>
          <w:trHeight w:val="456"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5"/>
              <w:ind w:left="75"/>
              <w:rPr>
                <w:sz w:val="24"/>
              </w:rPr>
            </w:pPr>
            <w:r>
              <w:rPr>
                <w:sz w:val="24"/>
              </w:rPr>
              <w:t>Benzodiazepines</w:t>
            </w:r>
          </w:p>
        </w:tc>
        <w:tc>
          <w:tcPr>
            <w:tcW w:w="4849" w:type="dxa"/>
            <w:tcBorders>
              <w:top w:val="single" w:sz="6" w:space="0" w:color="000000"/>
              <w:left w:val="single" w:sz="6" w:space="0" w:color="000000"/>
              <w:bottom w:val="single" w:sz="6" w:space="0" w:color="000000"/>
            </w:tcBorders>
          </w:tcPr>
          <w:p>
            <w:pPr>
              <w:pStyle w:val="TableParagraph"/>
              <w:spacing w:line="431" w:lineRule="exact" w:before="5"/>
              <w:ind w:left="82"/>
              <w:rPr>
                <w:sz w:val="24"/>
              </w:rPr>
            </w:pPr>
            <w:r>
              <w:rPr>
                <w:sz w:val="24"/>
              </w:rPr>
              <w:t>Diazepam</w:t>
            </w:r>
          </w:p>
        </w:tc>
      </w:tr>
      <w:tr>
        <w:trPr>
          <w:trHeight w:val="455"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4"/>
              <w:ind w:left="75"/>
              <w:rPr>
                <w:sz w:val="24"/>
              </w:rPr>
            </w:pPr>
            <w:r>
              <w:rPr>
                <w:sz w:val="24"/>
              </w:rPr>
              <w:t>Beta-Blockers</w:t>
            </w:r>
          </w:p>
        </w:tc>
        <w:tc>
          <w:tcPr>
            <w:tcW w:w="4849" w:type="dxa"/>
            <w:tcBorders>
              <w:top w:val="single" w:sz="6" w:space="0" w:color="000000"/>
              <w:left w:val="single" w:sz="6" w:space="0" w:color="000000"/>
              <w:bottom w:val="single" w:sz="6" w:space="0" w:color="000000"/>
            </w:tcBorders>
          </w:tcPr>
          <w:p>
            <w:pPr>
              <w:pStyle w:val="TableParagraph"/>
              <w:spacing w:line="431" w:lineRule="exact" w:before="4"/>
              <w:ind w:left="82"/>
              <w:rPr>
                <w:sz w:val="24"/>
              </w:rPr>
            </w:pPr>
            <w:r>
              <w:rPr>
                <w:sz w:val="24"/>
              </w:rPr>
              <w:t>Propanolol</w:t>
            </w:r>
          </w:p>
        </w:tc>
      </w:tr>
      <w:tr>
        <w:trPr>
          <w:trHeight w:val="456"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5"/>
              <w:ind w:left="75"/>
              <w:rPr>
                <w:sz w:val="24"/>
              </w:rPr>
            </w:pPr>
            <w:r>
              <w:rPr>
                <w:sz w:val="24"/>
              </w:rPr>
              <w:t>Calcium Channel Blockers</w:t>
            </w:r>
          </w:p>
        </w:tc>
        <w:tc>
          <w:tcPr>
            <w:tcW w:w="4849" w:type="dxa"/>
            <w:tcBorders>
              <w:top w:val="single" w:sz="6" w:space="0" w:color="000000"/>
              <w:left w:val="single" w:sz="6" w:space="0" w:color="000000"/>
              <w:bottom w:val="single" w:sz="6" w:space="0" w:color="000000"/>
            </w:tcBorders>
          </w:tcPr>
          <w:p>
            <w:pPr>
              <w:pStyle w:val="TableParagraph"/>
              <w:spacing w:line="431" w:lineRule="exact" w:before="5"/>
              <w:ind w:left="82"/>
              <w:rPr>
                <w:sz w:val="24"/>
              </w:rPr>
            </w:pPr>
            <w:r>
              <w:rPr>
                <w:sz w:val="24"/>
              </w:rPr>
              <w:t>Diltiazem, nifedipine, verapamil</w:t>
            </w:r>
          </w:p>
        </w:tc>
      </w:tr>
      <w:tr>
        <w:trPr>
          <w:trHeight w:val="455"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4"/>
              <w:ind w:left="75"/>
              <w:rPr>
                <w:sz w:val="24"/>
              </w:rPr>
            </w:pPr>
            <w:r>
              <w:rPr>
                <w:sz w:val="24"/>
              </w:rPr>
              <w:t>Cardiac Glycoside Preparations</w:t>
            </w:r>
          </w:p>
        </w:tc>
        <w:tc>
          <w:tcPr>
            <w:tcW w:w="4849" w:type="dxa"/>
            <w:tcBorders>
              <w:top w:val="single" w:sz="6" w:space="0" w:color="000000"/>
              <w:left w:val="single" w:sz="6" w:space="0" w:color="000000"/>
              <w:bottom w:val="single" w:sz="6" w:space="0" w:color="000000"/>
            </w:tcBorders>
          </w:tcPr>
          <w:p>
            <w:pPr>
              <w:pStyle w:val="TableParagraph"/>
              <w:spacing w:line="431" w:lineRule="exact" w:before="4"/>
              <w:ind w:left="82"/>
              <w:rPr>
                <w:sz w:val="24"/>
              </w:rPr>
            </w:pPr>
            <w:r>
              <w:rPr>
                <w:sz w:val="24"/>
              </w:rPr>
              <w:t>Digoxin</w:t>
            </w:r>
          </w:p>
        </w:tc>
      </w:tr>
      <w:tr>
        <w:trPr>
          <w:trHeight w:val="456"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5"/>
              <w:ind w:left="75"/>
              <w:rPr>
                <w:sz w:val="24"/>
              </w:rPr>
            </w:pPr>
            <w:r>
              <w:rPr>
                <w:sz w:val="24"/>
              </w:rPr>
              <w:t>Corticosteroids</w:t>
            </w:r>
          </w:p>
        </w:tc>
        <w:tc>
          <w:tcPr>
            <w:tcW w:w="4849" w:type="dxa"/>
            <w:tcBorders>
              <w:top w:val="single" w:sz="6" w:space="0" w:color="000000"/>
              <w:left w:val="single" w:sz="6" w:space="0" w:color="000000"/>
              <w:bottom w:val="single" w:sz="6" w:space="0" w:color="000000"/>
            </w:tcBorders>
          </w:tcPr>
          <w:p>
            <w:pPr>
              <w:pStyle w:val="TableParagraph"/>
              <w:spacing w:line="431" w:lineRule="exact" w:before="5"/>
              <w:ind w:left="82"/>
              <w:rPr>
                <w:sz w:val="24"/>
              </w:rPr>
            </w:pPr>
            <w:r>
              <w:rPr>
                <w:sz w:val="24"/>
              </w:rPr>
              <w:t>Prednisone</w:t>
            </w:r>
          </w:p>
        </w:tc>
      </w:tr>
      <w:tr>
        <w:trPr>
          <w:trHeight w:val="455"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4"/>
              <w:ind w:left="75"/>
              <w:rPr>
                <w:sz w:val="24"/>
              </w:rPr>
            </w:pPr>
            <w:r>
              <w:rPr>
                <w:sz w:val="24"/>
              </w:rPr>
              <w:t>Fibrates</w:t>
            </w:r>
          </w:p>
        </w:tc>
        <w:tc>
          <w:tcPr>
            <w:tcW w:w="4849" w:type="dxa"/>
            <w:tcBorders>
              <w:top w:val="single" w:sz="6" w:space="0" w:color="000000"/>
              <w:left w:val="single" w:sz="6" w:space="0" w:color="000000"/>
              <w:bottom w:val="single" w:sz="6" w:space="0" w:color="000000"/>
            </w:tcBorders>
          </w:tcPr>
          <w:p>
            <w:pPr>
              <w:pStyle w:val="TableParagraph"/>
              <w:spacing w:line="431" w:lineRule="exact" w:before="4"/>
              <w:ind w:left="82"/>
              <w:rPr>
                <w:sz w:val="24"/>
              </w:rPr>
            </w:pPr>
            <w:r>
              <w:rPr>
                <w:sz w:val="24"/>
              </w:rPr>
              <w:t>Clofibrate</w:t>
            </w:r>
          </w:p>
        </w:tc>
      </w:tr>
      <w:tr>
        <w:trPr>
          <w:trHeight w:val="456"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5"/>
              <w:ind w:left="75"/>
              <w:rPr>
                <w:sz w:val="24"/>
              </w:rPr>
            </w:pPr>
            <w:r>
              <w:rPr>
                <w:sz w:val="24"/>
              </w:rPr>
              <w:t>Oral Hypoglycemics</w:t>
            </w:r>
          </w:p>
        </w:tc>
        <w:tc>
          <w:tcPr>
            <w:tcW w:w="4849" w:type="dxa"/>
            <w:tcBorders>
              <w:top w:val="single" w:sz="6" w:space="0" w:color="000000"/>
              <w:left w:val="single" w:sz="6" w:space="0" w:color="000000"/>
              <w:bottom w:val="single" w:sz="6" w:space="0" w:color="000000"/>
            </w:tcBorders>
          </w:tcPr>
          <w:p>
            <w:pPr>
              <w:pStyle w:val="TableParagraph"/>
              <w:spacing w:line="431" w:lineRule="exact" w:before="5"/>
              <w:ind w:left="82"/>
              <w:rPr>
                <w:sz w:val="24"/>
              </w:rPr>
            </w:pPr>
            <w:r>
              <w:rPr>
                <w:sz w:val="24"/>
              </w:rPr>
              <w:t>Sulfonylureas (e.g., glyburide, glipizide)</w:t>
            </w:r>
          </w:p>
        </w:tc>
      </w:tr>
      <w:tr>
        <w:trPr>
          <w:trHeight w:val="455"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4"/>
              <w:ind w:left="75"/>
              <w:rPr>
                <w:sz w:val="24"/>
              </w:rPr>
            </w:pPr>
            <w:r>
              <w:rPr>
                <w:sz w:val="24"/>
              </w:rPr>
              <w:t>Hormonal Contraceptives/Progestins</w:t>
            </w:r>
          </w:p>
        </w:tc>
        <w:tc>
          <w:tcPr>
            <w:tcW w:w="4849" w:type="dxa"/>
            <w:tcBorders>
              <w:top w:val="single" w:sz="6" w:space="0" w:color="000000"/>
              <w:left w:val="single" w:sz="6" w:space="0" w:color="000000"/>
              <w:bottom w:val="single" w:sz="6" w:space="0" w:color="000000"/>
            </w:tcBorders>
          </w:tcPr>
          <w:p>
            <w:pPr>
              <w:pStyle w:val="TableParagraph"/>
              <w:spacing w:line="431" w:lineRule="exact" w:before="4"/>
              <w:ind w:left="82"/>
              <w:rPr>
                <w:sz w:val="24"/>
              </w:rPr>
            </w:pPr>
            <w:r>
              <w:rPr>
                <w:sz w:val="24"/>
              </w:rPr>
              <w:t>Ethinyl estradiol, levonorgestrel</w:t>
            </w:r>
          </w:p>
        </w:tc>
      </w:tr>
      <w:tr>
        <w:trPr>
          <w:trHeight w:val="456"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5"/>
              <w:ind w:left="75"/>
              <w:rPr>
                <w:sz w:val="24"/>
              </w:rPr>
            </w:pPr>
            <w:r>
              <w:rPr>
                <w:sz w:val="24"/>
              </w:rPr>
              <w:t>Immunosuppressants</w:t>
            </w:r>
          </w:p>
        </w:tc>
        <w:tc>
          <w:tcPr>
            <w:tcW w:w="4849" w:type="dxa"/>
            <w:tcBorders>
              <w:top w:val="single" w:sz="6" w:space="0" w:color="000000"/>
              <w:left w:val="single" w:sz="6" w:space="0" w:color="000000"/>
              <w:bottom w:val="single" w:sz="6" w:space="0" w:color="000000"/>
            </w:tcBorders>
          </w:tcPr>
          <w:p>
            <w:pPr>
              <w:pStyle w:val="TableParagraph"/>
              <w:spacing w:line="431" w:lineRule="exact" w:before="5"/>
              <w:ind w:left="82"/>
              <w:rPr>
                <w:sz w:val="24"/>
              </w:rPr>
            </w:pPr>
            <w:r>
              <w:rPr>
                <w:sz w:val="24"/>
              </w:rPr>
              <w:t>Cyclosporine, tacrolimus</w:t>
            </w:r>
          </w:p>
        </w:tc>
      </w:tr>
      <w:tr>
        <w:trPr>
          <w:trHeight w:val="455"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4"/>
              <w:ind w:left="75"/>
              <w:rPr>
                <w:sz w:val="24"/>
              </w:rPr>
            </w:pPr>
            <w:r>
              <w:rPr>
                <w:sz w:val="24"/>
              </w:rPr>
              <w:t>Methylxanthines</w:t>
            </w:r>
          </w:p>
        </w:tc>
        <w:tc>
          <w:tcPr>
            <w:tcW w:w="4849" w:type="dxa"/>
            <w:tcBorders>
              <w:top w:val="single" w:sz="6" w:space="0" w:color="000000"/>
              <w:left w:val="single" w:sz="6" w:space="0" w:color="000000"/>
              <w:bottom w:val="single" w:sz="6" w:space="0" w:color="000000"/>
            </w:tcBorders>
          </w:tcPr>
          <w:p>
            <w:pPr>
              <w:pStyle w:val="TableParagraph"/>
              <w:spacing w:line="431" w:lineRule="exact" w:before="4"/>
              <w:ind w:left="82"/>
              <w:rPr>
                <w:sz w:val="24"/>
              </w:rPr>
            </w:pPr>
            <w:r>
              <w:rPr>
                <w:sz w:val="24"/>
              </w:rPr>
              <w:t>Theophylline</w:t>
            </w:r>
          </w:p>
        </w:tc>
      </w:tr>
      <w:tr>
        <w:trPr>
          <w:trHeight w:val="456"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5"/>
              <w:ind w:left="75"/>
              <w:rPr>
                <w:sz w:val="24"/>
              </w:rPr>
            </w:pPr>
            <w:r>
              <w:rPr>
                <w:sz w:val="24"/>
              </w:rPr>
              <w:t>Narcotic analgesics</w:t>
            </w:r>
          </w:p>
        </w:tc>
        <w:tc>
          <w:tcPr>
            <w:tcW w:w="4849" w:type="dxa"/>
            <w:tcBorders>
              <w:top w:val="single" w:sz="6" w:space="0" w:color="000000"/>
              <w:left w:val="single" w:sz="6" w:space="0" w:color="000000"/>
              <w:bottom w:val="single" w:sz="6" w:space="0" w:color="000000"/>
            </w:tcBorders>
          </w:tcPr>
          <w:p>
            <w:pPr>
              <w:pStyle w:val="TableParagraph"/>
              <w:spacing w:line="431" w:lineRule="exact" w:before="5"/>
              <w:ind w:left="82"/>
              <w:rPr>
                <w:sz w:val="24"/>
              </w:rPr>
            </w:pPr>
            <w:r>
              <w:rPr>
                <w:sz w:val="24"/>
              </w:rPr>
              <w:t>Methadone</w:t>
            </w:r>
          </w:p>
        </w:tc>
      </w:tr>
      <w:tr>
        <w:trPr>
          <w:trHeight w:val="455"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4"/>
              <w:ind w:left="75"/>
              <w:rPr>
                <w:sz w:val="24"/>
              </w:rPr>
            </w:pPr>
            <w:r>
              <w:rPr>
                <w:spacing w:val="-5"/>
                <w:sz w:val="24"/>
              </w:rPr>
              <w:t>Phophodiesterase-5 </w:t>
            </w:r>
            <w:r>
              <w:rPr>
                <w:spacing w:val="-4"/>
                <w:sz w:val="24"/>
              </w:rPr>
              <w:t>(PDE-5) </w:t>
            </w:r>
            <w:r>
              <w:rPr>
                <w:spacing w:val="-5"/>
                <w:sz w:val="24"/>
              </w:rPr>
              <w:t>Inhibitors</w:t>
            </w:r>
          </w:p>
        </w:tc>
        <w:tc>
          <w:tcPr>
            <w:tcW w:w="4849" w:type="dxa"/>
            <w:tcBorders>
              <w:top w:val="single" w:sz="6" w:space="0" w:color="000000"/>
              <w:left w:val="single" w:sz="6" w:space="0" w:color="000000"/>
              <w:bottom w:val="single" w:sz="6" w:space="0" w:color="000000"/>
            </w:tcBorders>
          </w:tcPr>
          <w:p>
            <w:pPr>
              <w:pStyle w:val="TableParagraph"/>
              <w:spacing w:line="431" w:lineRule="exact" w:before="4"/>
              <w:ind w:left="82"/>
              <w:rPr>
                <w:sz w:val="24"/>
              </w:rPr>
            </w:pPr>
            <w:r>
              <w:rPr>
                <w:sz w:val="24"/>
              </w:rPr>
              <w:t>Sildenafil</w:t>
            </w:r>
          </w:p>
        </w:tc>
      </w:tr>
      <w:tr>
        <w:trPr>
          <w:trHeight w:val="456" w:hRule="atLeast"/>
        </w:trPr>
        <w:tc>
          <w:tcPr>
            <w:tcW w:w="4393" w:type="dxa"/>
            <w:tcBorders>
              <w:top w:val="single" w:sz="6" w:space="0" w:color="000000"/>
              <w:bottom w:val="single" w:sz="6" w:space="0" w:color="000000"/>
              <w:right w:val="single" w:sz="6" w:space="0" w:color="000000"/>
            </w:tcBorders>
          </w:tcPr>
          <w:p>
            <w:pPr>
              <w:pStyle w:val="TableParagraph"/>
              <w:spacing w:line="431" w:lineRule="exact" w:before="5"/>
              <w:ind w:left="75"/>
              <w:rPr>
                <w:sz w:val="24"/>
              </w:rPr>
            </w:pPr>
            <w:r>
              <w:rPr>
                <w:sz w:val="24"/>
              </w:rPr>
              <w:t>Thyroid preparations</w:t>
            </w:r>
          </w:p>
        </w:tc>
        <w:tc>
          <w:tcPr>
            <w:tcW w:w="4849" w:type="dxa"/>
            <w:tcBorders>
              <w:top w:val="single" w:sz="6" w:space="0" w:color="000000"/>
              <w:left w:val="single" w:sz="6" w:space="0" w:color="000000"/>
              <w:bottom w:val="single" w:sz="6" w:space="0" w:color="000000"/>
            </w:tcBorders>
          </w:tcPr>
          <w:p>
            <w:pPr>
              <w:pStyle w:val="TableParagraph"/>
              <w:spacing w:line="431" w:lineRule="exact" w:before="5"/>
              <w:ind w:left="82"/>
              <w:rPr>
                <w:sz w:val="24"/>
              </w:rPr>
            </w:pPr>
            <w:r>
              <w:rPr>
                <w:sz w:val="24"/>
              </w:rPr>
              <w:t>Levothyroxine</w:t>
            </w:r>
          </w:p>
        </w:tc>
      </w:tr>
      <w:tr>
        <w:trPr>
          <w:trHeight w:val="455" w:hRule="atLeast"/>
        </w:trPr>
        <w:tc>
          <w:tcPr>
            <w:tcW w:w="4393" w:type="dxa"/>
            <w:tcBorders>
              <w:top w:val="single" w:sz="6" w:space="0" w:color="000000"/>
              <w:right w:val="single" w:sz="6" w:space="0" w:color="000000"/>
            </w:tcBorders>
          </w:tcPr>
          <w:p>
            <w:pPr>
              <w:pStyle w:val="TableParagraph"/>
              <w:spacing w:line="431" w:lineRule="exact" w:before="4"/>
              <w:ind w:left="75"/>
              <w:rPr>
                <w:sz w:val="24"/>
              </w:rPr>
            </w:pPr>
            <w:r>
              <w:rPr>
                <w:sz w:val="24"/>
              </w:rPr>
              <w:t>Tricyclic antidepressants</w:t>
            </w:r>
          </w:p>
        </w:tc>
        <w:tc>
          <w:tcPr>
            <w:tcW w:w="4849" w:type="dxa"/>
            <w:tcBorders>
              <w:top w:val="single" w:sz="6" w:space="0" w:color="000000"/>
              <w:left w:val="single" w:sz="6" w:space="0" w:color="000000"/>
            </w:tcBorders>
          </w:tcPr>
          <w:p>
            <w:pPr>
              <w:pStyle w:val="TableParagraph"/>
              <w:spacing w:line="431" w:lineRule="exact" w:before="4"/>
              <w:ind w:left="82"/>
              <w:rPr>
                <w:sz w:val="24"/>
              </w:rPr>
            </w:pPr>
            <w:r>
              <w:rPr>
                <w:sz w:val="24"/>
              </w:rPr>
              <w:t>Amitriptyline, nortriptyline</w:t>
            </w:r>
          </w:p>
        </w:tc>
      </w:tr>
    </w:tbl>
    <w:p>
      <w:pPr>
        <w:spacing w:after="0" w:line="431" w:lineRule="exact"/>
        <w:rPr>
          <w:sz w:val="24"/>
        </w:rPr>
        <w:sectPr>
          <w:pgSz w:w="12250" w:h="17190"/>
          <w:pgMar w:header="0" w:footer="734" w:top="1360" w:bottom="1020" w:left="1020" w:right="0"/>
        </w:sectPr>
      </w:pPr>
    </w:p>
    <w:p>
      <w:pPr>
        <w:tabs>
          <w:tab w:pos="3787" w:val="left" w:leader="none"/>
        </w:tabs>
        <w:spacing w:line="575" w:lineRule="exact" w:before="27"/>
        <w:ind w:left="118" w:right="0" w:firstLine="0"/>
        <w:jc w:val="left"/>
        <w:rPr>
          <w:rFonts w:ascii="標楷體" w:eastAsia="標楷體" w:hint="eastAsia"/>
          <w:b/>
          <w:sz w:val="28"/>
        </w:rPr>
      </w:pPr>
      <w:r>
        <w:rPr/>
        <w:pict>
          <v:group style="position:absolute;margin-left:570.75pt;margin-top:26.454556pt;width:41.65pt;height:191.25pt;mso-position-horizontal-relative:page;mso-position-vertical-relative:paragraph;z-index:251873280" coordorigin="11415,529" coordsize="833,3825">
            <v:shape style="position:absolute;left:11415;top:529;width:833;height:3825" coordorigin="11415,529" coordsize="833,3825" path="m12242,529l11580,529,11516,542,11463,578,11428,630,11415,694,11415,4189,11428,4253,11463,4306,11516,4341,11580,4354,12242,4354,12247,4353,12247,530,12242,529xe" filled="true" fillcolor="#a6a6a6" stroked="false">
              <v:path arrowok="t"/>
              <v:fill type="solid"/>
            </v:shape>
            <v:shape style="position:absolute;left:11415;top:529;width:833;height:3825" type="#_x0000_t202" filled="false" stroked="false">
              <v:textbox inset="0,0,0,0">
                <w:txbxContent>
                  <w:p>
                    <w:pPr>
                      <w:spacing w:line="146" w:lineRule="auto" w:before="126"/>
                      <w:ind w:left="136" w:right="474" w:firstLine="0"/>
                      <w:jc w:val="both"/>
                      <w:rPr>
                        <w:sz w:val="22"/>
                      </w:rPr>
                    </w:pPr>
                    <w:r>
                      <w:rPr>
                        <w:sz w:val="22"/>
                      </w:rPr>
                      <w:t>第十章</w:t>
                    </w:r>
                  </w:p>
                  <w:p>
                    <w:pPr>
                      <w:spacing w:line="141" w:lineRule="auto" w:before="235"/>
                      <w:ind w:left="136" w:right="474" w:firstLine="0"/>
                      <w:jc w:val="both"/>
                      <w:rPr>
                        <w:sz w:val="22"/>
                      </w:rPr>
                    </w:pPr>
                    <w:r>
                      <w:rPr>
                        <w:sz w:val="22"/>
                      </w:rPr>
                      <w:t>潛伏結核感染診斷與治療</w:t>
                    </w:r>
                  </w:p>
                </w:txbxContent>
              </v:textbox>
              <w10:wrap type="none"/>
            </v:shape>
            <w10:wrap type="none"/>
          </v:group>
        </w:pict>
      </w:r>
      <w:r>
        <w:rPr>
          <w:b/>
          <w:position w:val="15"/>
          <w:sz w:val="24"/>
        </w:rPr>
        <w:t>附件</w:t>
      </w:r>
      <w:r>
        <w:rPr>
          <w:b/>
          <w:spacing w:val="-1"/>
          <w:position w:val="15"/>
          <w:sz w:val="24"/>
        </w:rPr>
        <w:t> </w:t>
      </w:r>
      <w:r>
        <w:rPr>
          <w:b/>
          <w:position w:val="15"/>
          <w:sz w:val="24"/>
        </w:rPr>
        <w:t>10-2</w:t>
        <w:tab/>
      </w:r>
      <w:r>
        <w:rPr>
          <w:rFonts w:ascii="標楷體" w:eastAsia="標楷體" w:hint="eastAsia"/>
          <w:b/>
          <w:sz w:val="28"/>
        </w:rPr>
        <w:t>TB</w:t>
      </w:r>
      <w:r>
        <w:rPr>
          <w:rFonts w:ascii="標楷體" w:eastAsia="標楷體" w:hint="eastAsia"/>
          <w:b/>
          <w:spacing w:val="-67"/>
          <w:sz w:val="28"/>
        </w:rPr>
        <w:t> </w:t>
      </w:r>
      <w:r>
        <w:rPr>
          <w:rFonts w:ascii="標楷體" w:eastAsia="標楷體" w:hint="eastAsia"/>
          <w:b/>
          <w:sz w:val="28"/>
        </w:rPr>
        <w:t>接觸者就醫轉介單</w:t>
      </w:r>
    </w:p>
    <w:p>
      <w:pPr>
        <w:spacing w:line="300" w:lineRule="exact" w:before="0"/>
        <w:ind w:left="931" w:right="0" w:firstLine="0"/>
        <w:jc w:val="left"/>
        <w:rPr>
          <w:rFonts w:ascii="Times New Roman" w:hAnsi="Times New Roman" w:eastAsia="Times New Roman"/>
          <w:b/>
          <w:sz w:val="22"/>
        </w:rPr>
      </w:pPr>
      <w:r>
        <w:rPr>
          <w:rFonts w:ascii="標楷體" w:hAnsi="標楷體" w:eastAsia="標楷體" w:hint="eastAsia"/>
          <w:b/>
          <w:sz w:val="22"/>
        </w:rPr>
        <w:t>協助事項：</w:t>
      </w:r>
      <w:r>
        <w:rPr>
          <w:rFonts w:ascii="標楷體" w:hAnsi="標楷體" w:eastAsia="標楷體" w:hint="eastAsia"/>
          <w:b/>
          <w:sz w:val="19"/>
        </w:rPr>
        <w:t>□</w:t>
      </w:r>
      <w:r>
        <w:rPr>
          <w:rFonts w:ascii="標楷體" w:hAnsi="標楷體" w:eastAsia="標楷體" w:hint="eastAsia"/>
          <w:b/>
          <w:sz w:val="22"/>
        </w:rPr>
        <w:t>接觸者檢查 </w:t>
      </w:r>
      <w:r>
        <w:rPr>
          <w:rFonts w:ascii="標楷體" w:hAnsi="標楷體" w:eastAsia="標楷體" w:hint="eastAsia"/>
          <w:b/>
          <w:position w:val="11"/>
          <w:sz w:val="11"/>
        </w:rPr>
        <w:t>1</w:t>
      </w:r>
      <w:r>
        <w:rPr>
          <w:rFonts w:ascii="標楷體" w:hAnsi="標楷體" w:eastAsia="標楷體" w:hint="eastAsia"/>
          <w:b/>
          <w:sz w:val="22"/>
        </w:rPr>
        <w:t>(</w:t>
      </w:r>
      <w:r>
        <w:rPr>
          <w:rFonts w:ascii="Times New Roman" w:hAnsi="Times New Roman" w:eastAsia="Times New Roman"/>
          <w:b/>
          <w:sz w:val="22"/>
        </w:rPr>
        <w:t>ICD10</w:t>
      </w:r>
      <w:r>
        <w:rPr>
          <w:rFonts w:ascii="標楷體" w:hAnsi="標楷體" w:eastAsia="標楷體" w:hint="eastAsia"/>
          <w:b/>
          <w:sz w:val="22"/>
        </w:rPr>
        <w:t>：</w:t>
      </w:r>
      <w:r>
        <w:rPr>
          <w:rFonts w:ascii="Times New Roman" w:hAnsi="Times New Roman" w:eastAsia="Times New Roman"/>
          <w:b/>
          <w:sz w:val="22"/>
        </w:rPr>
        <w:t>Z20.1</w:t>
      </w:r>
      <w:r>
        <w:rPr>
          <w:rFonts w:ascii="標楷體" w:hAnsi="標楷體" w:eastAsia="標楷體" w:hint="eastAsia"/>
          <w:b/>
          <w:sz w:val="22"/>
        </w:rPr>
        <w:t>)：</w:t>
      </w:r>
      <w:r>
        <w:rPr>
          <w:rFonts w:ascii="標楷體" w:hAnsi="標楷體" w:eastAsia="標楷體" w:hint="eastAsia"/>
          <w:b/>
          <w:sz w:val="19"/>
        </w:rPr>
        <w:t>○</w:t>
      </w:r>
      <w:r>
        <w:rPr>
          <w:rFonts w:ascii="標楷體" w:hAnsi="標楷體" w:eastAsia="標楷體" w:hint="eastAsia"/>
          <w:b/>
          <w:sz w:val="22"/>
        </w:rPr>
        <w:t>胸部 </w:t>
      </w:r>
      <w:r>
        <w:rPr>
          <w:rFonts w:ascii="Times New Roman" w:hAnsi="Times New Roman" w:eastAsia="Times New Roman"/>
          <w:b/>
          <w:sz w:val="22"/>
        </w:rPr>
        <w:t>X </w:t>
      </w:r>
      <w:r>
        <w:rPr>
          <w:rFonts w:ascii="標楷體" w:hAnsi="標楷體" w:eastAsia="標楷體" w:hint="eastAsia"/>
          <w:b/>
          <w:sz w:val="22"/>
        </w:rPr>
        <w:t>光檢查 </w:t>
      </w:r>
      <w:r>
        <w:rPr>
          <w:rFonts w:ascii="標楷體" w:hAnsi="標楷體" w:eastAsia="標楷體" w:hint="eastAsia"/>
          <w:b/>
          <w:sz w:val="19"/>
        </w:rPr>
        <w:t>○</w:t>
      </w:r>
      <w:r>
        <w:rPr>
          <w:rFonts w:ascii="Times New Roman" w:hAnsi="Times New Roman" w:eastAsia="Times New Roman"/>
          <w:b/>
          <w:sz w:val="22"/>
        </w:rPr>
        <w:t>IGRA </w:t>
      </w:r>
      <w:r>
        <w:rPr>
          <w:rFonts w:ascii="標楷體" w:hAnsi="標楷體" w:eastAsia="標楷體" w:hint="eastAsia"/>
          <w:b/>
          <w:sz w:val="19"/>
        </w:rPr>
        <w:t>○</w:t>
      </w:r>
      <w:r>
        <w:rPr>
          <w:rFonts w:ascii="Times New Roman" w:hAnsi="Times New Roman" w:eastAsia="Times New Roman"/>
          <w:b/>
          <w:sz w:val="22"/>
        </w:rPr>
        <w:t>TST</w:t>
      </w:r>
    </w:p>
    <w:p>
      <w:pPr>
        <w:spacing w:line="301" w:lineRule="exact" w:before="0"/>
        <w:ind w:left="2040" w:right="0" w:firstLine="0"/>
        <w:jc w:val="left"/>
        <w:rPr>
          <w:rFonts w:ascii="標楷體" w:hAnsi="標楷體" w:eastAsia="標楷體" w:hint="eastAsia"/>
          <w:b/>
          <w:sz w:val="22"/>
        </w:rPr>
      </w:pPr>
      <w:r>
        <w:rPr>
          <w:rFonts w:ascii="標楷體" w:hAnsi="標楷體" w:eastAsia="標楷體" w:hint="eastAsia"/>
          <w:b/>
          <w:sz w:val="19"/>
        </w:rPr>
        <w:t>□</w:t>
      </w:r>
      <w:r>
        <w:rPr>
          <w:rFonts w:ascii="標楷體" w:hAnsi="標楷體" w:eastAsia="標楷體" w:hint="eastAsia"/>
          <w:b/>
          <w:sz w:val="22"/>
        </w:rPr>
        <w:t>潛伏結核感染治療評估(</w:t>
      </w:r>
      <w:r>
        <w:rPr>
          <w:rFonts w:ascii="Times New Roman" w:hAnsi="Times New Roman" w:eastAsia="Times New Roman"/>
          <w:b/>
          <w:sz w:val="22"/>
        </w:rPr>
        <w:t>ICD10</w:t>
      </w:r>
      <w:r>
        <w:rPr>
          <w:rFonts w:ascii="標楷體" w:hAnsi="標楷體" w:eastAsia="標楷體" w:hint="eastAsia"/>
          <w:b/>
          <w:sz w:val="22"/>
        </w:rPr>
        <w:t>：</w:t>
      </w:r>
      <w:r>
        <w:rPr>
          <w:rFonts w:ascii="Times New Roman" w:hAnsi="Times New Roman" w:eastAsia="Times New Roman"/>
          <w:b/>
          <w:sz w:val="22"/>
        </w:rPr>
        <w:t>R76.1</w:t>
      </w:r>
      <w:r>
        <w:rPr>
          <w:rFonts w:ascii="標楷體" w:hAnsi="標楷體" w:eastAsia="標楷體" w:hint="eastAsia"/>
          <w:b/>
          <w:sz w:val="22"/>
        </w:rPr>
        <w:t>)：</w:t>
      </w:r>
      <w:r>
        <w:rPr>
          <w:rFonts w:ascii="標楷體" w:hAnsi="標楷體" w:eastAsia="標楷體" w:hint="eastAsia"/>
          <w:b/>
          <w:sz w:val="19"/>
        </w:rPr>
        <w:t>○</w:t>
      </w:r>
      <w:r>
        <w:rPr>
          <w:rFonts w:ascii="標楷體" w:hAnsi="標楷體" w:eastAsia="標楷體" w:hint="eastAsia"/>
          <w:b/>
          <w:sz w:val="22"/>
        </w:rPr>
        <w:t>胸部 </w:t>
      </w:r>
      <w:r>
        <w:rPr>
          <w:rFonts w:ascii="Times New Roman" w:hAnsi="Times New Roman" w:eastAsia="Times New Roman"/>
          <w:b/>
          <w:sz w:val="22"/>
        </w:rPr>
        <w:t>X </w:t>
      </w:r>
      <w:r>
        <w:rPr>
          <w:rFonts w:ascii="標楷體" w:hAnsi="標楷體" w:eastAsia="標楷體" w:hint="eastAsia"/>
          <w:b/>
          <w:sz w:val="22"/>
        </w:rPr>
        <w:t>光檢查</w:t>
      </w:r>
    </w:p>
    <w:p>
      <w:pPr>
        <w:spacing w:line="303" w:lineRule="exact" w:before="0"/>
        <w:ind w:left="2022" w:right="0" w:firstLine="0"/>
        <w:jc w:val="left"/>
        <w:rPr>
          <w:rFonts w:ascii="標楷體" w:hAnsi="標楷體" w:eastAsia="標楷體" w:hint="eastAsia"/>
          <w:b/>
          <w:sz w:val="22"/>
        </w:rPr>
      </w:pPr>
      <w:r>
        <w:rPr>
          <w:rFonts w:ascii="標楷體" w:hAnsi="標楷體" w:eastAsia="標楷體" w:hint="eastAsia"/>
          <w:b/>
          <w:sz w:val="22"/>
        </w:rPr>
        <w:t>□未完成潛伏結核感染檢驗/檢驗陽性未完成治療：</w:t>
      </w:r>
    </w:p>
    <w:p>
      <w:pPr>
        <w:pStyle w:val="ListParagraph"/>
        <w:numPr>
          <w:ilvl w:val="1"/>
          <w:numId w:val="135"/>
        </w:numPr>
        <w:tabs>
          <w:tab w:pos="2465" w:val="left" w:leader="none"/>
        </w:tabs>
        <w:spacing w:line="240" w:lineRule="auto" w:before="36" w:after="18"/>
        <w:ind w:left="2464" w:right="0" w:hanging="224"/>
        <w:jc w:val="left"/>
        <w:rPr>
          <w:rFonts w:ascii="標楷體" w:hAnsi="標楷體" w:eastAsia="標楷體" w:hint="eastAsia"/>
          <w:b/>
          <w:sz w:val="22"/>
        </w:rPr>
      </w:pPr>
      <w:r>
        <w:rPr>
          <w:rFonts w:ascii="標楷體" w:hAnsi="標楷體" w:eastAsia="標楷體" w:hint="eastAsia"/>
          <w:b/>
          <w:spacing w:val="-27"/>
          <w:sz w:val="22"/>
        </w:rPr>
        <w:t>第 </w:t>
      </w:r>
      <w:r>
        <w:rPr>
          <w:rFonts w:ascii="Times New Roman" w:hAnsi="Times New Roman" w:eastAsia="Times New Roman"/>
          <w:b/>
          <w:sz w:val="22"/>
        </w:rPr>
        <w:t>12</w:t>
      </w:r>
      <w:r>
        <w:rPr>
          <w:rFonts w:ascii="Times New Roman" w:hAnsi="Times New Roman" w:eastAsia="Times New Roman"/>
          <w:b/>
          <w:spacing w:val="-1"/>
          <w:sz w:val="22"/>
        </w:rPr>
        <w:t> </w:t>
      </w:r>
      <w:r>
        <w:rPr>
          <w:rFonts w:ascii="標楷體" w:hAnsi="標楷體" w:eastAsia="標楷體" w:hint="eastAsia"/>
          <w:b/>
          <w:spacing w:val="-11"/>
          <w:sz w:val="22"/>
        </w:rPr>
        <w:t>個月胸部 </w:t>
      </w:r>
      <w:r>
        <w:rPr>
          <w:rFonts w:ascii="標楷體" w:hAnsi="標楷體" w:eastAsia="標楷體" w:hint="eastAsia"/>
          <w:b/>
          <w:sz w:val="22"/>
        </w:rPr>
        <w:t>X</w:t>
      </w:r>
      <w:r>
        <w:rPr>
          <w:rFonts w:ascii="標楷體" w:hAnsi="標楷體" w:eastAsia="標楷體" w:hint="eastAsia"/>
          <w:b/>
          <w:spacing w:val="-10"/>
          <w:sz w:val="22"/>
        </w:rPr>
        <w:t> 光檢查 ○</w:t>
      </w:r>
      <w:r>
        <w:rPr>
          <w:rFonts w:ascii="標楷體" w:hAnsi="標楷體" w:eastAsia="標楷體" w:hint="eastAsia"/>
          <w:b/>
          <w:sz w:val="22"/>
        </w:rPr>
        <w:t>MDR-TB</w:t>
      </w:r>
      <w:r>
        <w:rPr>
          <w:rFonts w:ascii="標楷體" w:hAnsi="標楷體" w:eastAsia="標楷體" w:hint="eastAsia"/>
          <w:b/>
          <w:spacing w:val="-13"/>
          <w:sz w:val="22"/>
        </w:rPr>
        <w:t> 接觸者每半年胸部 </w:t>
      </w:r>
      <w:r>
        <w:rPr>
          <w:rFonts w:ascii="標楷體" w:hAnsi="標楷體" w:eastAsia="標楷體" w:hint="eastAsia"/>
          <w:b/>
          <w:sz w:val="22"/>
        </w:rPr>
        <w:t>X</w:t>
      </w:r>
      <w:r>
        <w:rPr>
          <w:rFonts w:ascii="標楷體" w:hAnsi="標楷體" w:eastAsia="標楷體" w:hint="eastAsia"/>
          <w:b/>
          <w:spacing w:val="-15"/>
          <w:sz w:val="22"/>
        </w:rPr>
        <w:t> 光檢查</w:t>
      </w: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
        <w:gridCol w:w="9417"/>
      </w:tblGrid>
      <w:tr>
        <w:trPr>
          <w:trHeight w:val="344" w:hRule="atLeast"/>
        </w:trPr>
        <w:tc>
          <w:tcPr>
            <w:tcW w:w="9962" w:type="dxa"/>
            <w:gridSpan w:val="2"/>
            <w:shd w:val="clear" w:color="auto" w:fill="ADAAAA"/>
          </w:tcPr>
          <w:p>
            <w:pPr>
              <w:pStyle w:val="TableParagraph"/>
              <w:spacing w:before="40"/>
              <w:ind w:left="103"/>
              <w:rPr>
                <w:rFonts w:ascii="標楷體" w:eastAsia="標楷體" w:hint="eastAsia"/>
                <w:sz w:val="19"/>
              </w:rPr>
            </w:pPr>
            <w:r>
              <w:rPr>
                <w:rFonts w:ascii="標楷體" w:eastAsia="標楷體" w:hint="eastAsia"/>
                <w:sz w:val="19"/>
              </w:rPr>
              <w:t>一、接觸者基本資料：</w:t>
            </w:r>
          </w:p>
        </w:tc>
      </w:tr>
      <w:tr>
        <w:trPr>
          <w:trHeight w:val="1371" w:hRule="atLeast"/>
        </w:trPr>
        <w:tc>
          <w:tcPr>
            <w:tcW w:w="545" w:type="dxa"/>
          </w:tcPr>
          <w:p>
            <w:pPr>
              <w:pStyle w:val="TableParagraph"/>
              <w:spacing w:line="309" w:lineRule="auto" w:before="38"/>
              <w:ind w:left="175" w:right="166"/>
              <w:jc w:val="both"/>
              <w:rPr>
                <w:rFonts w:ascii="標楷體" w:eastAsia="標楷體" w:hint="eastAsia"/>
                <w:sz w:val="19"/>
              </w:rPr>
            </w:pPr>
            <w:r>
              <w:rPr>
                <w:rFonts w:ascii="標楷體" w:eastAsia="標楷體" w:hint="eastAsia"/>
                <w:sz w:val="19"/>
              </w:rPr>
              <w:t>基本資</w:t>
            </w:r>
          </w:p>
          <w:p>
            <w:pPr>
              <w:pStyle w:val="TableParagraph"/>
              <w:spacing w:before="1"/>
              <w:ind w:left="175"/>
              <w:rPr>
                <w:rFonts w:ascii="標楷體" w:eastAsia="標楷體" w:hint="eastAsia"/>
                <w:sz w:val="19"/>
              </w:rPr>
            </w:pPr>
            <w:r>
              <w:rPr>
                <w:rFonts w:ascii="標楷體" w:eastAsia="標楷體" w:hint="eastAsia"/>
                <w:w w:val="100"/>
                <w:sz w:val="19"/>
              </w:rPr>
              <w:t>料</w:t>
            </w:r>
          </w:p>
        </w:tc>
        <w:tc>
          <w:tcPr>
            <w:tcW w:w="9417" w:type="dxa"/>
          </w:tcPr>
          <w:p>
            <w:pPr>
              <w:pStyle w:val="TableParagraph"/>
              <w:tabs>
                <w:tab w:pos="1649" w:val="left" w:leader="none"/>
                <w:tab w:pos="2319" w:val="left" w:leader="none"/>
                <w:tab w:pos="4151" w:val="left" w:leader="none"/>
                <w:tab w:pos="4343" w:val="left" w:leader="none"/>
                <w:tab w:pos="4726" w:val="left" w:leader="none"/>
                <w:tab w:pos="5688" w:val="left" w:leader="none"/>
                <w:tab w:pos="6266" w:val="left" w:leader="none"/>
                <w:tab w:pos="6842" w:val="left" w:leader="none"/>
                <w:tab w:pos="7323" w:val="left" w:leader="none"/>
                <w:tab w:pos="7806" w:val="left" w:leader="none"/>
              </w:tabs>
              <w:spacing w:line="309" w:lineRule="auto" w:before="38"/>
              <w:ind w:left="203" w:right="1406"/>
              <w:rPr>
                <w:rFonts w:ascii="標楷體" w:hAnsi="標楷體" w:eastAsia="標楷體" w:hint="eastAsia"/>
                <w:sz w:val="19"/>
              </w:rPr>
            </w:pPr>
            <w:r>
              <w:rPr>
                <w:rFonts w:ascii="標楷體" w:hAnsi="標楷體" w:eastAsia="標楷體" w:hint="eastAsia"/>
                <w:sz w:val="19"/>
              </w:rPr>
              <w:t>姓名：</w:t>
            </w:r>
            <w:r>
              <w:rPr>
                <w:rFonts w:ascii="標楷體" w:hAnsi="標楷體" w:eastAsia="標楷體" w:hint="eastAsia"/>
                <w:sz w:val="19"/>
                <w:u w:val="single"/>
              </w:rPr>
              <w:t> </w:t>
              <w:tab/>
            </w:r>
            <w:r>
              <w:rPr>
                <w:rFonts w:ascii="標楷體" w:hAnsi="標楷體" w:eastAsia="標楷體" w:hint="eastAsia"/>
                <w:sz w:val="19"/>
              </w:rPr>
              <w:tab/>
              <w:t>管理單位：</w:t>
            </w:r>
            <w:r>
              <w:rPr>
                <w:rFonts w:ascii="標楷體" w:hAnsi="標楷體" w:eastAsia="標楷體" w:hint="eastAsia"/>
                <w:sz w:val="19"/>
                <w:u w:val="single"/>
              </w:rPr>
              <w:t> </w:t>
              <w:tab/>
            </w:r>
            <w:r>
              <w:rPr>
                <w:rFonts w:ascii="標楷體" w:hAnsi="標楷體" w:eastAsia="標楷體" w:hint="eastAsia"/>
                <w:sz w:val="19"/>
              </w:rPr>
              <w:tab/>
              <w:tab/>
              <w:t>終止有效暴露日：</w:t>
            </w:r>
            <w:r>
              <w:rPr>
                <w:rFonts w:ascii="標楷體" w:hAnsi="標楷體" w:eastAsia="標楷體" w:hint="eastAsia"/>
                <w:sz w:val="19"/>
                <w:u w:val="single"/>
              </w:rPr>
              <w:t> </w:t>
              <w:tab/>
            </w:r>
            <w:r>
              <w:rPr>
                <w:rFonts w:ascii="標楷體" w:hAnsi="標楷體" w:eastAsia="標楷體" w:hint="eastAsia"/>
                <w:sz w:val="19"/>
              </w:rPr>
              <w:t>年</w:t>
            </w:r>
            <w:r>
              <w:rPr>
                <w:rFonts w:ascii="標楷體" w:hAnsi="標楷體" w:eastAsia="標楷體" w:hint="eastAsia"/>
                <w:sz w:val="19"/>
                <w:u w:val="single"/>
              </w:rPr>
              <w:t> </w:t>
              <w:tab/>
            </w:r>
            <w:r>
              <w:rPr>
                <w:rFonts w:ascii="標楷體" w:hAnsi="標楷體" w:eastAsia="標楷體" w:hint="eastAsia"/>
                <w:sz w:val="19"/>
              </w:rPr>
              <w:t>月</w:t>
            </w:r>
            <w:r>
              <w:rPr>
                <w:rFonts w:ascii="標楷體" w:hAnsi="標楷體" w:eastAsia="標楷體" w:hint="eastAsia"/>
                <w:sz w:val="19"/>
                <w:u w:val="single"/>
              </w:rPr>
              <w:t> </w:t>
              <w:tab/>
            </w:r>
            <w:r>
              <w:rPr>
                <w:rFonts w:ascii="標楷體" w:hAnsi="標楷體" w:eastAsia="標楷體" w:hint="eastAsia"/>
                <w:spacing w:val="-17"/>
                <w:sz w:val="19"/>
              </w:rPr>
              <w:t>日</w:t>
            </w:r>
            <w:r>
              <w:rPr>
                <w:rFonts w:ascii="標楷體" w:hAnsi="標楷體" w:eastAsia="標楷體" w:hint="eastAsia"/>
                <w:sz w:val="19"/>
              </w:rPr>
              <w:t>性別：○男 </w:t>
            </w:r>
            <w:r>
              <w:rPr>
                <w:rFonts w:ascii="標楷體" w:hAnsi="標楷體" w:eastAsia="標楷體" w:hint="eastAsia"/>
                <w:spacing w:val="19"/>
                <w:sz w:val="19"/>
              </w:rPr>
              <w:t> </w:t>
            </w:r>
            <w:r>
              <w:rPr>
                <w:rFonts w:ascii="標楷體" w:hAnsi="標楷體" w:eastAsia="標楷體" w:hint="eastAsia"/>
                <w:sz w:val="19"/>
              </w:rPr>
              <w:t>○女</w:t>
              <w:tab/>
              <w:t>身分證字號：</w:t>
            </w:r>
            <w:r>
              <w:rPr>
                <w:rFonts w:ascii="標楷體" w:hAnsi="標楷體" w:eastAsia="標楷體" w:hint="eastAsia"/>
                <w:sz w:val="19"/>
                <w:u w:val="single"/>
              </w:rPr>
              <w:t> </w:t>
              <w:tab/>
              <w:tab/>
            </w:r>
            <w:r>
              <w:rPr>
                <w:rFonts w:ascii="標楷體" w:hAnsi="標楷體" w:eastAsia="標楷體" w:hint="eastAsia"/>
                <w:sz w:val="19"/>
              </w:rPr>
              <w:tab/>
              <w:t>出生：</w:t>
            </w:r>
            <w:r>
              <w:rPr>
                <w:rFonts w:ascii="標楷體" w:hAnsi="標楷體" w:eastAsia="標楷體" w:hint="eastAsia"/>
                <w:sz w:val="19"/>
                <w:u w:val="single"/>
              </w:rPr>
              <w:t> </w:t>
              <w:tab/>
            </w:r>
            <w:r>
              <w:rPr>
                <w:rFonts w:ascii="標楷體" w:hAnsi="標楷體" w:eastAsia="標楷體" w:hint="eastAsia"/>
                <w:sz w:val="19"/>
              </w:rPr>
              <w:t>年</w:t>
            </w:r>
            <w:r>
              <w:rPr>
                <w:rFonts w:ascii="標楷體" w:hAnsi="標楷體" w:eastAsia="標楷體" w:hint="eastAsia"/>
                <w:sz w:val="19"/>
                <w:u w:val="single"/>
              </w:rPr>
              <w:t> </w:t>
              <w:tab/>
            </w:r>
            <w:r>
              <w:rPr>
                <w:rFonts w:ascii="標楷體" w:hAnsi="標楷體" w:eastAsia="標楷體" w:hint="eastAsia"/>
                <w:sz w:val="19"/>
              </w:rPr>
              <w:t>月</w:t>
            </w:r>
            <w:r>
              <w:rPr>
                <w:rFonts w:ascii="標楷體" w:hAnsi="標楷體" w:eastAsia="標楷體" w:hint="eastAsia"/>
                <w:sz w:val="19"/>
                <w:u w:val="single"/>
              </w:rPr>
              <w:t> </w:t>
              <w:tab/>
            </w:r>
            <w:r>
              <w:rPr>
                <w:rFonts w:ascii="標楷體" w:hAnsi="標楷體" w:eastAsia="標楷體" w:hint="eastAsia"/>
                <w:sz w:val="19"/>
              </w:rPr>
              <w:t>日</w:t>
            </w:r>
          </w:p>
          <w:p>
            <w:pPr>
              <w:pStyle w:val="TableParagraph"/>
              <w:tabs>
                <w:tab w:pos="2896" w:val="left" w:leader="none"/>
                <w:tab w:pos="5593" w:val="left" w:leader="none"/>
                <w:tab w:pos="8772" w:val="left" w:leader="none"/>
              </w:tabs>
              <w:spacing w:before="1"/>
              <w:ind w:left="203"/>
              <w:rPr>
                <w:rFonts w:ascii="標楷體" w:hAnsi="標楷體" w:eastAsia="標楷體" w:hint="eastAsia"/>
                <w:sz w:val="19"/>
              </w:rPr>
            </w:pPr>
            <w:r>
              <w:rPr>
                <w:rFonts w:ascii="標楷體" w:hAnsi="標楷體" w:eastAsia="標楷體" w:hint="eastAsia"/>
                <w:sz w:val="19"/>
              </w:rPr>
              <w:t>卡介苗接種史：□有 </w:t>
            </w:r>
            <w:r>
              <w:rPr>
                <w:rFonts w:ascii="標楷體" w:hAnsi="標楷體" w:eastAsia="標楷體" w:hint="eastAsia"/>
                <w:spacing w:val="16"/>
                <w:sz w:val="19"/>
              </w:rPr>
              <w:t> </w:t>
            </w:r>
            <w:r>
              <w:rPr>
                <w:rFonts w:ascii="標楷體" w:hAnsi="標楷體" w:eastAsia="標楷體" w:hint="eastAsia"/>
                <w:sz w:val="19"/>
              </w:rPr>
              <w:t>□無</w:t>
              <w:tab/>
              <w:t>免疫不全狀況：□有 </w:t>
            </w:r>
            <w:r>
              <w:rPr>
                <w:rFonts w:ascii="標楷體" w:hAnsi="標楷體" w:eastAsia="標楷體" w:hint="eastAsia"/>
                <w:spacing w:val="20"/>
                <w:sz w:val="19"/>
              </w:rPr>
              <w:t> </w:t>
            </w:r>
            <w:r>
              <w:rPr>
                <w:rFonts w:ascii="標楷體" w:hAnsi="標楷體" w:eastAsia="標楷體" w:hint="eastAsia"/>
                <w:sz w:val="19"/>
              </w:rPr>
              <w:t>□無</w:t>
              <w:tab/>
              <w:t>肝毒性風險族群²:□否</w:t>
            </w:r>
            <w:r>
              <w:rPr>
                <w:rFonts w:ascii="標楷體" w:hAnsi="標楷體" w:eastAsia="標楷體" w:hint="eastAsia"/>
                <w:spacing w:val="35"/>
                <w:sz w:val="19"/>
              </w:rPr>
              <w:t> </w:t>
            </w:r>
            <w:r>
              <w:rPr>
                <w:rFonts w:ascii="標楷體" w:hAnsi="標楷體" w:eastAsia="標楷體" w:hint="eastAsia"/>
                <w:sz w:val="19"/>
              </w:rPr>
              <w:t>□是:</w:t>
            </w:r>
            <w:r>
              <w:rPr>
                <w:rFonts w:ascii="標楷體" w:hAnsi="標楷體" w:eastAsia="標楷體" w:hint="eastAsia"/>
                <w:sz w:val="19"/>
                <w:u w:val="single"/>
              </w:rPr>
              <w:t> </w:t>
              <w:tab/>
            </w:r>
          </w:p>
          <w:p>
            <w:pPr>
              <w:pStyle w:val="TableParagraph"/>
              <w:spacing w:before="77"/>
              <w:ind w:left="203"/>
              <w:rPr>
                <w:rFonts w:ascii="標楷體" w:hAnsi="標楷體" w:eastAsia="標楷體" w:hint="eastAsia"/>
                <w:sz w:val="19"/>
              </w:rPr>
            </w:pPr>
            <w:r>
              <w:rPr>
                <w:rFonts w:ascii="標楷體" w:hAnsi="標楷體" w:eastAsia="標楷體" w:hint="eastAsia"/>
                <w:sz w:val="19"/>
              </w:rPr>
              <w:t>結核病症狀：○無 ○咳嗽 ○咳血 ○咳痰 ○發燒 ○胸痛 ○食慾差 ○體重減輕</w:t>
            </w:r>
          </w:p>
        </w:tc>
      </w:tr>
      <w:tr>
        <w:trPr>
          <w:trHeight w:val="1733" w:hRule="atLeast"/>
        </w:trPr>
        <w:tc>
          <w:tcPr>
            <w:tcW w:w="545" w:type="dxa"/>
          </w:tcPr>
          <w:p>
            <w:pPr>
              <w:pStyle w:val="TableParagraph"/>
              <w:spacing w:line="321" w:lineRule="auto" w:before="38"/>
              <w:ind w:left="175" w:right="166"/>
              <w:jc w:val="both"/>
              <w:rPr>
                <w:rFonts w:ascii="Times New Roman" w:eastAsia="Times New Roman"/>
                <w:sz w:val="19"/>
              </w:rPr>
            </w:pPr>
            <w:r>
              <w:rPr>
                <w:rFonts w:ascii="標楷體" w:eastAsia="標楷體" w:hint="eastAsia"/>
                <w:sz w:val="19"/>
              </w:rPr>
              <w:t>胸部</w:t>
            </w:r>
            <w:r>
              <w:rPr>
                <w:rFonts w:ascii="Times New Roman" w:eastAsia="Times New Roman"/>
                <w:sz w:val="19"/>
              </w:rPr>
              <w:t>X</w:t>
            </w:r>
          </w:p>
          <w:p>
            <w:pPr>
              <w:pStyle w:val="TableParagraph"/>
              <w:spacing w:before="25"/>
              <w:ind w:left="175"/>
              <w:rPr>
                <w:rFonts w:ascii="標楷體" w:eastAsia="標楷體" w:hint="eastAsia"/>
                <w:sz w:val="19"/>
              </w:rPr>
            </w:pPr>
            <w:r>
              <w:rPr>
                <w:rFonts w:ascii="標楷體" w:eastAsia="標楷體" w:hint="eastAsia"/>
                <w:w w:val="100"/>
                <w:sz w:val="19"/>
              </w:rPr>
              <w:t>光</w:t>
            </w:r>
          </w:p>
        </w:tc>
        <w:tc>
          <w:tcPr>
            <w:tcW w:w="9417" w:type="dxa"/>
          </w:tcPr>
          <w:p>
            <w:pPr>
              <w:pStyle w:val="TableParagraph"/>
              <w:tabs>
                <w:tab w:pos="2224" w:val="left" w:leader="none"/>
                <w:tab w:pos="2802" w:val="left" w:leader="none"/>
                <w:tab w:pos="3379" w:val="left" w:leader="none"/>
              </w:tabs>
              <w:spacing w:line="256" w:lineRule="exact" w:before="8"/>
              <w:ind w:left="106"/>
              <w:rPr>
                <w:rFonts w:ascii="標楷體" w:eastAsia="標楷體" w:hint="eastAsia"/>
                <w:sz w:val="19"/>
              </w:rPr>
            </w:pPr>
            <w:r>
              <w:rPr>
                <w:rFonts w:ascii="標楷體" w:eastAsia="標楷體" w:hint="eastAsia"/>
                <w:sz w:val="19"/>
              </w:rPr>
              <w:t>檢查結果：檢查日期</w:t>
            </w:r>
            <w:r>
              <w:rPr>
                <w:rFonts w:ascii="標楷體" w:eastAsia="標楷體" w:hint="eastAsia"/>
                <w:sz w:val="19"/>
                <w:u w:val="single"/>
              </w:rPr>
              <w:t> </w:t>
              <w:tab/>
            </w:r>
            <w:r>
              <w:rPr>
                <w:rFonts w:ascii="標楷體" w:eastAsia="標楷體" w:hint="eastAsia"/>
                <w:sz w:val="19"/>
              </w:rPr>
              <w:t>年</w:t>
            </w:r>
            <w:r>
              <w:rPr>
                <w:rFonts w:ascii="標楷體" w:eastAsia="標楷體" w:hint="eastAsia"/>
                <w:sz w:val="19"/>
                <w:u w:val="single"/>
              </w:rPr>
              <w:t> </w:t>
              <w:tab/>
            </w:r>
            <w:r>
              <w:rPr>
                <w:rFonts w:ascii="標楷體" w:eastAsia="標楷體" w:hint="eastAsia"/>
                <w:sz w:val="19"/>
              </w:rPr>
              <w:t>月</w:t>
            </w:r>
            <w:r>
              <w:rPr>
                <w:rFonts w:ascii="標楷體" w:eastAsia="標楷體" w:hint="eastAsia"/>
                <w:sz w:val="19"/>
                <w:u w:val="single"/>
              </w:rPr>
              <w:t> </w:t>
              <w:tab/>
            </w:r>
            <w:r>
              <w:rPr>
                <w:rFonts w:ascii="標楷體" w:eastAsia="標楷體" w:hint="eastAsia"/>
                <w:sz w:val="19"/>
              </w:rPr>
              <w:t>日</w:t>
            </w:r>
          </w:p>
          <w:p>
            <w:pPr>
              <w:pStyle w:val="TableParagraph"/>
              <w:spacing w:line="248" w:lineRule="exact"/>
              <w:ind w:left="221"/>
              <w:rPr>
                <w:rFonts w:ascii="標楷體" w:hAnsi="標楷體" w:eastAsia="標楷體" w:hint="eastAsia"/>
                <w:sz w:val="19"/>
              </w:rPr>
            </w:pPr>
            <w:r>
              <w:rPr>
                <w:rFonts w:ascii="標楷體" w:hAnsi="標楷體" w:eastAsia="標楷體" w:hint="eastAsia"/>
                <w:sz w:val="19"/>
              </w:rPr>
              <w:t>□正常³</w:t>
            </w:r>
          </w:p>
          <w:p>
            <w:pPr>
              <w:pStyle w:val="TableParagraph"/>
              <w:spacing w:line="248" w:lineRule="exact"/>
              <w:ind w:left="221"/>
              <w:rPr>
                <w:rFonts w:ascii="標楷體" w:hAnsi="標楷體" w:eastAsia="標楷體" w:hint="eastAsia"/>
                <w:sz w:val="19"/>
              </w:rPr>
            </w:pPr>
            <w:r>
              <w:rPr>
                <w:rFonts w:ascii="標楷體" w:hAnsi="標楷體" w:eastAsia="標楷體" w:hint="eastAsia"/>
                <w:sz w:val="19"/>
              </w:rPr>
              <w:t>□疑似肺結核（請依照傳染病防治法第 </w:t>
            </w:r>
            <w:r>
              <w:rPr>
                <w:rFonts w:ascii="Times New Roman" w:hAnsi="Times New Roman" w:eastAsia="Times New Roman"/>
                <w:sz w:val="19"/>
              </w:rPr>
              <w:t>39 </w:t>
            </w:r>
            <w:r>
              <w:rPr>
                <w:rFonts w:ascii="標楷體" w:hAnsi="標楷體" w:eastAsia="標楷體" w:hint="eastAsia"/>
                <w:sz w:val="19"/>
              </w:rPr>
              <w:t>條進行通報）：□異常，無空洞 □異常，有空洞</w:t>
            </w:r>
          </w:p>
          <w:p>
            <w:pPr>
              <w:pStyle w:val="TableParagraph"/>
              <w:spacing w:line="223" w:lineRule="auto" w:before="4"/>
              <w:ind w:left="632" w:right="228" w:hanging="412"/>
              <w:rPr>
                <w:rFonts w:ascii="標楷體" w:hAnsi="標楷體" w:eastAsia="標楷體" w:hint="eastAsia"/>
                <w:sz w:val="19"/>
              </w:rPr>
            </w:pPr>
            <w:r>
              <w:rPr>
                <w:rFonts w:ascii="標楷體" w:hAnsi="標楷體" w:eastAsia="標楷體" w:hint="eastAsia"/>
                <w:color w:val="FF0000"/>
                <w:sz w:val="19"/>
              </w:rPr>
              <w:t>□異常無關結核（請繼續追蹤至排除結核病）：□肋膜積水 □肺浸潤/陰影(支氣管發炎/擴張/浸潤) □肺炎/發炎/感染 □肉芽腫/結節 □粟粒狀病灶 □肺坍塌 □陳舊性肺結核 □矽肺病 □肺紋增加/粗糙</w:t>
            </w:r>
          </w:p>
          <w:p>
            <w:pPr>
              <w:pStyle w:val="TableParagraph"/>
              <w:spacing w:line="245" w:lineRule="exact"/>
              <w:ind w:left="632"/>
              <w:rPr>
                <w:rFonts w:ascii="標楷體" w:hAnsi="標楷體" w:eastAsia="標楷體" w:hint="eastAsia"/>
                <w:sz w:val="19"/>
              </w:rPr>
            </w:pPr>
            <w:r>
              <w:rPr>
                <w:rFonts w:ascii="標楷體" w:hAnsi="標楷體" w:eastAsia="標楷體" w:hint="eastAsia"/>
                <w:color w:val="FF0000"/>
                <w:sz w:val="19"/>
              </w:rPr>
              <w:t>□肺門擴張 □間質增加 □纖維化/鈣化/胸(肋膜)增厚 □陳舊性發炎 □上縱膈腔變/較寬</w:t>
            </w:r>
          </w:p>
          <w:p>
            <w:pPr>
              <w:pStyle w:val="TableParagraph"/>
              <w:tabs>
                <w:tab w:pos="4652" w:val="left" w:leader="none"/>
              </w:tabs>
              <w:spacing w:line="208" w:lineRule="exact"/>
              <w:ind w:left="221"/>
              <w:rPr>
                <w:rFonts w:ascii="Times New Roman" w:hAnsi="Times New Roman" w:eastAsia="Times New Roman"/>
                <w:sz w:val="19"/>
              </w:rPr>
            </w:pPr>
            <w:r>
              <w:rPr>
                <w:rFonts w:ascii="標楷體" w:hAnsi="標楷體" w:eastAsia="標楷體" w:hint="eastAsia"/>
                <w:sz w:val="19"/>
              </w:rPr>
              <w:t>□異常無關結核，註：</w:t>
            </w:r>
            <w:r>
              <w:rPr>
                <w:rFonts w:ascii="Times New Roman" w:hAnsi="Times New Roman" w:eastAsia="Times New Roman"/>
                <w:sz w:val="19"/>
                <w:u w:val="single"/>
              </w:rPr>
              <w:t> </w:t>
              <w:tab/>
            </w:r>
          </w:p>
        </w:tc>
      </w:tr>
      <w:tr>
        <w:trPr>
          <w:trHeight w:val="509" w:hRule="atLeast"/>
        </w:trPr>
        <w:tc>
          <w:tcPr>
            <w:tcW w:w="545" w:type="dxa"/>
            <w:vMerge w:val="restart"/>
          </w:tcPr>
          <w:p>
            <w:pPr>
              <w:pStyle w:val="TableParagraph"/>
              <w:rPr>
                <w:rFonts w:ascii="標楷體"/>
                <w:b/>
                <w:sz w:val="18"/>
              </w:rPr>
            </w:pPr>
          </w:p>
          <w:p>
            <w:pPr>
              <w:pStyle w:val="TableParagraph"/>
              <w:rPr>
                <w:rFonts w:ascii="標楷體"/>
                <w:b/>
                <w:sz w:val="18"/>
              </w:rPr>
            </w:pPr>
          </w:p>
          <w:p>
            <w:pPr>
              <w:pStyle w:val="TableParagraph"/>
              <w:spacing w:before="11"/>
              <w:rPr>
                <w:rFonts w:ascii="標楷體"/>
                <w:b/>
                <w:sz w:val="15"/>
              </w:rPr>
            </w:pPr>
          </w:p>
          <w:p>
            <w:pPr>
              <w:pStyle w:val="TableParagraph"/>
              <w:spacing w:line="309" w:lineRule="auto"/>
              <w:ind w:left="175" w:right="166"/>
              <w:jc w:val="both"/>
              <w:rPr>
                <w:rFonts w:ascii="標楷體" w:eastAsia="標楷體" w:hint="eastAsia"/>
                <w:sz w:val="19"/>
              </w:rPr>
            </w:pPr>
            <w:r>
              <w:rPr>
                <w:rFonts w:ascii="標楷體" w:eastAsia="標楷體" w:hint="eastAsia"/>
                <w:sz w:val="19"/>
              </w:rPr>
              <w:t>接觸者檢查</w:t>
            </w:r>
          </w:p>
        </w:tc>
        <w:tc>
          <w:tcPr>
            <w:tcW w:w="9417" w:type="dxa"/>
          </w:tcPr>
          <w:p>
            <w:pPr>
              <w:pStyle w:val="TableParagraph"/>
              <w:spacing w:line="250" w:lineRule="exact"/>
              <w:ind w:left="106"/>
              <w:rPr>
                <w:rFonts w:ascii="標楷體" w:hAnsi="標楷體" w:eastAsia="標楷體" w:hint="eastAsia"/>
                <w:sz w:val="19"/>
              </w:rPr>
            </w:pPr>
            <w:r>
              <w:rPr>
                <w:rFonts w:ascii="標楷體" w:hAnsi="標楷體" w:eastAsia="標楷體" w:hint="eastAsia"/>
                <w:sz w:val="19"/>
              </w:rPr>
              <w:t>□</w:t>
            </w:r>
            <w:r>
              <w:rPr>
                <w:rFonts w:ascii="Times New Roman" w:hAnsi="Times New Roman" w:eastAsia="Times New Roman"/>
                <w:b/>
                <w:sz w:val="19"/>
              </w:rPr>
              <w:t>5 </w:t>
            </w:r>
            <w:r>
              <w:rPr>
                <w:rFonts w:ascii="標楷體" w:hAnsi="標楷體" w:eastAsia="標楷體" w:hint="eastAsia"/>
                <w:b/>
                <w:sz w:val="19"/>
              </w:rPr>
              <w:t>歲</w:t>
            </w:r>
            <w:r>
              <w:rPr>
                <w:rFonts w:ascii="Times New Roman" w:hAnsi="Times New Roman" w:eastAsia="Times New Roman"/>
                <w:b/>
                <w:sz w:val="19"/>
              </w:rPr>
              <w:t>(</w:t>
            </w:r>
            <w:r>
              <w:rPr>
                <w:rFonts w:ascii="標楷體" w:hAnsi="標楷體" w:eastAsia="標楷體" w:hint="eastAsia"/>
                <w:b/>
                <w:sz w:val="19"/>
              </w:rPr>
              <w:t>含</w:t>
            </w:r>
            <w:r>
              <w:rPr>
                <w:rFonts w:ascii="Times New Roman" w:hAnsi="Times New Roman" w:eastAsia="Times New Roman"/>
                <w:b/>
                <w:sz w:val="19"/>
              </w:rPr>
              <w:t>)</w:t>
            </w:r>
            <w:r>
              <w:rPr>
                <w:rFonts w:ascii="標楷體" w:hAnsi="標楷體" w:eastAsia="標楷體" w:hint="eastAsia"/>
                <w:b/>
                <w:sz w:val="19"/>
              </w:rPr>
              <w:t>以上接觸者</w:t>
            </w:r>
            <w:r>
              <w:rPr>
                <w:sz w:val="19"/>
              </w:rPr>
              <w:t>：</w:t>
            </w:r>
            <w:r>
              <w:rPr>
                <w:rFonts w:ascii="標楷體" w:hAnsi="標楷體" w:eastAsia="標楷體" w:hint="eastAsia"/>
                <w:sz w:val="19"/>
              </w:rPr>
              <w:t>與指標個案終止有效暴露滿 </w:t>
            </w:r>
            <w:r>
              <w:rPr>
                <w:rFonts w:ascii="Times New Roman" w:hAnsi="Times New Roman" w:eastAsia="Times New Roman"/>
                <w:sz w:val="19"/>
              </w:rPr>
              <w:t>8 </w:t>
            </w:r>
            <w:r>
              <w:rPr>
                <w:rFonts w:ascii="標楷體" w:hAnsi="標楷體" w:eastAsia="標楷體" w:hint="eastAsia"/>
                <w:sz w:val="19"/>
              </w:rPr>
              <w:t>週，以 </w:t>
            </w:r>
            <w:r>
              <w:rPr>
                <w:rFonts w:ascii="Times New Roman" w:hAnsi="Times New Roman" w:eastAsia="Times New Roman"/>
                <w:sz w:val="19"/>
              </w:rPr>
              <w:t>IGRA </w:t>
            </w:r>
            <w:r>
              <w:rPr>
                <w:rFonts w:ascii="標楷體" w:hAnsi="標楷體" w:eastAsia="標楷體" w:hint="eastAsia"/>
                <w:sz w:val="19"/>
              </w:rPr>
              <w:t>進行檢驗</w:t>
            </w:r>
          </w:p>
          <w:p>
            <w:pPr>
              <w:pStyle w:val="TableParagraph"/>
              <w:tabs>
                <w:tab w:pos="1011" w:val="left" w:leader="none"/>
                <w:tab w:pos="1588" w:val="left" w:leader="none"/>
                <w:tab w:pos="2165" w:val="left" w:leader="none"/>
              </w:tabs>
              <w:spacing w:line="237" w:lineRule="exact"/>
              <w:ind w:left="106"/>
              <w:rPr>
                <w:rFonts w:ascii="Times New Roman" w:hAnsi="Times New Roman" w:eastAsia="Times New Roman"/>
                <w:sz w:val="19"/>
              </w:rPr>
            </w:pPr>
            <w:r>
              <w:rPr>
                <w:rFonts w:ascii="Times New Roman" w:hAnsi="Times New Roman" w:eastAsia="Times New Roman"/>
                <w:sz w:val="19"/>
              </w:rPr>
              <w:t>IGRA</w:t>
            </w:r>
            <w:r>
              <w:rPr>
                <w:rFonts w:ascii="Times New Roman" w:hAnsi="Times New Roman" w:eastAsia="Times New Roman"/>
                <w:sz w:val="19"/>
                <w:u w:val="single"/>
              </w:rPr>
              <w:t> </w:t>
              <w:tab/>
            </w:r>
            <w:r>
              <w:rPr>
                <w:rFonts w:ascii="標楷體" w:hAnsi="標楷體" w:eastAsia="標楷體" w:hint="eastAsia"/>
                <w:sz w:val="19"/>
              </w:rPr>
              <w:t>年</w:t>
            </w:r>
            <w:r>
              <w:rPr>
                <w:rFonts w:ascii="標楷體" w:hAnsi="標楷體" w:eastAsia="標楷體" w:hint="eastAsia"/>
                <w:sz w:val="19"/>
                <w:u w:val="single"/>
              </w:rPr>
              <w:t> </w:t>
              <w:tab/>
            </w:r>
            <w:r>
              <w:rPr>
                <w:rFonts w:ascii="標楷體" w:hAnsi="標楷體" w:eastAsia="標楷體" w:hint="eastAsia"/>
                <w:sz w:val="19"/>
              </w:rPr>
              <w:t>月</w:t>
            </w:r>
            <w:r>
              <w:rPr>
                <w:rFonts w:ascii="標楷體" w:hAnsi="標楷體" w:eastAsia="標楷體" w:hint="eastAsia"/>
                <w:sz w:val="19"/>
                <w:u w:val="single"/>
              </w:rPr>
              <w:t> </w:t>
              <w:tab/>
            </w:r>
            <w:r>
              <w:rPr>
                <w:rFonts w:ascii="標楷體" w:hAnsi="標楷體" w:eastAsia="標楷體" w:hint="eastAsia"/>
                <w:sz w:val="19"/>
              </w:rPr>
              <w:t>日，結果：○陽性○陰性○不確定</w:t>
            </w:r>
            <w:r>
              <w:rPr>
                <w:rFonts w:ascii="Times New Roman" w:hAnsi="Times New Roman" w:eastAsia="Times New Roman"/>
                <w:sz w:val="19"/>
              </w:rPr>
              <w:t>(Mitogen-Nil&lt;0.5</w:t>
            </w:r>
            <w:r>
              <w:rPr>
                <w:rFonts w:ascii="Times New Roman" w:hAnsi="Times New Roman" w:eastAsia="Times New Roman"/>
                <w:spacing w:val="6"/>
                <w:sz w:val="19"/>
              </w:rPr>
              <w:t> </w:t>
            </w:r>
            <w:r>
              <w:rPr>
                <w:rFonts w:ascii="標楷體" w:hAnsi="標楷體" w:eastAsia="標楷體" w:hint="eastAsia"/>
                <w:sz w:val="19"/>
              </w:rPr>
              <w:t>且</w:t>
            </w:r>
            <w:r>
              <w:rPr>
                <w:rFonts w:ascii="標楷體" w:hAnsi="標楷體" w:eastAsia="標楷體" w:hint="eastAsia"/>
                <w:spacing w:val="-41"/>
                <w:sz w:val="19"/>
              </w:rPr>
              <w:t> </w:t>
            </w:r>
            <w:r>
              <w:rPr>
                <w:rFonts w:ascii="Times New Roman" w:hAnsi="Times New Roman" w:eastAsia="Times New Roman"/>
                <w:sz w:val="19"/>
              </w:rPr>
              <w:t>Nil</w:t>
            </w:r>
            <w:r>
              <w:rPr>
                <w:rFonts w:ascii="新細明體" w:hAnsi="新細明體" w:eastAsia="新細明體" w:hint="eastAsia"/>
                <w:sz w:val="19"/>
              </w:rPr>
              <w:t>≦</w:t>
            </w:r>
            <w:r>
              <w:rPr>
                <w:rFonts w:ascii="Times New Roman" w:hAnsi="Times New Roman" w:eastAsia="Times New Roman"/>
                <w:sz w:val="19"/>
              </w:rPr>
              <w:t>8)</w:t>
            </w:r>
            <w:r>
              <w:rPr>
                <w:rFonts w:ascii="標楷體" w:hAnsi="標楷體" w:eastAsia="標楷體" w:hint="eastAsia"/>
                <w:sz w:val="19"/>
              </w:rPr>
              <w:t>○不確定</w:t>
            </w:r>
            <w:r>
              <w:rPr>
                <w:rFonts w:ascii="Times New Roman" w:hAnsi="Times New Roman" w:eastAsia="Times New Roman"/>
                <w:sz w:val="19"/>
              </w:rPr>
              <w:t>(Nil&gt;8)</w:t>
            </w:r>
          </w:p>
        </w:tc>
      </w:tr>
      <w:tr>
        <w:trPr>
          <w:trHeight w:val="1618" w:hRule="atLeast"/>
        </w:trPr>
        <w:tc>
          <w:tcPr>
            <w:tcW w:w="545" w:type="dxa"/>
            <w:vMerge/>
            <w:tcBorders>
              <w:top w:val="nil"/>
            </w:tcBorders>
          </w:tcPr>
          <w:p>
            <w:pPr>
              <w:rPr>
                <w:sz w:val="2"/>
                <w:szCs w:val="2"/>
              </w:rPr>
            </w:pPr>
          </w:p>
        </w:tc>
        <w:tc>
          <w:tcPr>
            <w:tcW w:w="9417" w:type="dxa"/>
          </w:tcPr>
          <w:p>
            <w:pPr>
              <w:pStyle w:val="TableParagraph"/>
              <w:spacing w:line="250" w:lineRule="exact"/>
              <w:ind w:left="106"/>
              <w:rPr>
                <w:rFonts w:ascii="Times New Roman" w:hAnsi="Times New Roman" w:eastAsia="Times New Roman"/>
                <w:sz w:val="19"/>
              </w:rPr>
            </w:pPr>
            <w:r>
              <w:rPr>
                <w:rFonts w:ascii="標楷體" w:hAnsi="標楷體" w:eastAsia="標楷體" w:hint="eastAsia"/>
                <w:sz w:val="19"/>
              </w:rPr>
              <w:t>□</w:t>
            </w:r>
            <w:r>
              <w:rPr>
                <w:rFonts w:ascii="Times New Roman" w:hAnsi="Times New Roman" w:eastAsia="Times New Roman"/>
                <w:b/>
                <w:sz w:val="19"/>
              </w:rPr>
              <w:t>2 </w:t>
            </w:r>
            <w:r>
              <w:rPr>
                <w:rFonts w:ascii="標楷體" w:hAnsi="標楷體" w:eastAsia="標楷體" w:hint="eastAsia"/>
                <w:b/>
                <w:sz w:val="19"/>
              </w:rPr>
              <w:t>歲</w:t>
            </w:r>
            <w:r>
              <w:rPr>
                <w:rFonts w:ascii="Times New Roman" w:hAnsi="Times New Roman" w:eastAsia="Times New Roman"/>
                <w:b/>
                <w:sz w:val="19"/>
              </w:rPr>
              <w:t>(</w:t>
            </w:r>
            <w:r>
              <w:rPr>
                <w:rFonts w:ascii="標楷體" w:hAnsi="標楷體" w:eastAsia="標楷體" w:hint="eastAsia"/>
                <w:b/>
                <w:sz w:val="19"/>
              </w:rPr>
              <w:t>含</w:t>
            </w:r>
            <w:r>
              <w:rPr>
                <w:rFonts w:ascii="Times New Roman" w:hAnsi="Times New Roman" w:eastAsia="Times New Roman"/>
                <w:b/>
                <w:sz w:val="19"/>
              </w:rPr>
              <w:t>)</w:t>
            </w:r>
            <w:r>
              <w:rPr>
                <w:rFonts w:ascii="標楷體" w:hAnsi="標楷體" w:eastAsia="標楷體" w:hint="eastAsia"/>
                <w:b/>
                <w:sz w:val="19"/>
              </w:rPr>
              <w:t>至未滿 </w:t>
            </w:r>
            <w:r>
              <w:rPr>
                <w:rFonts w:ascii="Times New Roman" w:hAnsi="Times New Roman" w:eastAsia="Times New Roman"/>
                <w:b/>
                <w:sz w:val="19"/>
              </w:rPr>
              <w:t>5 </w:t>
            </w:r>
            <w:r>
              <w:rPr>
                <w:rFonts w:ascii="標楷體" w:hAnsi="標楷體" w:eastAsia="標楷體" w:hint="eastAsia"/>
                <w:b/>
                <w:sz w:val="19"/>
              </w:rPr>
              <w:t>歲接觸者</w:t>
            </w:r>
            <w:r>
              <w:rPr>
                <w:b/>
                <w:sz w:val="19"/>
              </w:rPr>
              <w:t>：</w:t>
            </w:r>
            <w:r>
              <w:rPr>
                <w:rFonts w:ascii="標楷體" w:hAnsi="標楷體" w:eastAsia="標楷體" w:hint="eastAsia"/>
                <w:sz w:val="19"/>
              </w:rPr>
              <w:t>以 </w:t>
            </w:r>
            <w:r>
              <w:rPr>
                <w:rFonts w:ascii="Times New Roman" w:hAnsi="Times New Roman" w:eastAsia="Times New Roman"/>
                <w:sz w:val="19"/>
              </w:rPr>
              <w:t>IGRA </w:t>
            </w:r>
            <w:r>
              <w:rPr>
                <w:rFonts w:ascii="標楷體" w:hAnsi="標楷體" w:eastAsia="標楷體" w:hint="eastAsia"/>
                <w:sz w:val="19"/>
              </w:rPr>
              <w:t>檢驗為主，無法執行 </w:t>
            </w:r>
            <w:r>
              <w:rPr>
                <w:rFonts w:ascii="Times New Roman" w:hAnsi="Times New Roman" w:eastAsia="Times New Roman"/>
                <w:sz w:val="19"/>
              </w:rPr>
              <w:t>IGRA </w:t>
            </w:r>
            <w:r>
              <w:rPr>
                <w:rFonts w:ascii="標楷體" w:hAnsi="標楷體" w:eastAsia="標楷體" w:hint="eastAsia"/>
                <w:sz w:val="19"/>
              </w:rPr>
              <w:t>者，得使用 </w:t>
            </w:r>
            <w:r>
              <w:rPr>
                <w:rFonts w:ascii="Times New Roman" w:hAnsi="Times New Roman" w:eastAsia="Times New Roman"/>
                <w:sz w:val="19"/>
              </w:rPr>
              <w:t>TST</w:t>
            </w:r>
          </w:p>
          <w:p>
            <w:pPr>
              <w:pStyle w:val="TableParagraph"/>
              <w:numPr>
                <w:ilvl w:val="0"/>
                <w:numId w:val="136"/>
              </w:numPr>
              <w:tabs>
                <w:tab w:pos="253" w:val="left" w:leader="none"/>
              </w:tabs>
              <w:spacing w:line="218" w:lineRule="exact" w:before="0" w:after="0"/>
              <w:ind w:left="252" w:right="0" w:hanging="147"/>
              <w:jc w:val="left"/>
              <w:rPr>
                <w:rFonts w:ascii="標楷體" w:eastAsia="標楷體" w:hint="eastAsia"/>
                <w:sz w:val="19"/>
              </w:rPr>
            </w:pPr>
            <w:r>
              <w:rPr>
                <w:rFonts w:ascii="標楷體" w:eastAsia="標楷體" w:hint="eastAsia"/>
                <w:spacing w:val="-15"/>
                <w:sz w:val="19"/>
              </w:rPr>
              <w:t>暴露 </w:t>
            </w:r>
            <w:r>
              <w:rPr>
                <w:rFonts w:ascii="Times New Roman" w:eastAsia="Times New Roman"/>
                <w:sz w:val="19"/>
              </w:rPr>
              <w:t>8</w:t>
            </w:r>
            <w:r>
              <w:rPr>
                <w:rFonts w:ascii="Times New Roman" w:eastAsia="Times New Roman"/>
                <w:spacing w:val="-1"/>
                <w:sz w:val="19"/>
              </w:rPr>
              <w:t> </w:t>
            </w:r>
            <w:r>
              <w:rPr>
                <w:rFonts w:ascii="標楷體" w:eastAsia="標楷體" w:hint="eastAsia"/>
                <w:spacing w:val="-15"/>
                <w:sz w:val="19"/>
              </w:rPr>
              <w:t>週內 </w:t>
            </w:r>
            <w:r>
              <w:rPr>
                <w:rFonts w:ascii="Times New Roman" w:eastAsia="Times New Roman"/>
                <w:sz w:val="19"/>
              </w:rPr>
              <w:t>LTBI</w:t>
            </w:r>
            <w:r>
              <w:rPr>
                <w:rFonts w:ascii="Times New Roman" w:eastAsia="Times New Roman"/>
                <w:spacing w:val="-1"/>
                <w:sz w:val="19"/>
              </w:rPr>
              <w:t> </w:t>
            </w:r>
            <w:r>
              <w:rPr>
                <w:rFonts w:ascii="標楷體" w:eastAsia="標楷體" w:hint="eastAsia"/>
                <w:sz w:val="19"/>
              </w:rPr>
              <w:t>檢驗</w:t>
            </w:r>
          </w:p>
          <w:p>
            <w:pPr>
              <w:pStyle w:val="TableParagraph"/>
              <w:tabs>
                <w:tab w:pos="1178" w:val="left" w:leader="none"/>
                <w:tab w:pos="1754" w:val="left" w:leader="none"/>
                <w:tab w:pos="2332" w:val="left" w:leader="none"/>
              </w:tabs>
              <w:spacing w:line="229" w:lineRule="exact"/>
              <w:ind w:left="320"/>
              <w:rPr>
                <w:rFonts w:ascii="標楷體" w:hAnsi="標楷體" w:eastAsia="標楷體" w:hint="eastAsia"/>
                <w:b/>
                <w:sz w:val="19"/>
              </w:rPr>
            </w:pPr>
            <w:r>
              <w:rPr>
                <w:rFonts w:ascii="Times New Roman" w:hAnsi="Times New Roman" w:eastAsia="Times New Roman"/>
                <w:sz w:val="19"/>
              </w:rPr>
              <w:t>IGRA</w:t>
            </w:r>
            <w:r>
              <w:rPr>
                <w:rFonts w:ascii="Times New Roman" w:hAnsi="Times New Roman" w:eastAsia="Times New Roman"/>
                <w:sz w:val="19"/>
                <w:u w:val="single"/>
              </w:rPr>
              <w:t> </w:t>
              <w:tab/>
            </w:r>
            <w:r>
              <w:rPr>
                <w:rFonts w:ascii="標楷體" w:hAnsi="標楷體" w:eastAsia="標楷體" w:hint="eastAsia"/>
                <w:sz w:val="19"/>
              </w:rPr>
              <w:t>年</w:t>
            </w:r>
            <w:r>
              <w:rPr>
                <w:rFonts w:ascii="標楷體" w:hAnsi="標楷體" w:eastAsia="標楷體" w:hint="eastAsia"/>
                <w:sz w:val="19"/>
                <w:u w:val="single"/>
              </w:rPr>
              <w:t> </w:t>
              <w:tab/>
            </w:r>
            <w:r>
              <w:rPr>
                <w:rFonts w:ascii="標楷體" w:hAnsi="標楷體" w:eastAsia="標楷體" w:hint="eastAsia"/>
                <w:sz w:val="19"/>
              </w:rPr>
              <w:t>月</w:t>
            </w:r>
            <w:r>
              <w:rPr>
                <w:rFonts w:ascii="標楷體" w:hAnsi="標楷體" w:eastAsia="標楷體" w:hint="eastAsia"/>
                <w:sz w:val="19"/>
                <w:u w:val="single"/>
              </w:rPr>
              <w:t> </w:t>
              <w:tab/>
            </w:r>
            <w:r>
              <w:rPr>
                <w:rFonts w:ascii="標楷體" w:hAnsi="標楷體" w:eastAsia="標楷體" w:hint="eastAsia"/>
                <w:sz w:val="19"/>
              </w:rPr>
              <w:t>日，結果：○陽性○陰性○不確定</w:t>
            </w:r>
            <w:r>
              <w:rPr>
                <w:rFonts w:ascii="Times New Roman" w:hAnsi="Times New Roman" w:eastAsia="Times New Roman"/>
                <w:sz w:val="19"/>
              </w:rPr>
              <w:t>(Mitogen-Nil&lt;0.5</w:t>
            </w:r>
            <w:r>
              <w:rPr>
                <w:rFonts w:ascii="Times New Roman" w:hAnsi="Times New Roman" w:eastAsia="Times New Roman"/>
                <w:spacing w:val="9"/>
                <w:sz w:val="19"/>
              </w:rPr>
              <w:t> </w:t>
            </w:r>
            <w:r>
              <w:rPr>
                <w:rFonts w:ascii="標楷體" w:hAnsi="標楷體" w:eastAsia="標楷體" w:hint="eastAsia"/>
                <w:sz w:val="19"/>
              </w:rPr>
              <w:t>且</w:t>
            </w:r>
            <w:r>
              <w:rPr>
                <w:rFonts w:ascii="標楷體" w:hAnsi="標楷體" w:eastAsia="標楷體" w:hint="eastAsia"/>
                <w:spacing w:val="-38"/>
                <w:sz w:val="19"/>
              </w:rPr>
              <w:t> </w:t>
            </w:r>
            <w:r>
              <w:rPr>
                <w:rFonts w:ascii="Times New Roman" w:hAnsi="Times New Roman" w:eastAsia="Times New Roman"/>
                <w:sz w:val="19"/>
              </w:rPr>
              <w:t>Nil</w:t>
            </w:r>
            <w:r>
              <w:rPr>
                <w:rFonts w:ascii="新細明體" w:hAnsi="新細明體" w:eastAsia="新細明體" w:hint="eastAsia"/>
                <w:sz w:val="19"/>
              </w:rPr>
              <w:t>≦</w:t>
            </w:r>
            <w:r>
              <w:rPr>
                <w:rFonts w:ascii="Times New Roman" w:hAnsi="Times New Roman" w:eastAsia="Times New Roman"/>
                <w:sz w:val="19"/>
              </w:rPr>
              <w:t>8)</w:t>
            </w:r>
            <w:r>
              <w:rPr>
                <w:rFonts w:ascii="標楷體" w:hAnsi="標楷體" w:eastAsia="標楷體" w:hint="eastAsia"/>
                <w:sz w:val="19"/>
              </w:rPr>
              <w:t>○不確定</w:t>
            </w:r>
            <w:r>
              <w:rPr>
                <w:rFonts w:ascii="Times New Roman" w:hAnsi="Times New Roman" w:eastAsia="Times New Roman"/>
                <w:sz w:val="19"/>
              </w:rPr>
              <w:t>(Nil&gt;8)</w:t>
            </w:r>
            <w:r>
              <w:rPr>
                <w:rFonts w:ascii="Times New Roman" w:hAnsi="Times New Roman" w:eastAsia="Times New Roman"/>
                <w:spacing w:val="12"/>
                <w:sz w:val="19"/>
              </w:rPr>
              <w:t> </w:t>
            </w:r>
            <w:r>
              <w:rPr>
                <w:rFonts w:ascii="標楷體" w:hAnsi="標楷體" w:eastAsia="標楷體" w:hint="eastAsia"/>
                <w:b/>
                <w:sz w:val="19"/>
              </w:rPr>
              <w:t>或</w:t>
            </w:r>
          </w:p>
          <w:p>
            <w:pPr>
              <w:pStyle w:val="TableParagraph"/>
              <w:tabs>
                <w:tab w:pos="1097" w:val="left" w:leader="none"/>
                <w:tab w:pos="1674" w:val="left" w:leader="none"/>
                <w:tab w:pos="2252" w:val="left" w:leader="none"/>
                <w:tab w:pos="3793" w:val="left" w:leader="none"/>
              </w:tabs>
              <w:spacing w:line="229" w:lineRule="exact"/>
              <w:ind w:left="320"/>
              <w:rPr>
                <w:rFonts w:ascii="標楷體" w:eastAsia="標楷體" w:hint="eastAsia"/>
                <w:sz w:val="19"/>
              </w:rPr>
            </w:pPr>
            <w:r>
              <w:rPr>
                <w:rFonts w:ascii="Times New Roman" w:eastAsia="Times New Roman"/>
                <w:sz w:val="19"/>
              </w:rPr>
              <w:t>TST</w:t>
            </w:r>
            <w:r>
              <w:rPr>
                <w:rFonts w:ascii="Times New Roman" w:eastAsia="Times New Roman"/>
                <w:sz w:val="19"/>
                <w:u w:val="single"/>
              </w:rPr>
              <w:t> </w:t>
              <w:tab/>
            </w:r>
            <w:r>
              <w:rPr>
                <w:rFonts w:ascii="標楷體" w:eastAsia="標楷體" w:hint="eastAsia"/>
                <w:sz w:val="19"/>
              </w:rPr>
              <w:t>年</w:t>
            </w:r>
            <w:r>
              <w:rPr>
                <w:rFonts w:ascii="標楷體" w:eastAsia="標楷體" w:hint="eastAsia"/>
                <w:sz w:val="19"/>
                <w:u w:val="single"/>
              </w:rPr>
              <w:t> </w:t>
              <w:tab/>
            </w:r>
            <w:r>
              <w:rPr>
                <w:rFonts w:ascii="標楷體" w:eastAsia="標楷體" w:hint="eastAsia"/>
                <w:sz w:val="19"/>
              </w:rPr>
              <w:t>月</w:t>
            </w:r>
            <w:r>
              <w:rPr>
                <w:rFonts w:ascii="標楷體" w:eastAsia="標楷體" w:hint="eastAsia"/>
                <w:sz w:val="19"/>
                <w:u w:val="single"/>
              </w:rPr>
              <w:t> </w:t>
              <w:tab/>
            </w:r>
            <w:r>
              <w:rPr>
                <w:rFonts w:ascii="標楷體" w:eastAsia="標楷體" w:hint="eastAsia"/>
                <w:sz w:val="19"/>
              </w:rPr>
              <w:t>日，結果：</w:t>
            </w:r>
            <w:r>
              <w:rPr>
                <w:rFonts w:ascii="標楷體" w:eastAsia="標楷體" w:hint="eastAsia"/>
                <w:sz w:val="19"/>
                <w:u w:val="single"/>
              </w:rPr>
              <w:t> </w:t>
              <w:tab/>
            </w:r>
            <w:r>
              <w:rPr>
                <w:rFonts w:ascii="Times New Roman" w:eastAsia="Times New Roman"/>
                <w:sz w:val="19"/>
              </w:rPr>
              <w:t>mm</w:t>
            </w:r>
            <w:r>
              <w:rPr>
                <w:rFonts w:ascii="標楷體" w:eastAsia="標楷體" w:hint="eastAsia"/>
                <w:sz w:val="19"/>
              </w:rPr>
              <w:t>，陽性者於暴露滿</w:t>
            </w:r>
            <w:r>
              <w:rPr>
                <w:rFonts w:ascii="標楷體" w:eastAsia="標楷體" w:hint="eastAsia"/>
                <w:spacing w:val="-44"/>
                <w:sz w:val="19"/>
              </w:rPr>
              <w:t> </w:t>
            </w:r>
            <w:r>
              <w:rPr>
                <w:rFonts w:ascii="Times New Roman" w:eastAsia="Times New Roman"/>
                <w:sz w:val="19"/>
              </w:rPr>
              <w:t>8 </w:t>
            </w:r>
            <w:r>
              <w:rPr>
                <w:rFonts w:ascii="標楷體" w:eastAsia="標楷體" w:hint="eastAsia"/>
                <w:sz w:val="19"/>
              </w:rPr>
              <w:t>週後得再以</w:t>
            </w:r>
            <w:r>
              <w:rPr>
                <w:rFonts w:ascii="標楷體" w:eastAsia="標楷體" w:hint="eastAsia"/>
                <w:spacing w:val="-44"/>
                <w:sz w:val="19"/>
              </w:rPr>
              <w:t> </w:t>
            </w:r>
            <w:r>
              <w:rPr>
                <w:rFonts w:ascii="Times New Roman" w:eastAsia="Times New Roman"/>
                <w:sz w:val="19"/>
              </w:rPr>
              <w:t>IGRA</w:t>
            </w:r>
            <w:r>
              <w:rPr>
                <w:rFonts w:ascii="Times New Roman" w:eastAsia="Times New Roman"/>
                <w:spacing w:val="-1"/>
                <w:sz w:val="19"/>
              </w:rPr>
              <w:t> </w:t>
            </w:r>
            <w:r>
              <w:rPr>
                <w:rFonts w:ascii="標楷體" w:eastAsia="標楷體" w:hint="eastAsia"/>
                <w:sz w:val="19"/>
              </w:rPr>
              <w:t>檢驗</w:t>
            </w:r>
          </w:p>
          <w:p>
            <w:pPr>
              <w:pStyle w:val="TableParagraph"/>
              <w:numPr>
                <w:ilvl w:val="0"/>
                <w:numId w:val="136"/>
              </w:numPr>
              <w:tabs>
                <w:tab w:pos="253" w:val="left" w:leader="none"/>
              </w:tabs>
              <w:spacing w:line="229" w:lineRule="exact" w:before="0" w:after="0"/>
              <w:ind w:left="252" w:right="0" w:hanging="147"/>
              <w:jc w:val="left"/>
              <w:rPr>
                <w:rFonts w:ascii="Times New Roman" w:eastAsia="Times New Roman"/>
                <w:sz w:val="19"/>
              </w:rPr>
            </w:pPr>
            <w:r>
              <w:rPr>
                <w:rFonts w:ascii="標楷體" w:eastAsia="標楷體" w:hint="eastAsia"/>
                <w:spacing w:val="-11"/>
                <w:sz w:val="19"/>
              </w:rPr>
              <w:t>暴露滿 </w:t>
            </w:r>
            <w:r>
              <w:rPr>
                <w:rFonts w:ascii="Times New Roman" w:eastAsia="Times New Roman"/>
                <w:sz w:val="19"/>
              </w:rPr>
              <w:t>8 </w:t>
            </w:r>
            <w:r>
              <w:rPr>
                <w:rFonts w:ascii="標楷體" w:eastAsia="標楷體" w:hint="eastAsia"/>
                <w:spacing w:val="-22"/>
                <w:sz w:val="19"/>
              </w:rPr>
              <w:t>週 </w:t>
            </w:r>
            <w:r>
              <w:rPr>
                <w:rFonts w:ascii="Times New Roman" w:eastAsia="Times New Roman"/>
                <w:sz w:val="19"/>
              </w:rPr>
              <w:t>LTBI </w:t>
            </w:r>
            <w:r>
              <w:rPr>
                <w:rFonts w:ascii="標楷體" w:eastAsia="標楷體" w:hint="eastAsia"/>
                <w:sz w:val="19"/>
              </w:rPr>
              <w:t>檢驗</w:t>
            </w:r>
            <w:r>
              <w:rPr>
                <w:rFonts w:ascii="Times New Roman" w:eastAsia="Times New Roman"/>
                <w:sz w:val="19"/>
              </w:rPr>
              <w:t>(8</w:t>
            </w:r>
            <w:r>
              <w:rPr>
                <w:rFonts w:ascii="Times New Roman" w:eastAsia="Times New Roman"/>
                <w:spacing w:val="1"/>
                <w:sz w:val="19"/>
              </w:rPr>
              <w:t> </w:t>
            </w:r>
            <w:r>
              <w:rPr>
                <w:rFonts w:ascii="標楷體" w:eastAsia="標楷體" w:hint="eastAsia"/>
                <w:spacing w:val="-12"/>
                <w:sz w:val="19"/>
              </w:rPr>
              <w:t>週內以 </w:t>
            </w:r>
            <w:r>
              <w:rPr>
                <w:rFonts w:ascii="Times New Roman" w:eastAsia="Times New Roman"/>
                <w:sz w:val="19"/>
              </w:rPr>
              <w:t>TST</w:t>
            </w:r>
            <w:r>
              <w:rPr>
                <w:rFonts w:ascii="Times New Roman" w:eastAsia="Times New Roman"/>
                <w:spacing w:val="3"/>
                <w:sz w:val="19"/>
              </w:rPr>
              <w:t> </w:t>
            </w:r>
            <w:r>
              <w:rPr>
                <w:rFonts w:ascii="標楷體" w:eastAsia="標楷體" w:hint="eastAsia"/>
                <w:spacing w:val="-12"/>
                <w:sz w:val="19"/>
              </w:rPr>
              <w:t>檢驗或 </w:t>
            </w:r>
            <w:r>
              <w:rPr>
                <w:rFonts w:ascii="Times New Roman" w:eastAsia="Times New Roman"/>
                <w:sz w:val="19"/>
              </w:rPr>
              <w:t>IGRA </w:t>
            </w:r>
            <w:r>
              <w:rPr>
                <w:rFonts w:ascii="標楷體" w:eastAsia="標楷體" w:hint="eastAsia"/>
                <w:spacing w:val="-7"/>
                <w:sz w:val="19"/>
              </w:rPr>
              <w:t>陰性者，於滿 </w:t>
            </w:r>
            <w:r>
              <w:rPr>
                <w:rFonts w:ascii="Times New Roman" w:eastAsia="Times New Roman"/>
                <w:sz w:val="19"/>
              </w:rPr>
              <w:t>8 </w:t>
            </w:r>
            <w:r>
              <w:rPr>
                <w:rFonts w:ascii="標楷體" w:eastAsia="標楷體" w:hint="eastAsia"/>
                <w:spacing w:val="-7"/>
                <w:sz w:val="19"/>
              </w:rPr>
              <w:t>週後再次進行 </w:t>
            </w:r>
            <w:r>
              <w:rPr>
                <w:rFonts w:ascii="Times New Roman" w:eastAsia="Times New Roman"/>
                <w:sz w:val="19"/>
              </w:rPr>
              <w:t>IGRA)</w:t>
            </w:r>
          </w:p>
          <w:p>
            <w:pPr>
              <w:pStyle w:val="TableParagraph"/>
              <w:tabs>
                <w:tab w:pos="1134" w:val="left" w:leader="none"/>
                <w:tab w:pos="1710" w:val="left" w:leader="none"/>
                <w:tab w:pos="2288" w:val="left" w:leader="none"/>
              </w:tabs>
              <w:spacing w:line="237" w:lineRule="exact"/>
              <w:ind w:left="277"/>
              <w:rPr>
                <w:rFonts w:ascii="標楷體" w:hAnsi="標楷體" w:eastAsia="標楷體" w:hint="eastAsia"/>
                <w:b/>
                <w:sz w:val="19"/>
              </w:rPr>
            </w:pPr>
            <w:r>
              <w:rPr>
                <w:rFonts w:ascii="Times New Roman" w:hAnsi="Times New Roman" w:eastAsia="Times New Roman"/>
                <w:sz w:val="19"/>
              </w:rPr>
              <w:t>IGRA</w:t>
            </w:r>
            <w:r>
              <w:rPr>
                <w:rFonts w:ascii="Times New Roman" w:hAnsi="Times New Roman" w:eastAsia="Times New Roman"/>
                <w:sz w:val="19"/>
                <w:u w:val="single"/>
              </w:rPr>
              <w:t> </w:t>
              <w:tab/>
            </w:r>
            <w:r>
              <w:rPr>
                <w:rFonts w:ascii="標楷體" w:hAnsi="標楷體" w:eastAsia="標楷體" w:hint="eastAsia"/>
                <w:sz w:val="19"/>
              </w:rPr>
              <w:t>年</w:t>
            </w:r>
            <w:r>
              <w:rPr>
                <w:rFonts w:ascii="標楷體" w:hAnsi="標楷體" w:eastAsia="標楷體" w:hint="eastAsia"/>
                <w:sz w:val="19"/>
                <w:u w:val="single"/>
              </w:rPr>
              <w:t> </w:t>
              <w:tab/>
            </w:r>
            <w:r>
              <w:rPr>
                <w:rFonts w:ascii="標楷體" w:hAnsi="標楷體" w:eastAsia="標楷體" w:hint="eastAsia"/>
                <w:sz w:val="19"/>
              </w:rPr>
              <w:t>月</w:t>
            </w:r>
            <w:r>
              <w:rPr>
                <w:rFonts w:ascii="標楷體" w:hAnsi="標楷體" w:eastAsia="標楷體" w:hint="eastAsia"/>
                <w:sz w:val="19"/>
                <w:u w:val="single"/>
              </w:rPr>
              <w:t> </w:t>
              <w:tab/>
            </w:r>
            <w:r>
              <w:rPr>
                <w:rFonts w:ascii="標楷體" w:hAnsi="標楷體" w:eastAsia="標楷體" w:hint="eastAsia"/>
                <w:sz w:val="19"/>
              </w:rPr>
              <w:t>日，結果：○陽性○陰性○不確定</w:t>
            </w:r>
            <w:r>
              <w:rPr>
                <w:rFonts w:ascii="Times New Roman" w:hAnsi="Times New Roman" w:eastAsia="Times New Roman"/>
                <w:sz w:val="19"/>
              </w:rPr>
              <w:t>(Mitogen-Nil&lt;0.5</w:t>
            </w:r>
            <w:r>
              <w:rPr>
                <w:rFonts w:ascii="Times New Roman" w:hAnsi="Times New Roman" w:eastAsia="Times New Roman"/>
                <w:spacing w:val="8"/>
                <w:sz w:val="19"/>
              </w:rPr>
              <w:t> </w:t>
            </w:r>
            <w:r>
              <w:rPr>
                <w:rFonts w:ascii="標楷體" w:hAnsi="標楷體" w:eastAsia="標楷體" w:hint="eastAsia"/>
                <w:sz w:val="19"/>
              </w:rPr>
              <w:t>且</w:t>
            </w:r>
            <w:r>
              <w:rPr>
                <w:rFonts w:ascii="標楷體" w:hAnsi="標楷體" w:eastAsia="標楷體" w:hint="eastAsia"/>
                <w:spacing w:val="-38"/>
                <w:sz w:val="19"/>
              </w:rPr>
              <w:t> </w:t>
            </w:r>
            <w:r>
              <w:rPr>
                <w:rFonts w:ascii="Times New Roman" w:hAnsi="Times New Roman" w:eastAsia="Times New Roman"/>
                <w:sz w:val="19"/>
              </w:rPr>
              <w:t>Nil</w:t>
            </w:r>
            <w:r>
              <w:rPr>
                <w:rFonts w:ascii="新細明體" w:hAnsi="新細明體" w:eastAsia="新細明體" w:hint="eastAsia"/>
                <w:sz w:val="19"/>
              </w:rPr>
              <w:t>≦</w:t>
            </w:r>
            <w:r>
              <w:rPr>
                <w:rFonts w:ascii="Times New Roman" w:hAnsi="Times New Roman" w:eastAsia="Times New Roman"/>
                <w:sz w:val="19"/>
              </w:rPr>
              <w:t>8)</w:t>
            </w:r>
            <w:r>
              <w:rPr>
                <w:rFonts w:ascii="標楷體" w:hAnsi="標楷體" w:eastAsia="標楷體" w:hint="eastAsia"/>
                <w:sz w:val="19"/>
              </w:rPr>
              <w:t>○不確定</w:t>
            </w:r>
            <w:r>
              <w:rPr>
                <w:rFonts w:ascii="Times New Roman" w:hAnsi="Times New Roman" w:eastAsia="Times New Roman"/>
                <w:sz w:val="19"/>
              </w:rPr>
              <w:t>(Nil&gt;8)</w:t>
            </w:r>
            <w:r>
              <w:rPr>
                <w:rFonts w:ascii="Times New Roman" w:hAnsi="Times New Roman" w:eastAsia="Times New Roman"/>
                <w:spacing w:val="10"/>
                <w:sz w:val="19"/>
              </w:rPr>
              <w:t> </w:t>
            </w:r>
            <w:r>
              <w:rPr>
                <w:rFonts w:ascii="標楷體" w:hAnsi="標楷體" w:eastAsia="標楷體" w:hint="eastAsia"/>
                <w:b/>
                <w:sz w:val="19"/>
              </w:rPr>
              <w:t>或</w:t>
            </w:r>
          </w:p>
          <w:p>
            <w:pPr>
              <w:pStyle w:val="TableParagraph"/>
              <w:tabs>
                <w:tab w:pos="908" w:val="left" w:leader="none"/>
                <w:tab w:pos="1486" w:val="left" w:leader="none"/>
                <w:tab w:pos="2064" w:val="left" w:leader="none"/>
                <w:tab w:pos="3606" w:val="left" w:leader="none"/>
              </w:tabs>
              <w:spacing w:line="207" w:lineRule="exact"/>
              <w:ind w:left="277"/>
              <w:rPr>
                <w:rFonts w:ascii="Times New Roman" w:eastAsia="Times New Roman"/>
                <w:sz w:val="19"/>
              </w:rPr>
            </w:pPr>
            <w:r>
              <w:rPr>
                <w:rFonts w:ascii="Times New Roman" w:eastAsia="Times New Roman"/>
                <w:sz w:val="19"/>
              </w:rPr>
              <w:t>TST</w:t>
            </w:r>
            <w:r>
              <w:rPr>
                <w:rFonts w:ascii="Times New Roman" w:eastAsia="Times New Roman"/>
                <w:sz w:val="19"/>
                <w:u w:val="single"/>
              </w:rPr>
              <w:t> </w:t>
              <w:tab/>
            </w:r>
            <w:r>
              <w:rPr>
                <w:rFonts w:ascii="標楷體" w:eastAsia="標楷體" w:hint="eastAsia"/>
                <w:sz w:val="19"/>
              </w:rPr>
              <w:t>年</w:t>
            </w:r>
            <w:r>
              <w:rPr>
                <w:rFonts w:ascii="標楷體" w:eastAsia="標楷體" w:hint="eastAsia"/>
                <w:sz w:val="19"/>
                <w:u w:val="single"/>
              </w:rPr>
              <w:t> </w:t>
              <w:tab/>
            </w:r>
            <w:r>
              <w:rPr>
                <w:rFonts w:ascii="標楷體" w:eastAsia="標楷體" w:hint="eastAsia"/>
                <w:sz w:val="19"/>
              </w:rPr>
              <w:t>月</w:t>
            </w:r>
            <w:r>
              <w:rPr>
                <w:rFonts w:ascii="標楷體" w:eastAsia="標楷體" w:hint="eastAsia"/>
                <w:sz w:val="19"/>
                <w:u w:val="single"/>
              </w:rPr>
              <w:t> </w:t>
              <w:tab/>
            </w:r>
            <w:r>
              <w:rPr>
                <w:rFonts w:ascii="標楷體" w:eastAsia="標楷體" w:hint="eastAsia"/>
                <w:sz w:val="19"/>
              </w:rPr>
              <w:t>日，結果：</w:t>
            </w:r>
            <w:r>
              <w:rPr>
                <w:rFonts w:ascii="標楷體" w:eastAsia="標楷體" w:hint="eastAsia"/>
                <w:sz w:val="19"/>
                <w:u w:val="single"/>
              </w:rPr>
              <w:t> </w:t>
              <w:tab/>
            </w:r>
            <w:r>
              <w:rPr>
                <w:rFonts w:ascii="Times New Roman" w:eastAsia="Times New Roman"/>
                <w:spacing w:val="-2"/>
                <w:sz w:val="19"/>
              </w:rPr>
              <w:t>mm(</w:t>
            </w:r>
            <w:r>
              <w:rPr>
                <w:rFonts w:ascii="標楷體" w:eastAsia="標楷體" w:hint="eastAsia"/>
                <w:sz w:val="19"/>
              </w:rPr>
              <w:t>限</w:t>
            </w:r>
            <w:r>
              <w:rPr>
                <w:rFonts w:ascii="標楷體" w:eastAsia="標楷體" w:hint="eastAsia"/>
                <w:spacing w:val="-45"/>
                <w:sz w:val="19"/>
              </w:rPr>
              <w:t> </w:t>
            </w:r>
            <w:r>
              <w:rPr>
                <w:rFonts w:ascii="Times New Roman" w:eastAsia="Times New Roman"/>
                <w:sz w:val="19"/>
              </w:rPr>
              <w:t>8</w:t>
            </w:r>
            <w:r>
              <w:rPr>
                <w:rFonts w:ascii="Times New Roman" w:eastAsia="Times New Roman"/>
                <w:spacing w:val="3"/>
                <w:sz w:val="19"/>
              </w:rPr>
              <w:t> </w:t>
            </w:r>
            <w:r>
              <w:rPr>
                <w:rFonts w:ascii="標楷體" w:eastAsia="標楷體" w:hint="eastAsia"/>
                <w:sz w:val="19"/>
              </w:rPr>
              <w:t>週內</w:t>
            </w:r>
            <w:r>
              <w:rPr>
                <w:rFonts w:ascii="標楷體" w:eastAsia="標楷體" w:hint="eastAsia"/>
                <w:spacing w:val="-46"/>
                <w:sz w:val="19"/>
              </w:rPr>
              <w:t> </w:t>
            </w:r>
            <w:r>
              <w:rPr>
                <w:rFonts w:ascii="Times New Roman" w:eastAsia="Times New Roman"/>
                <w:sz w:val="19"/>
              </w:rPr>
              <w:t>TST</w:t>
            </w:r>
            <w:r>
              <w:rPr>
                <w:rFonts w:ascii="Times New Roman" w:eastAsia="Times New Roman"/>
                <w:spacing w:val="2"/>
                <w:sz w:val="19"/>
              </w:rPr>
              <w:t> </w:t>
            </w:r>
            <w:r>
              <w:rPr>
                <w:rFonts w:ascii="標楷體" w:eastAsia="標楷體" w:hint="eastAsia"/>
                <w:sz w:val="19"/>
              </w:rPr>
              <w:t>陰性，無法執行</w:t>
            </w:r>
            <w:r>
              <w:rPr>
                <w:rFonts w:ascii="標楷體" w:eastAsia="標楷體" w:hint="eastAsia"/>
                <w:spacing w:val="-45"/>
                <w:sz w:val="19"/>
              </w:rPr>
              <w:t> </w:t>
            </w:r>
            <w:r>
              <w:rPr>
                <w:rFonts w:ascii="Times New Roman" w:eastAsia="Times New Roman"/>
                <w:sz w:val="19"/>
              </w:rPr>
              <w:t>IGRA</w:t>
            </w:r>
            <w:r>
              <w:rPr>
                <w:rFonts w:ascii="Times New Roman" w:eastAsia="Times New Roman"/>
                <w:spacing w:val="2"/>
                <w:sz w:val="19"/>
              </w:rPr>
              <w:t> </w:t>
            </w:r>
            <w:r>
              <w:rPr>
                <w:rFonts w:ascii="標楷體" w:eastAsia="標楷體" w:hint="eastAsia"/>
                <w:sz w:val="19"/>
              </w:rPr>
              <w:t>者</w:t>
            </w:r>
            <w:r>
              <w:rPr>
                <w:rFonts w:ascii="Times New Roman" w:eastAsia="Times New Roman"/>
                <w:sz w:val="19"/>
              </w:rPr>
              <w:t>)</w:t>
            </w:r>
          </w:p>
        </w:tc>
      </w:tr>
      <w:tr>
        <w:trPr>
          <w:trHeight w:val="705" w:hRule="atLeast"/>
        </w:trPr>
        <w:tc>
          <w:tcPr>
            <w:tcW w:w="545" w:type="dxa"/>
            <w:vMerge/>
            <w:tcBorders>
              <w:top w:val="nil"/>
            </w:tcBorders>
          </w:tcPr>
          <w:p>
            <w:pPr>
              <w:rPr>
                <w:sz w:val="2"/>
                <w:szCs w:val="2"/>
              </w:rPr>
            </w:pPr>
          </w:p>
        </w:tc>
        <w:tc>
          <w:tcPr>
            <w:tcW w:w="9417" w:type="dxa"/>
          </w:tcPr>
          <w:p>
            <w:pPr>
              <w:pStyle w:val="TableParagraph"/>
              <w:spacing w:line="253" w:lineRule="exact"/>
              <w:ind w:left="106"/>
              <w:rPr>
                <w:rFonts w:ascii="標楷體" w:hAnsi="標楷體" w:eastAsia="標楷體" w:hint="eastAsia"/>
                <w:sz w:val="19"/>
              </w:rPr>
            </w:pPr>
            <w:r>
              <w:rPr>
                <w:rFonts w:ascii="標楷體" w:hAnsi="標楷體" w:eastAsia="標楷體" w:hint="eastAsia"/>
                <w:sz w:val="19"/>
              </w:rPr>
              <w:t>□</w:t>
            </w:r>
            <w:r>
              <w:rPr>
                <w:rFonts w:ascii="標楷體" w:hAnsi="標楷體" w:eastAsia="標楷體" w:hint="eastAsia"/>
                <w:b/>
                <w:sz w:val="19"/>
              </w:rPr>
              <w:t>未滿 </w:t>
            </w:r>
            <w:r>
              <w:rPr>
                <w:rFonts w:ascii="Times New Roman" w:hAnsi="Times New Roman" w:eastAsia="Times New Roman"/>
                <w:b/>
                <w:sz w:val="19"/>
              </w:rPr>
              <w:t>2 </w:t>
            </w:r>
            <w:r>
              <w:rPr>
                <w:rFonts w:ascii="標楷體" w:hAnsi="標楷體" w:eastAsia="標楷體" w:hint="eastAsia"/>
                <w:b/>
                <w:sz w:val="19"/>
              </w:rPr>
              <w:t>歲接觸者</w:t>
            </w:r>
            <w:r>
              <w:rPr>
                <w:sz w:val="19"/>
              </w:rPr>
              <w:t>：</w:t>
            </w:r>
            <w:r>
              <w:rPr>
                <w:rFonts w:ascii="標楷體" w:hAnsi="標楷體" w:eastAsia="標楷體" w:hint="eastAsia"/>
                <w:sz w:val="19"/>
              </w:rPr>
              <w:t>以 </w:t>
            </w:r>
            <w:r>
              <w:rPr>
                <w:rFonts w:ascii="Times New Roman" w:hAnsi="Times New Roman" w:eastAsia="Times New Roman"/>
                <w:sz w:val="19"/>
              </w:rPr>
              <w:t>TST </w:t>
            </w:r>
            <w:r>
              <w:rPr>
                <w:rFonts w:ascii="標楷體" w:hAnsi="標楷體" w:eastAsia="標楷體" w:hint="eastAsia"/>
                <w:sz w:val="19"/>
              </w:rPr>
              <w:t>檢驗</w:t>
            </w:r>
          </w:p>
          <w:p>
            <w:pPr>
              <w:pStyle w:val="TableParagraph"/>
              <w:tabs>
                <w:tab w:pos="2742" w:val="left" w:leader="none"/>
                <w:tab w:pos="3319" w:val="left" w:leader="none"/>
                <w:tab w:pos="3897" w:val="left" w:leader="none"/>
                <w:tab w:pos="5343" w:val="left" w:leader="none"/>
              </w:tabs>
              <w:spacing w:line="226" w:lineRule="exact"/>
              <w:ind w:left="106"/>
              <w:rPr>
                <w:rFonts w:ascii="Times New Roman" w:eastAsia="Times New Roman"/>
                <w:sz w:val="19"/>
              </w:rPr>
            </w:pPr>
            <w:r>
              <w:rPr>
                <w:rFonts w:ascii="標楷體" w:eastAsia="標楷體" w:hint="eastAsia"/>
                <w:sz w:val="19"/>
              </w:rPr>
              <w:t>第一次</w:t>
            </w:r>
            <w:r>
              <w:rPr>
                <w:rFonts w:ascii="標楷體" w:eastAsia="標楷體" w:hint="eastAsia"/>
                <w:spacing w:val="-43"/>
                <w:sz w:val="19"/>
              </w:rPr>
              <w:t> </w:t>
            </w:r>
            <w:r>
              <w:rPr>
                <w:rFonts w:ascii="Times New Roman" w:eastAsia="Times New Roman"/>
                <w:sz w:val="19"/>
              </w:rPr>
              <w:t>TST(</w:t>
            </w:r>
            <w:r>
              <w:rPr>
                <w:rFonts w:ascii="標楷體" w:eastAsia="標楷體" w:hint="eastAsia"/>
                <w:sz w:val="19"/>
              </w:rPr>
              <w:t>暴露</w:t>
            </w:r>
            <w:r>
              <w:rPr>
                <w:rFonts w:ascii="標楷體" w:eastAsia="標楷體" w:hint="eastAsia"/>
                <w:spacing w:val="-40"/>
                <w:sz w:val="19"/>
              </w:rPr>
              <w:t> </w:t>
            </w:r>
            <w:r>
              <w:rPr>
                <w:rFonts w:ascii="Times New Roman" w:eastAsia="Times New Roman"/>
                <w:sz w:val="19"/>
              </w:rPr>
              <w:t>8</w:t>
            </w:r>
            <w:r>
              <w:rPr>
                <w:rFonts w:ascii="Times New Roman" w:eastAsia="Times New Roman"/>
                <w:spacing w:val="3"/>
                <w:sz w:val="19"/>
              </w:rPr>
              <w:t> </w:t>
            </w:r>
            <w:r>
              <w:rPr>
                <w:rFonts w:ascii="標楷體" w:eastAsia="標楷體" w:hint="eastAsia"/>
                <w:sz w:val="19"/>
              </w:rPr>
              <w:t>週內</w:t>
            </w:r>
            <w:r>
              <w:rPr>
                <w:rFonts w:ascii="Times New Roman" w:eastAsia="Times New Roman"/>
                <w:sz w:val="19"/>
              </w:rPr>
              <w:t>)</w:t>
            </w:r>
            <w:r>
              <w:rPr>
                <w:rFonts w:ascii="標楷體" w:eastAsia="標楷體" w:hint="eastAsia"/>
                <w:sz w:val="19"/>
              </w:rPr>
              <w:t>：</w:t>
            </w:r>
            <w:r>
              <w:rPr>
                <w:rFonts w:ascii="標楷體" w:eastAsia="標楷體" w:hint="eastAsia"/>
                <w:sz w:val="19"/>
                <w:u w:val="single"/>
              </w:rPr>
              <w:t> </w:t>
              <w:tab/>
            </w:r>
            <w:r>
              <w:rPr>
                <w:rFonts w:ascii="標楷體" w:eastAsia="標楷體" w:hint="eastAsia"/>
                <w:sz w:val="19"/>
              </w:rPr>
              <w:t>年</w:t>
            </w:r>
            <w:r>
              <w:rPr>
                <w:rFonts w:ascii="標楷體" w:eastAsia="標楷體" w:hint="eastAsia"/>
                <w:sz w:val="19"/>
                <w:u w:val="single"/>
              </w:rPr>
              <w:t> </w:t>
              <w:tab/>
            </w:r>
            <w:r>
              <w:rPr>
                <w:rFonts w:ascii="標楷體" w:eastAsia="標楷體" w:hint="eastAsia"/>
                <w:sz w:val="19"/>
              </w:rPr>
              <w:t>月</w:t>
            </w:r>
            <w:r>
              <w:rPr>
                <w:rFonts w:ascii="標楷體" w:eastAsia="標楷體" w:hint="eastAsia"/>
                <w:sz w:val="19"/>
                <w:u w:val="single"/>
              </w:rPr>
              <w:t> </w:t>
              <w:tab/>
            </w:r>
            <w:r>
              <w:rPr>
                <w:rFonts w:ascii="標楷體" w:eastAsia="標楷體" w:hint="eastAsia"/>
                <w:sz w:val="19"/>
              </w:rPr>
              <w:t>日，結果：</w:t>
            </w:r>
            <w:r>
              <w:rPr>
                <w:rFonts w:ascii="標楷體" w:eastAsia="標楷體" w:hint="eastAsia"/>
                <w:sz w:val="19"/>
                <w:u w:val="single"/>
              </w:rPr>
              <w:t> </w:t>
              <w:tab/>
            </w:r>
            <w:r>
              <w:rPr>
                <w:rFonts w:ascii="Times New Roman" w:eastAsia="Times New Roman"/>
                <w:sz w:val="19"/>
              </w:rPr>
              <w:t>mm</w:t>
            </w:r>
            <w:r>
              <w:rPr>
                <w:rFonts w:ascii="標楷體" w:eastAsia="標楷體" w:hint="eastAsia"/>
                <w:sz w:val="19"/>
              </w:rPr>
              <w:t>，陰性者於</w:t>
            </w:r>
            <w:r>
              <w:rPr>
                <w:rFonts w:ascii="標楷體" w:eastAsia="標楷體" w:hint="eastAsia"/>
                <w:spacing w:val="-46"/>
                <w:sz w:val="19"/>
              </w:rPr>
              <w:t> </w:t>
            </w:r>
            <w:r>
              <w:rPr>
                <w:rFonts w:ascii="Times New Roman" w:eastAsia="Times New Roman"/>
                <w:sz w:val="19"/>
              </w:rPr>
              <w:t>8</w:t>
            </w:r>
            <w:r>
              <w:rPr>
                <w:rFonts w:ascii="Times New Roman" w:eastAsia="Times New Roman"/>
                <w:spacing w:val="3"/>
                <w:sz w:val="19"/>
              </w:rPr>
              <w:t> </w:t>
            </w:r>
            <w:r>
              <w:rPr>
                <w:rFonts w:ascii="標楷體" w:eastAsia="標楷體" w:hint="eastAsia"/>
                <w:sz w:val="19"/>
              </w:rPr>
              <w:t>週後進行第</w:t>
            </w:r>
            <w:r>
              <w:rPr>
                <w:rFonts w:ascii="標楷體" w:eastAsia="標楷體" w:hint="eastAsia"/>
                <w:spacing w:val="-43"/>
                <w:sz w:val="19"/>
              </w:rPr>
              <w:t> </w:t>
            </w:r>
            <w:r>
              <w:rPr>
                <w:rFonts w:ascii="Times New Roman" w:eastAsia="Times New Roman"/>
                <w:sz w:val="19"/>
              </w:rPr>
              <w:t>2 </w:t>
            </w:r>
            <w:r>
              <w:rPr>
                <w:rFonts w:ascii="標楷體" w:eastAsia="標楷體" w:hint="eastAsia"/>
                <w:sz w:val="19"/>
              </w:rPr>
              <w:t>次</w:t>
            </w:r>
            <w:r>
              <w:rPr>
                <w:rFonts w:ascii="標楷體" w:eastAsia="標楷體" w:hint="eastAsia"/>
                <w:spacing w:val="-46"/>
                <w:sz w:val="19"/>
              </w:rPr>
              <w:t> </w:t>
            </w:r>
            <w:r>
              <w:rPr>
                <w:rFonts w:ascii="Times New Roman" w:eastAsia="Times New Roman"/>
                <w:sz w:val="19"/>
              </w:rPr>
              <w:t>TST</w:t>
            </w:r>
          </w:p>
          <w:p>
            <w:pPr>
              <w:pStyle w:val="TableParagraph"/>
              <w:tabs>
                <w:tab w:pos="3951" w:val="left" w:leader="none"/>
                <w:tab w:pos="4528" w:val="left" w:leader="none"/>
                <w:tab w:pos="5105" w:val="left" w:leader="none"/>
                <w:tab w:pos="6551" w:val="left" w:leader="none"/>
              </w:tabs>
              <w:spacing w:line="207" w:lineRule="exact"/>
              <w:ind w:left="106"/>
              <w:rPr>
                <w:rFonts w:ascii="Times New Roman" w:eastAsia="Times New Roman"/>
                <w:sz w:val="19"/>
              </w:rPr>
            </w:pPr>
            <w:r>
              <w:rPr>
                <w:rFonts w:ascii="標楷體" w:eastAsia="標楷體" w:hint="eastAsia"/>
                <w:sz w:val="19"/>
              </w:rPr>
              <w:t>第二次</w:t>
            </w:r>
            <w:r>
              <w:rPr>
                <w:rFonts w:ascii="標楷體" w:eastAsia="標楷體" w:hint="eastAsia"/>
                <w:spacing w:val="-43"/>
                <w:sz w:val="19"/>
              </w:rPr>
              <w:t> </w:t>
            </w:r>
            <w:r>
              <w:rPr>
                <w:rFonts w:ascii="Times New Roman" w:eastAsia="Times New Roman"/>
                <w:sz w:val="19"/>
              </w:rPr>
              <w:t>TST(</w:t>
            </w:r>
            <w:r>
              <w:rPr>
                <w:rFonts w:ascii="標楷體" w:eastAsia="標楷體" w:hint="eastAsia"/>
                <w:sz w:val="19"/>
              </w:rPr>
              <w:t>與第一次</w:t>
            </w:r>
            <w:r>
              <w:rPr>
                <w:rFonts w:ascii="標楷體" w:eastAsia="標楷體" w:hint="eastAsia"/>
                <w:spacing w:val="-42"/>
                <w:sz w:val="19"/>
              </w:rPr>
              <w:t> </w:t>
            </w:r>
            <w:r>
              <w:rPr>
                <w:rFonts w:ascii="Times New Roman" w:eastAsia="Times New Roman"/>
                <w:sz w:val="19"/>
              </w:rPr>
              <w:t>TST</w:t>
            </w:r>
            <w:r>
              <w:rPr>
                <w:rFonts w:ascii="Times New Roman" w:eastAsia="Times New Roman"/>
                <w:spacing w:val="6"/>
                <w:sz w:val="19"/>
              </w:rPr>
              <w:t> </w:t>
            </w:r>
            <w:r>
              <w:rPr>
                <w:rFonts w:ascii="標楷體" w:eastAsia="標楷體" w:hint="eastAsia"/>
                <w:sz w:val="19"/>
              </w:rPr>
              <w:t>間隔滿</w:t>
            </w:r>
            <w:r>
              <w:rPr>
                <w:rFonts w:ascii="標楷體" w:eastAsia="標楷體" w:hint="eastAsia"/>
                <w:spacing w:val="-42"/>
                <w:sz w:val="19"/>
              </w:rPr>
              <w:t> </w:t>
            </w:r>
            <w:r>
              <w:rPr>
                <w:rFonts w:ascii="Times New Roman" w:eastAsia="Times New Roman"/>
                <w:sz w:val="19"/>
              </w:rPr>
              <w:t>8</w:t>
            </w:r>
            <w:r>
              <w:rPr>
                <w:rFonts w:ascii="Times New Roman" w:eastAsia="Times New Roman"/>
                <w:spacing w:val="8"/>
                <w:sz w:val="19"/>
              </w:rPr>
              <w:t> </w:t>
            </w:r>
            <w:r>
              <w:rPr>
                <w:rFonts w:ascii="標楷體" w:eastAsia="標楷體" w:hint="eastAsia"/>
                <w:sz w:val="19"/>
              </w:rPr>
              <w:t>週</w:t>
            </w:r>
            <w:r>
              <w:rPr>
                <w:rFonts w:ascii="Times New Roman" w:eastAsia="Times New Roman"/>
                <w:sz w:val="19"/>
              </w:rPr>
              <w:t>)</w:t>
            </w:r>
            <w:r>
              <w:rPr>
                <w:rFonts w:ascii="標楷體" w:eastAsia="標楷體" w:hint="eastAsia"/>
                <w:sz w:val="19"/>
              </w:rPr>
              <w:t>：</w:t>
            </w:r>
            <w:r>
              <w:rPr>
                <w:rFonts w:ascii="標楷體" w:eastAsia="標楷體" w:hint="eastAsia"/>
                <w:sz w:val="19"/>
                <w:u w:val="single"/>
              </w:rPr>
              <w:t> </w:t>
              <w:tab/>
            </w:r>
            <w:r>
              <w:rPr>
                <w:rFonts w:ascii="標楷體" w:eastAsia="標楷體" w:hint="eastAsia"/>
                <w:sz w:val="19"/>
              </w:rPr>
              <w:t>年</w:t>
            </w:r>
            <w:r>
              <w:rPr>
                <w:rFonts w:ascii="標楷體" w:eastAsia="標楷體" w:hint="eastAsia"/>
                <w:sz w:val="19"/>
                <w:u w:val="single"/>
              </w:rPr>
              <w:t> </w:t>
              <w:tab/>
            </w:r>
            <w:r>
              <w:rPr>
                <w:rFonts w:ascii="標楷體" w:eastAsia="標楷體" w:hint="eastAsia"/>
                <w:sz w:val="19"/>
              </w:rPr>
              <w:t>月</w:t>
            </w:r>
            <w:r>
              <w:rPr>
                <w:rFonts w:ascii="標楷體" w:eastAsia="標楷體" w:hint="eastAsia"/>
                <w:sz w:val="19"/>
                <w:u w:val="single"/>
              </w:rPr>
              <w:t> </w:t>
              <w:tab/>
            </w:r>
            <w:r>
              <w:rPr>
                <w:rFonts w:ascii="標楷體" w:eastAsia="標楷體" w:hint="eastAsia"/>
                <w:sz w:val="19"/>
              </w:rPr>
              <w:t>日，結果：</w:t>
            </w:r>
            <w:r>
              <w:rPr>
                <w:rFonts w:ascii="標楷體" w:eastAsia="標楷體" w:hint="eastAsia"/>
                <w:sz w:val="19"/>
                <w:u w:val="single"/>
              </w:rPr>
              <w:t> </w:t>
              <w:tab/>
            </w:r>
            <w:r>
              <w:rPr>
                <w:rFonts w:ascii="Times New Roman" w:eastAsia="Times New Roman"/>
                <w:sz w:val="19"/>
              </w:rPr>
              <w:t>mm</w:t>
            </w:r>
          </w:p>
        </w:tc>
      </w:tr>
      <w:tr>
        <w:trPr>
          <w:trHeight w:val="456" w:hRule="atLeast"/>
        </w:trPr>
        <w:tc>
          <w:tcPr>
            <w:tcW w:w="545" w:type="dxa"/>
            <w:vMerge/>
            <w:tcBorders>
              <w:top w:val="nil"/>
            </w:tcBorders>
          </w:tcPr>
          <w:p>
            <w:pPr>
              <w:rPr>
                <w:sz w:val="2"/>
                <w:szCs w:val="2"/>
              </w:rPr>
            </w:pPr>
          </w:p>
        </w:tc>
        <w:tc>
          <w:tcPr>
            <w:tcW w:w="9417" w:type="dxa"/>
          </w:tcPr>
          <w:p>
            <w:pPr>
              <w:pStyle w:val="TableParagraph"/>
              <w:spacing w:line="250" w:lineRule="exact"/>
              <w:ind w:left="106"/>
              <w:rPr>
                <w:rFonts w:ascii="標楷體" w:hAnsi="標楷體" w:eastAsia="標楷體" w:hint="eastAsia"/>
                <w:sz w:val="19"/>
              </w:rPr>
            </w:pPr>
            <w:r>
              <w:rPr>
                <w:rFonts w:ascii="標楷體" w:hAnsi="標楷體" w:eastAsia="標楷體" w:hint="eastAsia"/>
                <w:sz w:val="19"/>
              </w:rPr>
              <w:t>□</w:t>
            </w:r>
            <w:r>
              <w:rPr>
                <w:rFonts w:ascii="標楷體" w:hAnsi="標楷體" w:eastAsia="標楷體" w:hint="eastAsia"/>
                <w:b/>
                <w:sz w:val="19"/>
              </w:rPr>
              <w:t>出生 </w:t>
            </w:r>
            <w:r>
              <w:rPr>
                <w:rFonts w:ascii="Times New Roman" w:hAnsi="Times New Roman" w:eastAsia="Times New Roman"/>
                <w:b/>
                <w:sz w:val="19"/>
              </w:rPr>
              <w:t>30 </w:t>
            </w:r>
            <w:r>
              <w:rPr>
                <w:rFonts w:ascii="標楷體" w:hAnsi="標楷體" w:eastAsia="標楷體" w:hint="eastAsia"/>
                <w:b/>
                <w:sz w:val="19"/>
              </w:rPr>
              <w:t>日內新生兒</w:t>
            </w:r>
            <w:r>
              <w:rPr>
                <w:rFonts w:ascii="Times New Roman" w:hAnsi="Times New Roman" w:eastAsia="Times New Roman"/>
                <w:b/>
                <w:sz w:val="19"/>
              </w:rPr>
              <w:t>(</w:t>
            </w:r>
            <w:r>
              <w:rPr>
                <w:rFonts w:ascii="標楷體" w:hAnsi="標楷體" w:eastAsia="標楷體" w:hint="eastAsia"/>
                <w:b/>
                <w:sz w:val="19"/>
              </w:rPr>
              <w:t>含胎兒時期</w:t>
            </w:r>
            <w:r>
              <w:rPr>
                <w:rFonts w:ascii="Times New Roman" w:hAnsi="Times New Roman" w:eastAsia="Times New Roman"/>
                <w:b/>
                <w:sz w:val="19"/>
              </w:rPr>
              <w:t>)</w:t>
            </w:r>
            <w:r>
              <w:rPr>
                <w:rFonts w:ascii="標楷體" w:hAnsi="標楷體" w:eastAsia="標楷體" w:hint="eastAsia"/>
                <w:b/>
                <w:sz w:val="19"/>
              </w:rPr>
              <w:t>暴露之接觸者</w:t>
            </w:r>
            <w:r>
              <w:rPr>
                <w:sz w:val="19"/>
              </w:rPr>
              <w:t>：</w:t>
            </w:r>
            <w:r>
              <w:rPr>
                <w:rFonts w:ascii="標楷體" w:hAnsi="標楷體" w:eastAsia="標楷體" w:hint="eastAsia"/>
                <w:sz w:val="19"/>
              </w:rPr>
              <w:t>無須 </w:t>
            </w:r>
            <w:r>
              <w:rPr>
                <w:rFonts w:ascii="Times New Roman" w:hAnsi="Times New Roman" w:eastAsia="Times New Roman"/>
                <w:sz w:val="19"/>
              </w:rPr>
              <w:t>TST </w:t>
            </w:r>
            <w:r>
              <w:rPr>
                <w:rFonts w:ascii="標楷體" w:hAnsi="標楷體" w:eastAsia="標楷體" w:hint="eastAsia"/>
                <w:sz w:val="19"/>
              </w:rPr>
              <w:t>檢驗，於排除活動性結核病後，儘速接受預防性</w:t>
            </w:r>
          </w:p>
          <w:p>
            <w:pPr>
              <w:pStyle w:val="TableParagraph"/>
              <w:spacing w:line="186" w:lineRule="exact"/>
              <w:ind w:left="364"/>
              <w:rPr>
                <w:rFonts w:ascii="Times New Roman" w:eastAsia="Times New Roman"/>
                <w:sz w:val="19"/>
              </w:rPr>
            </w:pPr>
            <w:r>
              <w:rPr>
                <w:rFonts w:ascii="標楷體" w:eastAsia="標楷體" w:hint="eastAsia"/>
                <w:sz w:val="19"/>
              </w:rPr>
              <w:t>治療</w:t>
            </w:r>
            <w:r>
              <w:rPr>
                <w:rFonts w:ascii="Times New Roman" w:eastAsia="Times New Roman"/>
                <w:sz w:val="19"/>
              </w:rPr>
              <w:t>(prophylaxis)</w:t>
            </w:r>
          </w:p>
        </w:tc>
      </w:tr>
      <w:tr>
        <w:trPr>
          <w:trHeight w:val="2572" w:hRule="atLeast"/>
        </w:trPr>
        <w:tc>
          <w:tcPr>
            <w:tcW w:w="545" w:type="dxa"/>
          </w:tcPr>
          <w:p>
            <w:pPr>
              <w:pStyle w:val="TableParagraph"/>
              <w:rPr>
                <w:rFonts w:ascii="標楷體"/>
                <w:b/>
                <w:sz w:val="18"/>
              </w:rPr>
            </w:pPr>
          </w:p>
          <w:p>
            <w:pPr>
              <w:pStyle w:val="TableParagraph"/>
              <w:rPr>
                <w:rFonts w:ascii="標楷體"/>
                <w:b/>
                <w:sz w:val="18"/>
              </w:rPr>
            </w:pPr>
          </w:p>
          <w:p>
            <w:pPr>
              <w:pStyle w:val="TableParagraph"/>
              <w:spacing w:before="11"/>
              <w:rPr>
                <w:rFonts w:ascii="標楷體"/>
                <w:b/>
                <w:sz w:val="15"/>
              </w:rPr>
            </w:pPr>
          </w:p>
          <w:p>
            <w:pPr>
              <w:pStyle w:val="TableParagraph"/>
              <w:spacing w:line="309" w:lineRule="auto"/>
              <w:ind w:left="175" w:right="166"/>
              <w:jc w:val="both"/>
              <w:rPr>
                <w:rFonts w:ascii="標楷體" w:eastAsia="標楷體" w:hint="eastAsia"/>
                <w:sz w:val="19"/>
              </w:rPr>
            </w:pPr>
            <w:r>
              <w:rPr>
                <w:rFonts w:ascii="標楷體" w:eastAsia="標楷體" w:hint="eastAsia"/>
                <w:sz w:val="19"/>
              </w:rPr>
              <w:t>臨床建議</w:t>
            </w:r>
          </w:p>
        </w:tc>
        <w:tc>
          <w:tcPr>
            <w:tcW w:w="9417" w:type="dxa"/>
          </w:tcPr>
          <w:p>
            <w:pPr>
              <w:pStyle w:val="TableParagraph"/>
              <w:numPr>
                <w:ilvl w:val="0"/>
                <w:numId w:val="137"/>
              </w:numPr>
              <w:tabs>
                <w:tab w:pos="253" w:val="left" w:leader="none"/>
                <w:tab w:pos="6702" w:val="left" w:leader="none"/>
              </w:tabs>
              <w:spacing w:line="240" w:lineRule="auto" w:before="38" w:after="0"/>
              <w:ind w:left="252" w:right="0" w:hanging="147"/>
              <w:jc w:val="left"/>
              <w:rPr>
                <w:rFonts w:ascii="Times New Roman" w:hAnsi="Times New Roman" w:eastAsia="Times New Roman"/>
                <w:sz w:val="19"/>
              </w:rPr>
            </w:pPr>
            <w:r>
              <w:rPr>
                <w:rFonts w:ascii="標楷體" w:hAnsi="標楷體" w:eastAsia="標楷體" w:hint="eastAsia"/>
                <w:sz w:val="19"/>
              </w:rPr>
              <w:t>接觸者檢查結果建議：□繼續追蹤</w:t>
            </w:r>
            <w:r>
              <w:rPr>
                <w:rFonts w:ascii="標楷體" w:hAnsi="標楷體" w:eastAsia="標楷體" w:hint="eastAsia"/>
                <w:spacing w:val="35"/>
                <w:sz w:val="19"/>
              </w:rPr>
              <w:t> </w:t>
            </w:r>
            <w:r>
              <w:rPr>
                <w:rFonts w:ascii="標楷體" w:hAnsi="標楷體" w:eastAsia="標楷體" w:hint="eastAsia"/>
                <w:sz w:val="19"/>
              </w:rPr>
              <w:t>□結核病治療</w:t>
            </w:r>
            <w:r>
              <w:rPr>
                <w:rFonts w:ascii="標楷體" w:hAnsi="標楷體" w:eastAsia="標楷體" w:hint="eastAsia"/>
                <w:spacing w:val="36"/>
                <w:sz w:val="19"/>
              </w:rPr>
              <w:t> </w:t>
            </w:r>
            <w:r>
              <w:rPr>
                <w:rFonts w:ascii="標楷體" w:hAnsi="標楷體" w:eastAsia="標楷體" w:hint="eastAsia"/>
                <w:sz w:val="19"/>
              </w:rPr>
              <w:t>□其他建議：</w:t>
            </w:r>
            <w:r>
              <w:rPr>
                <w:rFonts w:ascii="Times New Roman" w:hAnsi="Times New Roman" w:eastAsia="Times New Roman"/>
                <w:sz w:val="19"/>
                <w:u w:val="single"/>
              </w:rPr>
              <w:t> </w:t>
              <w:tab/>
            </w:r>
          </w:p>
          <w:p>
            <w:pPr>
              <w:pStyle w:val="TableParagraph"/>
              <w:numPr>
                <w:ilvl w:val="0"/>
                <w:numId w:val="137"/>
              </w:numPr>
              <w:tabs>
                <w:tab w:pos="253" w:val="left" w:leader="none"/>
              </w:tabs>
              <w:spacing w:line="240" w:lineRule="auto" w:before="20" w:after="0"/>
              <w:ind w:left="252" w:right="0" w:hanging="147"/>
              <w:jc w:val="left"/>
              <w:rPr>
                <w:rFonts w:ascii="標楷體" w:eastAsia="標楷體" w:hint="eastAsia"/>
                <w:sz w:val="19"/>
              </w:rPr>
            </w:pPr>
            <w:r>
              <w:rPr>
                <w:rFonts w:ascii="標楷體" w:eastAsia="標楷體" w:hint="eastAsia"/>
                <w:sz w:val="19"/>
              </w:rPr>
              <w:t>潛伏結核感染治療評估建議</w:t>
            </w:r>
            <w:r>
              <w:rPr>
                <w:rFonts w:ascii="標楷體" w:eastAsia="標楷體" w:hint="eastAsia"/>
                <w:b/>
                <w:color w:val="FF0000"/>
                <w:sz w:val="19"/>
              </w:rPr>
              <w:t>(藥物領取後請先與開立單位聯繫再服用)</w:t>
            </w:r>
            <w:r>
              <w:rPr>
                <w:rFonts w:ascii="標楷體" w:eastAsia="標楷體" w:hint="eastAsia"/>
                <w:sz w:val="19"/>
              </w:rPr>
              <w:t>：</w:t>
            </w:r>
          </w:p>
          <w:p>
            <w:pPr>
              <w:pStyle w:val="TableParagraph"/>
              <w:spacing w:before="20"/>
              <w:ind w:left="780"/>
              <w:rPr>
                <w:rFonts w:ascii="標楷體" w:hAnsi="標楷體" w:eastAsia="標楷體" w:hint="eastAsia"/>
                <w:sz w:val="19"/>
              </w:rPr>
            </w:pPr>
            <w:r>
              <w:rPr>
                <w:rFonts w:ascii="標楷體" w:hAnsi="標楷體" w:eastAsia="標楷體" w:hint="eastAsia"/>
                <w:sz w:val="19"/>
              </w:rPr>
              <w:t>□需進行潛伏結核感染治療(</w:t>
            </w:r>
            <w:r>
              <w:rPr>
                <w:rFonts w:ascii="Times New Roman" w:hAnsi="Times New Roman" w:eastAsia="Times New Roman"/>
                <w:sz w:val="19"/>
              </w:rPr>
              <w:t>Treatment of LTBI</w:t>
            </w:r>
            <w:r>
              <w:rPr>
                <w:rFonts w:ascii="標楷體" w:hAnsi="標楷體" w:eastAsia="標楷體" w:hint="eastAsia"/>
                <w:sz w:val="19"/>
              </w:rPr>
              <w:t>)：</w:t>
            </w:r>
          </w:p>
          <w:p>
            <w:pPr>
              <w:pStyle w:val="TableParagraph"/>
              <w:spacing w:before="21"/>
              <w:ind w:left="1069"/>
              <w:rPr>
                <w:rFonts w:ascii="標楷體" w:hAnsi="標楷體" w:eastAsia="標楷體" w:hint="eastAsia"/>
                <w:sz w:val="19"/>
              </w:rPr>
            </w:pPr>
            <w:r>
              <w:rPr>
                <w:rFonts w:ascii="標楷體" w:hAnsi="標楷體" w:eastAsia="標楷體" w:hint="eastAsia"/>
                <w:color w:val="FF0000"/>
                <w:sz w:val="19"/>
              </w:rPr>
              <w:t>□</w:t>
            </w:r>
            <w:r>
              <w:rPr>
                <w:rFonts w:ascii="Times New Roman" w:hAnsi="Times New Roman" w:eastAsia="Times New Roman"/>
                <w:color w:val="FF0000"/>
                <w:sz w:val="19"/>
              </w:rPr>
              <w:t>1HP </w:t>
            </w:r>
            <w:r>
              <w:rPr>
                <w:rFonts w:ascii="標楷體" w:hAnsi="標楷體" w:eastAsia="標楷體" w:hint="eastAsia"/>
                <w:sz w:val="19"/>
              </w:rPr>
              <w:t>□</w:t>
            </w:r>
            <w:r>
              <w:rPr>
                <w:rFonts w:ascii="Times New Roman" w:hAnsi="Times New Roman" w:eastAsia="Times New Roman"/>
                <w:sz w:val="19"/>
              </w:rPr>
              <w:t>3HP </w:t>
            </w:r>
            <w:r>
              <w:rPr>
                <w:rFonts w:ascii="標楷體" w:hAnsi="標楷體" w:eastAsia="標楷體" w:hint="eastAsia"/>
                <w:sz w:val="19"/>
              </w:rPr>
              <w:t>□</w:t>
            </w:r>
            <w:r>
              <w:rPr>
                <w:rFonts w:ascii="Times New Roman" w:hAnsi="Times New Roman" w:eastAsia="Times New Roman"/>
                <w:sz w:val="19"/>
              </w:rPr>
              <w:t>4R </w:t>
            </w:r>
            <w:r>
              <w:rPr>
                <w:rFonts w:ascii="標楷體" w:hAnsi="標楷體" w:eastAsia="標楷體" w:hint="eastAsia"/>
                <w:sz w:val="19"/>
              </w:rPr>
              <w:t>□</w:t>
            </w:r>
            <w:r>
              <w:rPr>
                <w:rFonts w:ascii="Times New Roman" w:hAnsi="Times New Roman" w:eastAsia="Times New Roman"/>
                <w:sz w:val="19"/>
              </w:rPr>
              <w:t>3HR </w:t>
            </w:r>
            <w:r>
              <w:rPr>
                <w:rFonts w:ascii="標楷體" w:hAnsi="標楷體" w:eastAsia="標楷體" w:hint="eastAsia"/>
                <w:color w:val="FF0000"/>
                <w:sz w:val="19"/>
              </w:rPr>
              <w:t>□</w:t>
            </w:r>
            <w:r>
              <w:rPr>
                <w:rFonts w:ascii="Times New Roman" w:hAnsi="Times New Roman" w:eastAsia="Times New Roman"/>
                <w:color w:val="FF0000"/>
                <w:sz w:val="19"/>
              </w:rPr>
              <w:t>6H </w:t>
            </w:r>
            <w:r>
              <w:rPr>
                <w:rFonts w:ascii="標楷體" w:hAnsi="標楷體" w:eastAsia="標楷體" w:hint="eastAsia"/>
                <w:sz w:val="19"/>
              </w:rPr>
              <w:t>□</w:t>
            </w:r>
            <w:r>
              <w:rPr>
                <w:rFonts w:ascii="Times New Roman" w:hAnsi="Times New Roman" w:eastAsia="Times New Roman"/>
                <w:sz w:val="19"/>
              </w:rPr>
              <w:t>9H </w:t>
            </w:r>
            <w:r>
              <w:rPr>
                <w:rFonts w:ascii="標楷體" w:hAnsi="標楷體" w:eastAsia="標楷體" w:hint="eastAsia"/>
                <w:sz w:val="19"/>
              </w:rPr>
              <w:t>□</w:t>
            </w:r>
            <w:r>
              <w:rPr>
                <w:rFonts w:ascii="Times New Roman" w:hAnsi="Times New Roman" w:eastAsia="Times New Roman"/>
                <w:sz w:val="19"/>
              </w:rPr>
              <w:t>9FQ </w:t>
            </w:r>
            <w:r>
              <w:rPr>
                <w:rFonts w:ascii="標楷體" w:hAnsi="標楷體" w:eastAsia="標楷體" w:hint="eastAsia"/>
                <w:sz w:val="19"/>
              </w:rPr>
              <w:t>(限 MDR-TB 個案接觸者開立)</w:t>
            </w:r>
          </w:p>
          <w:p>
            <w:pPr>
              <w:pStyle w:val="TableParagraph"/>
              <w:spacing w:before="20"/>
              <w:ind w:left="780"/>
              <w:rPr>
                <w:rFonts w:ascii="Times New Roman" w:hAnsi="Times New Roman" w:eastAsia="Times New Roman"/>
                <w:sz w:val="19"/>
              </w:rPr>
            </w:pPr>
            <w:r>
              <w:rPr>
                <w:rFonts w:ascii="標楷體" w:hAnsi="標楷體" w:eastAsia="標楷體" w:hint="eastAsia"/>
                <w:sz w:val="19"/>
              </w:rPr>
              <w:t>□進行預防性治療</w:t>
            </w:r>
            <w:r>
              <w:rPr>
                <w:rFonts w:ascii="Times New Roman" w:hAnsi="Times New Roman" w:eastAsia="Times New Roman"/>
                <w:sz w:val="19"/>
              </w:rPr>
              <w:t>(prophylaxis)</w:t>
            </w:r>
          </w:p>
          <w:p>
            <w:pPr>
              <w:pStyle w:val="TableParagraph"/>
              <w:spacing w:line="244" w:lineRule="exact" w:before="20"/>
              <w:ind w:left="780"/>
              <w:rPr>
                <w:rFonts w:ascii="標楷體" w:hAnsi="標楷體" w:eastAsia="標楷體" w:hint="eastAsia"/>
                <w:sz w:val="19"/>
              </w:rPr>
            </w:pPr>
            <w:r>
              <w:rPr>
                <w:rFonts w:ascii="標楷體" w:hAnsi="標楷體" w:eastAsia="標楷體" w:hint="eastAsia"/>
                <w:sz w:val="19"/>
              </w:rPr>
              <w:t>□家屬（本人）拒絕</w:t>
            </w:r>
          </w:p>
          <w:p>
            <w:pPr>
              <w:pStyle w:val="TableParagraph"/>
              <w:tabs>
                <w:tab w:pos="8675" w:val="left" w:leader="none"/>
              </w:tabs>
              <w:spacing w:line="328" w:lineRule="exact"/>
              <w:ind w:left="780"/>
              <w:rPr>
                <w:rFonts w:ascii="Times New Roman" w:hAnsi="Times New Roman" w:eastAsia="Times New Roman"/>
                <w:sz w:val="19"/>
              </w:rPr>
            </w:pPr>
            <w:r>
              <w:rPr>
                <w:rFonts w:ascii="標楷體" w:hAnsi="標楷體" w:eastAsia="標楷體" w:hint="eastAsia"/>
                <w:sz w:val="19"/>
              </w:rPr>
              <w:t>□醫師決定暫不進行治療</w:t>
            </w:r>
            <w:r>
              <w:rPr>
                <w:sz w:val="19"/>
              </w:rPr>
              <w:t>：</w:t>
            </w:r>
            <w:r>
              <w:rPr>
                <w:rFonts w:ascii="標楷體" w:hAnsi="標楷體" w:eastAsia="標楷體" w:hint="eastAsia"/>
                <w:sz w:val="19"/>
              </w:rPr>
              <w:t>□肝功能檢查值過高</w:t>
            </w:r>
            <w:r>
              <w:rPr>
                <w:rFonts w:ascii="標楷體" w:hAnsi="標楷體" w:eastAsia="標楷體" w:hint="eastAsia"/>
                <w:spacing w:val="43"/>
                <w:sz w:val="19"/>
              </w:rPr>
              <w:t> </w:t>
            </w:r>
            <w:r>
              <w:rPr>
                <w:rFonts w:ascii="標楷體" w:hAnsi="標楷體" w:eastAsia="標楷體" w:hint="eastAsia"/>
                <w:sz w:val="19"/>
              </w:rPr>
              <w:t>□擔心藥物交互作用</w:t>
            </w:r>
            <w:r>
              <w:rPr>
                <w:rFonts w:ascii="標楷體" w:hAnsi="標楷體" w:eastAsia="標楷體" w:hint="eastAsia"/>
                <w:spacing w:val="43"/>
                <w:sz w:val="19"/>
              </w:rPr>
              <w:t> </w:t>
            </w:r>
            <w:r>
              <w:rPr>
                <w:rFonts w:ascii="標楷體" w:hAnsi="標楷體" w:eastAsia="標楷體" w:hint="eastAsia"/>
                <w:sz w:val="19"/>
              </w:rPr>
              <w:t>□其他</w:t>
            </w:r>
            <w:r>
              <w:rPr>
                <w:rFonts w:ascii="Times New Roman" w:hAnsi="Times New Roman" w:eastAsia="Times New Roman"/>
                <w:sz w:val="19"/>
                <w:u w:val="single"/>
              </w:rPr>
              <w:t> </w:t>
              <w:tab/>
            </w:r>
          </w:p>
          <w:p>
            <w:pPr>
              <w:pStyle w:val="TableParagraph"/>
              <w:tabs>
                <w:tab w:pos="5981" w:val="left" w:leader="none"/>
              </w:tabs>
              <w:spacing w:line="265" w:lineRule="exact"/>
              <w:ind w:left="780"/>
              <w:rPr>
                <w:rFonts w:ascii="Times New Roman" w:hAnsi="Times New Roman" w:eastAsia="Times New Roman"/>
                <w:sz w:val="19"/>
              </w:rPr>
            </w:pPr>
            <w:r>
              <w:rPr>
                <w:rFonts w:ascii="標楷體" w:hAnsi="標楷體" w:eastAsia="標楷體" w:hint="eastAsia"/>
                <w:sz w:val="19"/>
              </w:rPr>
              <w:t>□其他：</w:t>
            </w:r>
            <w:r>
              <w:rPr>
                <w:rFonts w:ascii="Times New Roman" w:hAnsi="Times New Roman" w:eastAsia="Times New Roman"/>
                <w:sz w:val="19"/>
                <w:u w:val="single"/>
              </w:rPr>
              <w:t> </w:t>
              <w:tab/>
            </w:r>
          </w:p>
          <w:p>
            <w:pPr>
              <w:pStyle w:val="TableParagraph"/>
              <w:tabs>
                <w:tab w:pos="3093" w:val="left" w:leader="none"/>
                <w:tab w:pos="6074" w:val="left" w:leader="none"/>
                <w:tab w:pos="8772" w:val="left" w:leader="none"/>
              </w:tabs>
              <w:spacing w:line="227" w:lineRule="exact" w:before="20"/>
              <w:ind w:left="300"/>
              <w:rPr>
                <w:rFonts w:ascii="Times New Roman" w:eastAsia="Times New Roman"/>
                <w:sz w:val="19"/>
              </w:rPr>
            </w:pPr>
            <w:r>
              <w:rPr>
                <w:rFonts w:ascii="標楷體" w:eastAsia="標楷體" w:hint="eastAsia"/>
                <w:sz w:val="19"/>
              </w:rPr>
              <w:t>院所名稱：</w:t>
            </w:r>
            <w:r>
              <w:rPr>
                <w:rFonts w:ascii="標楷體" w:eastAsia="標楷體" w:hint="eastAsia"/>
                <w:sz w:val="19"/>
                <w:u w:val="single"/>
              </w:rPr>
              <w:t> </w:t>
              <w:tab/>
            </w:r>
            <w:r>
              <w:rPr>
                <w:rFonts w:ascii="標楷體" w:eastAsia="標楷體" w:hint="eastAsia"/>
                <w:sz w:val="19"/>
              </w:rPr>
              <w:t>回復醫師簽章：</w:t>
            </w:r>
            <w:r>
              <w:rPr>
                <w:rFonts w:ascii="標楷體" w:eastAsia="標楷體" w:hint="eastAsia"/>
                <w:sz w:val="19"/>
                <w:u w:val="single"/>
              </w:rPr>
              <w:t> </w:t>
              <w:tab/>
            </w:r>
            <w:r>
              <w:rPr>
                <w:rFonts w:ascii="標楷體" w:eastAsia="標楷體" w:hint="eastAsia"/>
                <w:sz w:val="19"/>
              </w:rPr>
              <w:t>連絡電話：</w:t>
            </w:r>
            <w:r>
              <w:rPr>
                <w:rFonts w:ascii="Times New Roman" w:eastAsia="Times New Roman"/>
                <w:sz w:val="19"/>
                <w:u w:val="single"/>
              </w:rPr>
              <w:t> </w:t>
              <w:tab/>
            </w:r>
          </w:p>
        </w:tc>
      </w:tr>
      <w:tr>
        <w:trPr>
          <w:trHeight w:val="390" w:hRule="atLeast"/>
        </w:trPr>
        <w:tc>
          <w:tcPr>
            <w:tcW w:w="9962" w:type="dxa"/>
            <w:gridSpan w:val="2"/>
            <w:shd w:val="clear" w:color="auto" w:fill="A6A6A6"/>
          </w:tcPr>
          <w:p>
            <w:pPr>
              <w:pStyle w:val="TableParagraph"/>
              <w:spacing w:before="38"/>
              <w:ind w:left="103"/>
              <w:rPr>
                <w:rFonts w:ascii="標楷體" w:eastAsia="標楷體" w:hint="eastAsia"/>
                <w:sz w:val="19"/>
              </w:rPr>
            </w:pPr>
            <w:r>
              <w:rPr>
                <w:rFonts w:ascii="標楷體" w:eastAsia="標楷體" w:hint="eastAsia"/>
                <w:sz w:val="19"/>
              </w:rPr>
              <w:t>二、指標個案資料（提供接觸者風險評估參考）</w:t>
            </w:r>
          </w:p>
        </w:tc>
      </w:tr>
      <w:tr>
        <w:trPr>
          <w:trHeight w:val="1824" w:hRule="atLeast"/>
        </w:trPr>
        <w:tc>
          <w:tcPr>
            <w:tcW w:w="9962" w:type="dxa"/>
            <w:gridSpan w:val="2"/>
          </w:tcPr>
          <w:p>
            <w:pPr>
              <w:pStyle w:val="TableParagraph"/>
              <w:tabs>
                <w:tab w:pos="2270" w:val="left" w:leader="none"/>
              </w:tabs>
              <w:spacing w:before="38"/>
              <w:ind w:left="103"/>
              <w:jc w:val="both"/>
              <w:rPr>
                <w:rFonts w:ascii="標楷體" w:hAnsi="標楷體" w:eastAsia="標楷體" w:hint="eastAsia"/>
                <w:sz w:val="19"/>
              </w:rPr>
            </w:pPr>
            <w:r>
              <w:rPr>
                <w:rFonts w:ascii="標楷體" w:hAnsi="標楷體" w:eastAsia="標楷體" w:hint="eastAsia"/>
                <w:sz w:val="19"/>
              </w:rPr>
              <w:t>TB</w:t>
            </w:r>
            <w:r>
              <w:rPr>
                <w:rFonts w:ascii="標楷體" w:hAnsi="標楷體" w:eastAsia="標楷體" w:hint="eastAsia"/>
                <w:spacing w:val="-43"/>
                <w:sz w:val="19"/>
              </w:rPr>
              <w:t> </w:t>
            </w:r>
            <w:r>
              <w:rPr>
                <w:rFonts w:ascii="標楷體" w:hAnsi="標楷體" w:eastAsia="標楷體" w:hint="eastAsia"/>
                <w:sz w:val="19"/>
              </w:rPr>
              <w:t>總編號：</w:t>
            </w:r>
            <w:r>
              <w:rPr>
                <w:rFonts w:ascii="標楷體" w:hAnsi="標楷體" w:eastAsia="標楷體" w:hint="eastAsia"/>
                <w:sz w:val="19"/>
                <w:u w:val="single"/>
              </w:rPr>
              <w:t> </w:t>
              <w:tab/>
            </w:r>
            <w:r>
              <w:rPr>
                <w:rFonts w:ascii="標楷體" w:hAnsi="標楷體" w:eastAsia="標楷體" w:hint="eastAsia"/>
                <w:sz w:val="19"/>
              </w:rPr>
              <w:t>性別：□男</w:t>
            </w:r>
            <w:r>
              <w:rPr>
                <w:rFonts w:ascii="標楷體" w:hAnsi="標楷體" w:eastAsia="標楷體" w:hint="eastAsia"/>
                <w:spacing w:val="7"/>
                <w:sz w:val="19"/>
              </w:rPr>
              <w:t> </w:t>
            </w:r>
            <w:r>
              <w:rPr>
                <w:rFonts w:ascii="標楷體" w:hAnsi="標楷體" w:eastAsia="標楷體" w:hint="eastAsia"/>
                <w:sz w:val="19"/>
              </w:rPr>
              <w:t>□女</w:t>
            </w:r>
            <w:r>
              <w:rPr>
                <w:rFonts w:ascii="標楷體" w:hAnsi="標楷體" w:eastAsia="標楷體" w:hint="eastAsia"/>
                <w:spacing w:val="18"/>
                <w:sz w:val="19"/>
              </w:rPr>
              <w:t> </w:t>
            </w:r>
            <w:r>
              <w:rPr>
                <w:rFonts w:ascii="標楷體" w:hAnsi="標楷體" w:eastAsia="標楷體" w:hint="eastAsia"/>
                <w:sz w:val="19"/>
              </w:rPr>
              <w:t>來自結核病高盛行區：□是</w:t>
            </w:r>
            <w:r>
              <w:rPr>
                <w:rFonts w:ascii="標楷體" w:hAnsi="標楷體" w:eastAsia="標楷體" w:hint="eastAsia"/>
                <w:spacing w:val="4"/>
                <w:sz w:val="19"/>
              </w:rPr>
              <w:t> </w:t>
            </w:r>
            <w:r>
              <w:rPr>
                <w:rFonts w:ascii="標楷體" w:hAnsi="標楷體" w:eastAsia="標楷體" w:hint="eastAsia"/>
                <w:sz w:val="19"/>
              </w:rPr>
              <w:t>□否</w:t>
            </w:r>
          </w:p>
          <w:p>
            <w:pPr>
              <w:pStyle w:val="TableParagraph"/>
              <w:tabs>
                <w:tab w:pos="3039" w:val="left" w:leader="none"/>
                <w:tab w:pos="6595" w:val="left" w:leader="none"/>
              </w:tabs>
              <w:spacing w:line="256" w:lineRule="exact" w:before="7"/>
              <w:ind w:left="207"/>
              <w:jc w:val="both"/>
              <w:rPr>
                <w:rFonts w:ascii="標楷體" w:eastAsia="標楷體" w:hint="eastAsia"/>
                <w:sz w:val="19"/>
              </w:rPr>
            </w:pPr>
            <w:r>
              <w:rPr>
                <w:rFonts w:ascii="標楷體" w:eastAsia="標楷體" w:hint="eastAsia"/>
                <w:sz w:val="19"/>
                <w:u w:val="single"/>
              </w:rPr>
              <w:t>採檢日期</w:t>
            </w:r>
            <w:r>
              <w:rPr>
                <w:rFonts w:ascii="標楷體" w:eastAsia="標楷體" w:hint="eastAsia"/>
                <w:sz w:val="19"/>
              </w:rPr>
              <w:tab/>
            </w:r>
            <w:r>
              <w:rPr>
                <w:rFonts w:ascii="標楷體" w:eastAsia="標楷體" w:hint="eastAsia"/>
                <w:sz w:val="19"/>
                <w:u w:val="single"/>
              </w:rPr>
              <w:t>痰塗片(NAA</w:t>
            </w:r>
            <w:r>
              <w:rPr>
                <w:rFonts w:ascii="標楷體" w:eastAsia="標楷體" w:hint="eastAsia"/>
                <w:spacing w:val="-43"/>
                <w:sz w:val="19"/>
                <w:u w:val="single"/>
              </w:rPr>
              <w:t> </w:t>
            </w:r>
            <w:r>
              <w:rPr>
                <w:rFonts w:ascii="標楷體" w:eastAsia="標楷體" w:hint="eastAsia"/>
                <w:sz w:val="19"/>
                <w:u w:val="single"/>
              </w:rPr>
              <w:t>檢驗)</w:t>
            </w:r>
            <w:r>
              <w:rPr>
                <w:rFonts w:ascii="標楷體" w:eastAsia="標楷體" w:hint="eastAsia"/>
                <w:sz w:val="19"/>
              </w:rPr>
              <w:tab/>
            </w:r>
            <w:r>
              <w:rPr>
                <w:rFonts w:ascii="標楷體" w:eastAsia="標楷體" w:hint="eastAsia"/>
                <w:sz w:val="19"/>
                <w:u w:val="single"/>
              </w:rPr>
              <w:t>痰培養(鑑定)</w:t>
            </w:r>
          </w:p>
          <w:p>
            <w:pPr>
              <w:pStyle w:val="TableParagraph"/>
              <w:tabs>
                <w:tab w:pos="8323" w:val="left" w:leader="none"/>
                <w:tab w:pos="8427" w:val="left" w:leader="none"/>
              </w:tabs>
              <w:spacing w:line="223" w:lineRule="auto" w:before="4"/>
              <w:ind w:left="103" w:right="274" w:firstLine="103"/>
              <w:jc w:val="both"/>
              <w:rPr>
                <w:rFonts w:ascii="標楷體" w:hAnsi="標楷體" w:eastAsia="標楷體" w:hint="eastAsia"/>
                <w:sz w:val="19"/>
              </w:rPr>
            </w:pPr>
            <w:r>
              <w:rPr>
                <w:rFonts w:ascii="標楷體" w:hAnsi="標楷體" w:eastAsia="標楷體" w:hint="eastAsia"/>
                <w:sz w:val="19"/>
              </w:rPr>
              <w:t>第一套    </w:t>
            </w:r>
            <w:r>
              <w:rPr>
                <w:rFonts w:ascii="標楷體" w:hAnsi="標楷體" w:eastAsia="標楷體" w:hint="eastAsia"/>
                <w:spacing w:val="64"/>
                <w:sz w:val="19"/>
              </w:rPr>
              <w:t> </w:t>
            </w:r>
            <w:r>
              <w:rPr>
                <w:rFonts w:ascii="標楷體" w:hAnsi="標楷體" w:eastAsia="標楷體" w:hint="eastAsia"/>
                <w:sz w:val="17"/>
              </w:rPr>
              <w:t>年   </w:t>
            </w:r>
            <w:r>
              <w:rPr>
                <w:rFonts w:ascii="標楷體" w:hAnsi="標楷體" w:eastAsia="標楷體" w:hint="eastAsia"/>
                <w:spacing w:val="13"/>
                <w:sz w:val="17"/>
              </w:rPr>
              <w:t> </w:t>
            </w:r>
            <w:r>
              <w:rPr>
                <w:rFonts w:ascii="標楷體" w:hAnsi="標楷體" w:eastAsia="標楷體" w:hint="eastAsia"/>
                <w:sz w:val="17"/>
              </w:rPr>
              <w:t>月   </w:t>
            </w:r>
            <w:r>
              <w:rPr>
                <w:rFonts w:ascii="標楷體" w:hAnsi="標楷體" w:eastAsia="標楷體" w:hint="eastAsia"/>
                <w:spacing w:val="13"/>
                <w:sz w:val="17"/>
              </w:rPr>
              <w:t> </w:t>
            </w:r>
            <w:r>
              <w:rPr>
                <w:rFonts w:ascii="標楷體" w:hAnsi="標楷體" w:eastAsia="標楷體" w:hint="eastAsia"/>
                <w:sz w:val="17"/>
              </w:rPr>
              <w:t>日     </w:t>
            </w:r>
            <w:r>
              <w:rPr>
                <w:rFonts w:ascii="標楷體" w:hAnsi="標楷體" w:eastAsia="標楷體" w:hint="eastAsia"/>
                <w:spacing w:val="12"/>
                <w:sz w:val="17"/>
              </w:rPr>
              <w:t> </w:t>
            </w:r>
            <w:r>
              <w:rPr>
                <w:rFonts w:ascii="標楷體" w:hAnsi="標楷體" w:eastAsia="標楷體" w:hint="eastAsia"/>
                <w:sz w:val="19"/>
              </w:rPr>
              <w:t>□陰性□陽性(</w:t>
            </w:r>
            <w:r>
              <w:rPr>
                <w:rFonts w:ascii="標楷體" w:hAnsi="標楷體" w:eastAsia="標楷體" w:hint="eastAsia"/>
                <w:sz w:val="19"/>
                <w:u w:val="single"/>
              </w:rPr>
              <w:t>        </w:t>
            </w:r>
            <w:r>
              <w:rPr>
                <w:rFonts w:ascii="標楷體" w:hAnsi="標楷體" w:eastAsia="標楷體" w:hint="eastAsia"/>
                <w:sz w:val="19"/>
              </w:rPr>
              <w:t> </w:t>
            </w:r>
            <w:r>
              <w:rPr>
                <w:rFonts w:ascii="標楷體" w:hAnsi="標楷體" w:eastAsia="標楷體" w:hint="eastAsia"/>
                <w:spacing w:val="32"/>
                <w:sz w:val="19"/>
              </w:rPr>
              <w:t> </w:t>
            </w:r>
            <w:r>
              <w:rPr>
                <w:rFonts w:ascii="標楷體" w:hAnsi="標楷體" w:eastAsia="標楷體" w:hint="eastAsia"/>
                <w:sz w:val="19"/>
              </w:rPr>
              <w:t>)□已驗未出  </w:t>
            </w:r>
            <w:r>
              <w:rPr>
                <w:rFonts w:ascii="標楷體" w:hAnsi="標楷體" w:eastAsia="標楷體" w:hint="eastAsia"/>
                <w:spacing w:val="1"/>
                <w:sz w:val="19"/>
              </w:rPr>
              <w:t> </w:t>
            </w:r>
            <w:r>
              <w:rPr>
                <w:rFonts w:ascii="標楷體" w:hAnsi="標楷體" w:eastAsia="標楷體" w:hint="eastAsia"/>
                <w:sz w:val="19"/>
              </w:rPr>
              <w:t>□陰性□陽性(</w:t>
            </w:r>
            <w:r>
              <w:rPr>
                <w:rFonts w:ascii="標楷體" w:hAnsi="標楷體" w:eastAsia="標楷體" w:hint="eastAsia"/>
                <w:sz w:val="19"/>
                <w:u w:val="single"/>
              </w:rPr>
              <w:t> </w:t>
              <w:tab/>
              <w:tab/>
            </w:r>
            <w:r>
              <w:rPr>
                <w:rFonts w:ascii="標楷體" w:hAnsi="標楷體" w:eastAsia="標楷體" w:hint="eastAsia"/>
                <w:sz w:val="19"/>
              </w:rPr>
              <w:t>)□已驗未</w:t>
            </w:r>
            <w:r>
              <w:rPr>
                <w:rFonts w:ascii="標楷體" w:hAnsi="標楷體" w:eastAsia="標楷體" w:hint="eastAsia"/>
                <w:spacing w:val="-16"/>
                <w:sz w:val="19"/>
              </w:rPr>
              <w:t>出</w:t>
            </w:r>
            <w:r>
              <w:rPr>
                <w:rFonts w:ascii="標楷體" w:hAnsi="標楷體" w:eastAsia="標楷體" w:hint="eastAsia"/>
                <w:sz w:val="19"/>
              </w:rPr>
              <w:t>第二套    </w:t>
            </w:r>
            <w:r>
              <w:rPr>
                <w:rFonts w:ascii="標楷體" w:hAnsi="標楷體" w:eastAsia="標楷體" w:hint="eastAsia"/>
                <w:spacing w:val="64"/>
                <w:sz w:val="19"/>
              </w:rPr>
              <w:t> </w:t>
            </w:r>
            <w:r>
              <w:rPr>
                <w:rFonts w:ascii="標楷體" w:hAnsi="標楷體" w:eastAsia="標楷體" w:hint="eastAsia"/>
                <w:sz w:val="17"/>
              </w:rPr>
              <w:t>年   </w:t>
            </w:r>
            <w:r>
              <w:rPr>
                <w:rFonts w:ascii="標楷體" w:hAnsi="標楷體" w:eastAsia="標楷體" w:hint="eastAsia"/>
                <w:spacing w:val="13"/>
                <w:sz w:val="17"/>
              </w:rPr>
              <w:t> </w:t>
            </w:r>
            <w:r>
              <w:rPr>
                <w:rFonts w:ascii="標楷體" w:hAnsi="標楷體" w:eastAsia="標楷體" w:hint="eastAsia"/>
                <w:sz w:val="17"/>
              </w:rPr>
              <w:t>月   </w:t>
            </w:r>
            <w:r>
              <w:rPr>
                <w:rFonts w:ascii="標楷體" w:hAnsi="標楷體" w:eastAsia="標楷體" w:hint="eastAsia"/>
                <w:spacing w:val="13"/>
                <w:sz w:val="17"/>
              </w:rPr>
              <w:t> </w:t>
            </w:r>
            <w:r>
              <w:rPr>
                <w:rFonts w:ascii="標楷體" w:hAnsi="標楷體" w:eastAsia="標楷體" w:hint="eastAsia"/>
                <w:sz w:val="17"/>
              </w:rPr>
              <w:t>日     </w:t>
            </w:r>
            <w:r>
              <w:rPr>
                <w:rFonts w:ascii="標楷體" w:hAnsi="標楷體" w:eastAsia="標楷體" w:hint="eastAsia"/>
                <w:spacing w:val="12"/>
                <w:sz w:val="17"/>
              </w:rPr>
              <w:t> </w:t>
            </w:r>
            <w:r>
              <w:rPr>
                <w:rFonts w:ascii="標楷體" w:hAnsi="標楷體" w:eastAsia="標楷體" w:hint="eastAsia"/>
                <w:sz w:val="19"/>
              </w:rPr>
              <w:t>□陰性□陽性(</w:t>
            </w:r>
            <w:r>
              <w:rPr>
                <w:rFonts w:ascii="標楷體" w:hAnsi="標楷體" w:eastAsia="標楷體" w:hint="eastAsia"/>
                <w:sz w:val="19"/>
                <w:u w:val="single"/>
              </w:rPr>
              <w:t>        </w:t>
            </w:r>
            <w:r>
              <w:rPr>
                <w:rFonts w:ascii="標楷體" w:hAnsi="標楷體" w:eastAsia="標楷體" w:hint="eastAsia"/>
                <w:sz w:val="19"/>
              </w:rPr>
              <w:t> </w:t>
            </w:r>
            <w:r>
              <w:rPr>
                <w:rFonts w:ascii="標楷體" w:hAnsi="標楷體" w:eastAsia="標楷體" w:hint="eastAsia"/>
                <w:spacing w:val="32"/>
                <w:sz w:val="19"/>
              </w:rPr>
              <w:t> </w:t>
            </w:r>
            <w:r>
              <w:rPr>
                <w:rFonts w:ascii="標楷體" w:hAnsi="標楷體" w:eastAsia="標楷體" w:hint="eastAsia"/>
                <w:sz w:val="19"/>
              </w:rPr>
              <w:t>)□已驗未出  </w:t>
            </w:r>
            <w:r>
              <w:rPr>
                <w:rFonts w:ascii="標楷體" w:hAnsi="標楷體" w:eastAsia="標楷體" w:hint="eastAsia"/>
                <w:spacing w:val="1"/>
                <w:sz w:val="19"/>
              </w:rPr>
              <w:t> </w:t>
            </w:r>
            <w:r>
              <w:rPr>
                <w:rFonts w:ascii="標楷體" w:hAnsi="標楷體" w:eastAsia="標楷體" w:hint="eastAsia"/>
                <w:sz w:val="19"/>
              </w:rPr>
              <w:t>□陰性□陽性(</w:t>
            </w:r>
            <w:r>
              <w:rPr>
                <w:rFonts w:ascii="標楷體" w:hAnsi="標楷體" w:eastAsia="標楷體" w:hint="eastAsia"/>
                <w:sz w:val="19"/>
                <w:u w:val="single"/>
              </w:rPr>
              <w:t> </w:t>
              <w:tab/>
              <w:tab/>
            </w:r>
            <w:r>
              <w:rPr>
                <w:rFonts w:ascii="標楷體" w:hAnsi="標楷體" w:eastAsia="標楷體" w:hint="eastAsia"/>
                <w:sz w:val="19"/>
              </w:rPr>
              <w:t>)□已驗未出第三套    </w:t>
            </w:r>
            <w:r>
              <w:rPr>
                <w:rFonts w:ascii="標楷體" w:hAnsi="標楷體" w:eastAsia="標楷體" w:hint="eastAsia"/>
                <w:spacing w:val="64"/>
                <w:sz w:val="19"/>
              </w:rPr>
              <w:t> </w:t>
            </w:r>
            <w:r>
              <w:rPr>
                <w:rFonts w:ascii="標楷體" w:hAnsi="標楷體" w:eastAsia="標楷體" w:hint="eastAsia"/>
                <w:sz w:val="17"/>
              </w:rPr>
              <w:t>年   </w:t>
            </w:r>
            <w:r>
              <w:rPr>
                <w:rFonts w:ascii="標楷體" w:hAnsi="標楷體" w:eastAsia="標楷體" w:hint="eastAsia"/>
                <w:spacing w:val="13"/>
                <w:sz w:val="17"/>
              </w:rPr>
              <w:t> </w:t>
            </w:r>
            <w:r>
              <w:rPr>
                <w:rFonts w:ascii="標楷體" w:hAnsi="標楷體" w:eastAsia="標楷體" w:hint="eastAsia"/>
                <w:sz w:val="17"/>
              </w:rPr>
              <w:t>月   </w:t>
            </w:r>
            <w:r>
              <w:rPr>
                <w:rFonts w:ascii="標楷體" w:hAnsi="標楷體" w:eastAsia="標楷體" w:hint="eastAsia"/>
                <w:spacing w:val="13"/>
                <w:sz w:val="17"/>
              </w:rPr>
              <w:t> </w:t>
            </w:r>
            <w:r>
              <w:rPr>
                <w:rFonts w:ascii="標楷體" w:hAnsi="標楷體" w:eastAsia="標楷體" w:hint="eastAsia"/>
                <w:sz w:val="17"/>
              </w:rPr>
              <w:t>日     </w:t>
            </w:r>
            <w:r>
              <w:rPr>
                <w:rFonts w:ascii="標楷體" w:hAnsi="標楷體" w:eastAsia="標楷體" w:hint="eastAsia"/>
                <w:spacing w:val="12"/>
                <w:sz w:val="17"/>
              </w:rPr>
              <w:t> </w:t>
            </w:r>
            <w:r>
              <w:rPr>
                <w:rFonts w:ascii="標楷體" w:hAnsi="標楷體" w:eastAsia="標楷體" w:hint="eastAsia"/>
                <w:sz w:val="19"/>
              </w:rPr>
              <w:t>□陰性□陽性(</w:t>
            </w:r>
            <w:r>
              <w:rPr>
                <w:rFonts w:ascii="標楷體" w:hAnsi="標楷體" w:eastAsia="標楷體" w:hint="eastAsia"/>
                <w:sz w:val="19"/>
                <w:u w:val="single"/>
              </w:rPr>
              <w:t>        </w:t>
            </w:r>
            <w:r>
              <w:rPr>
                <w:rFonts w:ascii="標楷體" w:hAnsi="標楷體" w:eastAsia="標楷體" w:hint="eastAsia"/>
                <w:sz w:val="19"/>
              </w:rPr>
              <w:t> </w:t>
            </w:r>
            <w:r>
              <w:rPr>
                <w:rFonts w:ascii="標楷體" w:hAnsi="標楷體" w:eastAsia="標楷體" w:hint="eastAsia"/>
                <w:spacing w:val="32"/>
                <w:sz w:val="19"/>
              </w:rPr>
              <w:t> </w:t>
            </w:r>
            <w:r>
              <w:rPr>
                <w:rFonts w:ascii="標楷體" w:hAnsi="標楷體" w:eastAsia="標楷體" w:hint="eastAsia"/>
                <w:sz w:val="19"/>
              </w:rPr>
              <w:t>)□已驗未出  </w:t>
            </w:r>
            <w:r>
              <w:rPr>
                <w:rFonts w:ascii="標楷體" w:hAnsi="標楷體" w:eastAsia="標楷體" w:hint="eastAsia"/>
                <w:spacing w:val="1"/>
                <w:sz w:val="19"/>
              </w:rPr>
              <w:t> </w:t>
            </w:r>
            <w:r>
              <w:rPr>
                <w:rFonts w:ascii="標楷體" w:hAnsi="標楷體" w:eastAsia="標楷體" w:hint="eastAsia"/>
                <w:sz w:val="19"/>
              </w:rPr>
              <w:t>□陰性□陽性(</w:t>
            </w:r>
            <w:r>
              <w:rPr>
                <w:rFonts w:ascii="標楷體" w:hAnsi="標楷體" w:eastAsia="標楷體" w:hint="eastAsia"/>
                <w:sz w:val="19"/>
                <w:u w:val="single"/>
              </w:rPr>
              <w:t> </w:t>
              <w:tab/>
              <w:tab/>
            </w:r>
            <w:r>
              <w:rPr>
                <w:rFonts w:ascii="標楷體" w:hAnsi="標楷體" w:eastAsia="標楷體" w:hint="eastAsia"/>
                <w:sz w:val="19"/>
              </w:rPr>
              <w:t>)□已驗未出胸部</w:t>
            </w:r>
            <w:r>
              <w:rPr>
                <w:rFonts w:ascii="標楷體" w:hAnsi="標楷體" w:eastAsia="標楷體" w:hint="eastAsia"/>
                <w:spacing w:val="-47"/>
                <w:sz w:val="19"/>
              </w:rPr>
              <w:t> </w:t>
            </w:r>
            <w:r>
              <w:rPr>
                <w:rFonts w:ascii="標楷體" w:hAnsi="標楷體" w:eastAsia="標楷體" w:hint="eastAsia"/>
                <w:sz w:val="19"/>
              </w:rPr>
              <w:t>X</w:t>
            </w:r>
            <w:r>
              <w:rPr>
                <w:rFonts w:ascii="標楷體" w:hAnsi="標楷體" w:eastAsia="標楷體" w:hint="eastAsia"/>
                <w:spacing w:val="-47"/>
                <w:sz w:val="19"/>
              </w:rPr>
              <w:t> </w:t>
            </w:r>
            <w:r>
              <w:rPr>
                <w:rFonts w:ascii="標楷體" w:hAnsi="標楷體" w:eastAsia="標楷體" w:hint="eastAsia"/>
                <w:sz w:val="19"/>
              </w:rPr>
              <w:t>光</w:t>
            </w:r>
            <w:r>
              <w:rPr>
                <w:rFonts w:ascii="標楷體" w:hAnsi="標楷體" w:eastAsia="標楷體" w:hint="eastAsia"/>
                <w:spacing w:val="4"/>
                <w:sz w:val="19"/>
              </w:rPr>
              <w:t> </w:t>
            </w:r>
            <w:r>
              <w:rPr>
                <w:rFonts w:ascii="標楷體" w:hAnsi="標楷體" w:eastAsia="標楷體" w:hint="eastAsia"/>
                <w:sz w:val="19"/>
              </w:rPr>
              <w:t>檢查結果：</w:t>
            </w:r>
            <w:r>
              <w:rPr>
                <w:rFonts w:ascii="標楷體" w:hAnsi="標楷體" w:eastAsia="標楷體" w:hint="eastAsia"/>
                <w:spacing w:val="13"/>
                <w:sz w:val="19"/>
                <w:u w:val="single"/>
              </w:rPr>
              <w:t> </w:t>
            </w:r>
            <w:r>
              <w:rPr>
                <w:rFonts w:ascii="標楷體" w:hAnsi="標楷體" w:eastAsia="標楷體" w:hint="eastAsia"/>
                <w:sz w:val="19"/>
                <w:u w:val="single"/>
              </w:rPr>
              <w:t>年</w:t>
            </w:r>
            <w:r>
              <w:rPr>
                <w:rFonts w:ascii="標楷體" w:hAnsi="標楷體" w:eastAsia="標楷體" w:hint="eastAsia"/>
                <w:spacing w:val="12"/>
                <w:sz w:val="19"/>
                <w:u w:val="single"/>
              </w:rPr>
              <w:t> </w:t>
            </w:r>
            <w:r>
              <w:rPr>
                <w:rFonts w:ascii="標楷體" w:hAnsi="標楷體" w:eastAsia="標楷體" w:hint="eastAsia"/>
                <w:sz w:val="19"/>
                <w:u w:val="single"/>
              </w:rPr>
              <w:t>月</w:t>
            </w:r>
            <w:r>
              <w:rPr>
                <w:rFonts w:ascii="標楷體" w:hAnsi="標楷體" w:eastAsia="標楷體" w:hint="eastAsia"/>
                <w:spacing w:val="11"/>
                <w:sz w:val="19"/>
                <w:u w:val="single"/>
              </w:rPr>
              <w:t> </w:t>
            </w:r>
            <w:r>
              <w:rPr>
                <w:rFonts w:ascii="標楷體" w:hAnsi="標楷體" w:eastAsia="標楷體" w:hint="eastAsia"/>
                <w:sz w:val="19"/>
                <w:u w:val="single"/>
              </w:rPr>
              <w:t>日</w:t>
            </w:r>
            <w:r>
              <w:rPr>
                <w:rFonts w:ascii="標楷體" w:hAnsi="標楷體" w:eastAsia="標楷體" w:hint="eastAsia"/>
                <w:spacing w:val="4"/>
                <w:sz w:val="19"/>
              </w:rPr>
              <w:t> </w:t>
            </w:r>
            <w:r>
              <w:rPr>
                <w:rFonts w:ascii="標楷體" w:hAnsi="標楷體" w:eastAsia="標楷體" w:hint="eastAsia"/>
                <w:sz w:val="19"/>
              </w:rPr>
              <w:t>□有空洞</w:t>
            </w:r>
            <w:r>
              <w:rPr>
                <w:rFonts w:ascii="標楷體" w:hAnsi="標楷體" w:eastAsia="標楷體" w:hint="eastAsia"/>
                <w:spacing w:val="7"/>
                <w:sz w:val="19"/>
              </w:rPr>
              <w:t> </w:t>
            </w:r>
            <w:r>
              <w:rPr>
                <w:rFonts w:ascii="標楷體" w:hAnsi="標楷體" w:eastAsia="標楷體" w:hint="eastAsia"/>
                <w:sz w:val="19"/>
              </w:rPr>
              <w:t>□無空洞</w:t>
            </w:r>
            <w:r>
              <w:rPr>
                <w:rFonts w:ascii="標楷體" w:hAnsi="標楷體" w:eastAsia="標楷體" w:hint="eastAsia"/>
                <w:spacing w:val="11"/>
                <w:sz w:val="19"/>
              </w:rPr>
              <w:t> </w:t>
            </w:r>
            <w:r>
              <w:rPr>
                <w:rFonts w:ascii="標楷體" w:hAnsi="標楷體" w:eastAsia="標楷體" w:hint="eastAsia"/>
                <w:sz w:val="19"/>
              </w:rPr>
              <w:t>單純肺外：□是</w:t>
            </w:r>
            <w:r>
              <w:rPr>
                <w:rFonts w:ascii="標楷體" w:hAnsi="標楷體" w:eastAsia="標楷體" w:hint="eastAsia"/>
                <w:spacing w:val="4"/>
                <w:sz w:val="19"/>
              </w:rPr>
              <w:t> </w:t>
            </w:r>
            <w:r>
              <w:rPr>
                <w:rFonts w:ascii="標楷體" w:hAnsi="標楷體" w:eastAsia="標楷體" w:hint="eastAsia"/>
                <w:sz w:val="19"/>
              </w:rPr>
              <w:t>□否</w:t>
            </w:r>
          </w:p>
          <w:p>
            <w:pPr>
              <w:pStyle w:val="TableParagraph"/>
              <w:spacing w:line="227" w:lineRule="exact" w:before="18"/>
              <w:ind w:left="103"/>
              <w:jc w:val="both"/>
              <w:rPr>
                <w:rFonts w:ascii="標楷體" w:hAnsi="標楷體" w:eastAsia="標楷體" w:hint="eastAsia"/>
                <w:sz w:val="19"/>
              </w:rPr>
            </w:pPr>
            <w:r>
              <w:rPr>
                <w:rFonts w:ascii="標楷體" w:hAnsi="標楷體" w:eastAsia="標楷體" w:hint="eastAsia"/>
                <w:sz w:val="19"/>
              </w:rPr>
              <w:t>抗結核藥物:□已用：</w:t>
            </w:r>
            <w:r>
              <w:rPr>
                <w:rFonts w:ascii="標楷體" w:hAnsi="標楷體" w:eastAsia="標楷體" w:hint="eastAsia"/>
                <w:sz w:val="19"/>
                <w:u w:val="single"/>
              </w:rPr>
              <w:t> 年 月 日</w:t>
            </w:r>
            <w:r>
              <w:rPr>
                <w:rFonts w:ascii="標楷體" w:hAnsi="標楷體" w:eastAsia="標楷體" w:hint="eastAsia"/>
                <w:sz w:val="19"/>
              </w:rPr>
              <w:t> □未用 抗藥性：□無 □未知 □INH □RMP □FQ</w:t>
            </w:r>
          </w:p>
        </w:tc>
      </w:tr>
      <w:tr>
        <w:trPr>
          <w:trHeight w:val="1717" w:hRule="atLeast"/>
        </w:trPr>
        <w:tc>
          <w:tcPr>
            <w:tcW w:w="9962" w:type="dxa"/>
            <w:gridSpan w:val="2"/>
          </w:tcPr>
          <w:p>
            <w:pPr>
              <w:pStyle w:val="TableParagraph"/>
              <w:tabs>
                <w:tab w:pos="2606" w:val="left" w:leader="none"/>
                <w:tab w:pos="3282" w:val="left" w:leader="none"/>
                <w:tab w:pos="3474" w:val="left" w:leader="none"/>
                <w:tab w:pos="3954" w:val="left" w:leader="none"/>
                <w:tab w:pos="5109" w:val="left" w:leader="none"/>
                <w:tab w:pos="5687" w:val="left" w:leader="none"/>
                <w:tab w:pos="5978" w:val="left" w:leader="none"/>
                <w:tab w:pos="6265" w:val="left" w:leader="none"/>
              </w:tabs>
              <w:spacing w:line="259" w:lineRule="auto" w:before="40"/>
              <w:ind w:left="392" w:right="3494"/>
              <w:rPr>
                <w:rFonts w:ascii="Times New Roman" w:eastAsia="Times New Roman"/>
                <w:sz w:val="19"/>
              </w:rPr>
            </w:pPr>
            <w:r>
              <w:rPr>
                <w:rFonts w:ascii="標楷體" w:eastAsia="標楷體" w:hint="eastAsia"/>
                <w:sz w:val="19"/>
              </w:rPr>
              <w:t>開立單位：</w:t>
            </w:r>
            <w:r>
              <w:rPr>
                <w:rFonts w:ascii="標楷體" w:eastAsia="標楷體" w:hint="eastAsia"/>
                <w:sz w:val="19"/>
                <w:u w:val="single"/>
              </w:rPr>
              <w:t> </w:t>
              <w:tab/>
              <w:tab/>
            </w:r>
            <w:r>
              <w:rPr>
                <w:rFonts w:ascii="標楷體" w:eastAsia="標楷體" w:hint="eastAsia"/>
                <w:sz w:val="19"/>
              </w:rPr>
              <w:tab/>
              <w:tab/>
              <w:t>日期：</w:t>
            </w:r>
            <w:r>
              <w:rPr>
                <w:rFonts w:ascii="標楷體" w:eastAsia="標楷體" w:hint="eastAsia"/>
                <w:sz w:val="19"/>
                <w:u w:val="single"/>
              </w:rPr>
              <w:t> </w:t>
              <w:tab/>
              <w:t>年</w:t>
              <w:tab/>
              <w:t>月</w:t>
              <w:tab/>
              <w:tab/>
            </w:r>
            <w:r>
              <w:rPr>
                <w:rFonts w:ascii="標楷體" w:eastAsia="標楷體" w:hint="eastAsia"/>
                <w:spacing w:val="-19"/>
                <w:sz w:val="19"/>
                <w:u w:val="single"/>
              </w:rPr>
              <w:t>日</w:t>
            </w:r>
            <w:r>
              <w:rPr>
                <w:rFonts w:ascii="標楷體" w:eastAsia="標楷體" w:hint="eastAsia"/>
                <w:sz w:val="19"/>
              </w:rPr>
              <w:t>連絡人：</w:t>
            </w:r>
            <w:r>
              <w:rPr>
                <w:rFonts w:ascii="標楷體" w:eastAsia="標楷體" w:hint="eastAsia"/>
                <w:sz w:val="19"/>
                <w:u w:val="single"/>
              </w:rPr>
              <w:t> </w:t>
              <w:tab/>
            </w:r>
            <w:r>
              <w:rPr>
                <w:rFonts w:ascii="標楷體" w:eastAsia="標楷體" w:hint="eastAsia"/>
                <w:sz w:val="19"/>
              </w:rPr>
              <w:tab/>
              <w:tab/>
              <w:t>連絡電話：</w:t>
            </w:r>
            <w:r>
              <w:rPr>
                <w:rFonts w:ascii="Times New Roman" w:eastAsia="Times New Roman"/>
                <w:sz w:val="19"/>
                <w:u w:val="single"/>
              </w:rPr>
              <w:t> </w:t>
              <w:tab/>
              <w:tab/>
              <w:tab/>
            </w:r>
          </w:p>
          <w:p>
            <w:pPr>
              <w:pStyle w:val="TableParagraph"/>
              <w:numPr>
                <w:ilvl w:val="0"/>
                <w:numId w:val="138"/>
              </w:numPr>
              <w:tabs>
                <w:tab w:pos="377" w:val="left" w:leader="none"/>
              </w:tabs>
              <w:spacing w:line="199" w:lineRule="exact" w:before="0" w:after="0"/>
              <w:ind w:left="376" w:right="0" w:hanging="274"/>
              <w:jc w:val="left"/>
              <w:rPr>
                <w:rFonts w:ascii="標楷體" w:eastAsia="標楷體" w:hint="eastAsia"/>
                <w:sz w:val="19"/>
              </w:rPr>
            </w:pPr>
            <w:r>
              <w:rPr>
                <w:rFonts w:ascii="標楷體" w:eastAsia="標楷體" w:hint="eastAsia"/>
                <w:spacing w:val="-5"/>
                <w:sz w:val="19"/>
              </w:rPr>
              <w:t>接觸者檢查(胸部 </w:t>
            </w:r>
            <w:r>
              <w:rPr>
                <w:rFonts w:ascii="標楷體" w:eastAsia="標楷體" w:hint="eastAsia"/>
                <w:sz w:val="19"/>
              </w:rPr>
              <w:t>X</w:t>
            </w:r>
            <w:r>
              <w:rPr>
                <w:rFonts w:ascii="標楷體" w:eastAsia="標楷體" w:hint="eastAsia"/>
                <w:spacing w:val="-8"/>
                <w:sz w:val="19"/>
              </w:rPr>
              <w:t> 光檢查、</w:t>
            </w:r>
            <w:r>
              <w:rPr>
                <w:rFonts w:ascii="標楷體" w:eastAsia="標楷體" w:hint="eastAsia"/>
                <w:sz w:val="19"/>
              </w:rPr>
              <w:t>IGRA</w:t>
            </w:r>
            <w:r>
              <w:rPr>
                <w:rFonts w:ascii="標楷體" w:eastAsia="標楷體" w:hint="eastAsia"/>
                <w:spacing w:val="-8"/>
                <w:sz w:val="19"/>
              </w:rPr>
              <w:t> 抽血檢驗、</w:t>
            </w:r>
            <w:r>
              <w:rPr>
                <w:rFonts w:ascii="標楷體" w:eastAsia="標楷體" w:hint="eastAsia"/>
                <w:sz w:val="19"/>
              </w:rPr>
              <w:t>TST</w:t>
            </w:r>
            <w:r>
              <w:rPr>
                <w:rFonts w:ascii="標楷體" w:eastAsia="標楷體" w:hint="eastAsia"/>
                <w:spacing w:val="-8"/>
                <w:sz w:val="19"/>
              </w:rPr>
              <w:t> 施針)及後續回診看報告(胸部 </w:t>
            </w:r>
            <w:r>
              <w:rPr>
                <w:rFonts w:ascii="標楷體" w:eastAsia="標楷體" w:hint="eastAsia"/>
                <w:sz w:val="19"/>
              </w:rPr>
              <w:t>X</w:t>
            </w:r>
            <w:r>
              <w:rPr>
                <w:rFonts w:ascii="標楷體" w:eastAsia="標楷體" w:hint="eastAsia"/>
                <w:spacing w:val="-9"/>
                <w:sz w:val="19"/>
              </w:rPr>
              <w:t> 光報告、</w:t>
            </w:r>
            <w:r>
              <w:rPr>
                <w:rFonts w:ascii="標楷體" w:eastAsia="標楷體" w:hint="eastAsia"/>
                <w:sz w:val="19"/>
              </w:rPr>
              <w:t>IGRA</w:t>
            </w:r>
            <w:r>
              <w:rPr>
                <w:rFonts w:ascii="標楷體" w:eastAsia="標楷體" w:hint="eastAsia"/>
                <w:spacing w:val="-8"/>
                <w:sz w:val="19"/>
              </w:rPr>
              <w:t> 檢驗報告、</w:t>
            </w:r>
            <w:r>
              <w:rPr>
                <w:rFonts w:ascii="標楷體" w:eastAsia="標楷體" w:hint="eastAsia"/>
                <w:sz w:val="19"/>
              </w:rPr>
              <w:t>TST</w:t>
            </w:r>
          </w:p>
          <w:p>
            <w:pPr>
              <w:pStyle w:val="TableParagraph"/>
              <w:spacing w:line="229" w:lineRule="exact"/>
              <w:ind w:left="376"/>
              <w:rPr>
                <w:rFonts w:ascii="標楷體" w:eastAsia="標楷體" w:hint="eastAsia"/>
                <w:sz w:val="19"/>
              </w:rPr>
            </w:pPr>
            <w:r>
              <w:rPr>
                <w:rFonts w:ascii="標楷體" w:eastAsia="標楷體" w:hint="eastAsia"/>
                <w:sz w:val="19"/>
              </w:rPr>
              <w:t>判讀結果)，均可使用本轉介單以減免部分負擔，故本轉介單最多可使用 2 次。</w:t>
            </w:r>
          </w:p>
          <w:p>
            <w:pPr>
              <w:pStyle w:val="TableParagraph"/>
              <w:numPr>
                <w:ilvl w:val="0"/>
                <w:numId w:val="138"/>
              </w:numPr>
              <w:tabs>
                <w:tab w:pos="377" w:val="left" w:leader="none"/>
              </w:tabs>
              <w:spacing w:line="206" w:lineRule="auto" w:before="8" w:after="0"/>
              <w:ind w:left="376" w:right="140" w:hanging="273"/>
              <w:jc w:val="left"/>
              <w:rPr>
                <w:rFonts w:ascii="標楷體" w:eastAsia="標楷體" w:hint="eastAsia"/>
                <w:sz w:val="19"/>
              </w:rPr>
            </w:pPr>
            <w:r>
              <w:rPr>
                <w:rFonts w:ascii="標楷體" w:eastAsia="標楷體" w:hint="eastAsia"/>
                <w:sz w:val="19"/>
              </w:rPr>
              <w:t>35</w:t>
            </w:r>
            <w:r>
              <w:rPr>
                <w:rFonts w:ascii="標楷體" w:eastAsia="標楷體" w:hint="eastAsia"/>
                <w:spacing w:val="-5"/>
                <w:sz w:val="19"/>
              </w:rPr>
              <w:t> 歲以上成人、肝硬化、慢性肝炎或肝病變、酒癮、注射藥癮者、</w:t>
            </w:r>
            <w:r>
              <w:rPr>
                <w:rFonts w:ascii="標楷體" w:eastAsia="標楷體" w:hint="eastAsia"/>
                <w:sz w:val="19"/>
              </w:rPr>
              <w:t>HIV</w:t>
            </w:r>
            <w:r>
              <w:rPr>
                <w:rFonts w:ascii="標楷體" w:eastAsia="標楷體" w:hint="eastAsia"/>
                <w:spacing w:val="-7"/>
                <w:sz w:val="19"/>
              </w:rPr>
              <w:t> 感染者、孕婦及產後 </w:t>
            </w:r>
            <w:r>
              <w:rPr>
                <w:rFonts w:ascii="標楷體" w:eastAsia="標楷體" w:hint="eastAsia"/>
                <w:sz w:val="19"/>
              </w:rPr>
              <w:t>3</w:t>
            </w:r>
            <w:r>
              <w:rPr>
                <w:rFonts w:ascii="標楷體" w:eastAsia="標楷體" w:hint="eastAsia"/>
                <w:spacing w:val="-7"/>
                <w:sz w:val="19"/>
              </w:rPr>
              <w:t> 個月婦女為肝毒性</w:t>
            </w:r>
            <w:r>
              <w:rPr>
                <w:rFonts w:ascii="標楷體" w:eastAsia="標楷體" w:hint="eastAsia"/>
                <w:sz w:val="19"/>
              </w:rPr>
              <w:t>風險族群，須於治療前先檢查肝功能。</w:t>
            </w:r>
          </w:p>
          <w:p>
            <w:pPr>
              <w:pStyle w:val="TableParagraph"/>
              <w:numPr>
                <w:ilvl w:val="0"/>
                <w:numId w:val="138"/>
              </w:numPr>
              <w:tabs>
                <w:tab w:pos="377" w:val="left" w:leader="none"/>
              </w:tabs>
              <w:spacing w:line="189" w:lineRule="exact" w:before="0" w:after="0"/>
              <w:ind w:left="376" w:right="0" w:hanging="274"/>
              <w:jc w:val="left"/>
              <w:rPr>
                <w:rFonts w:ascii="標楷體" w:eastAsia="標楷體" w:hint="eastAsia"/>
                <w:sz w:val="19"/>
              </w:rPr>
            </w:pPr>
            <w:r>
              <w:rPr>
                <w:rFonts w:ascii="標楷體" w:eastAsia="標楷體" w:hint="eastAsia"/>
                <w:spacing w:val="-2"/>
                <w:sz w:val="19"/>
              </w:rPr>
              <w:t>檢查結果正常者，倘日後出現異常呼吸道症狀或咳嗽超過 </w:t>
            </w:r>
            <w:r>
              <w:rPr>
                <w:rFonts w:ascii="標楷體" w:eastAsia="標楷體" w:hint="eastAsia"/>
                <w:sz w:val="19"/>
              </w:rPr>
              <w:t>2</w:t>
            </w:r>
            <w:r>
              <w:rPr>
                <w:rFonts w:ascii="標楷體" w:eastAsia="標楷體" w:hint="eastAsia"/>
                <w:spacing w:val="-7"/>
                <w:sz w:val="19"/>
              </w:rPr>
              <w:t> 週，仍應儘速就醫檢查，並告知醫師接觸史。</w:t>
            </w:r>
          </w:p>
        </w:tc>
      </w:tr>
    </w:tbl>
    <w:p>
      <w:pPr>
        <w:spacing w:after="0" w:line="189" w:lineRule="exact"/>
        <w:jc w:val="left"/>
        <w:rPr>
          <w:rFonts w:ascii="標楷體" w:eastAsia="標楷體" w:hint="eastAsia"/>
          <w:sz w:val="19"/>
        </w:rPr>
        <w:sectPr>
          <w:pgSz w:w="12250" w:h="17190"/>
          <w:pgMar w:header="0" w:footer="734" w:top="940" w:bottom="920" w:left="1020" w:right="0"/>
        </w:sectPr>
      </w:pPr>
    </w:p>
    <w:p>
      <w:pPr>
        <w:pStyle w:val="Heading7"/>
        <w:spacing w:before="22"/>
        <w:ind w:left="340"/>
        <w:jc w:val="left"/>
      </w:pPr>
      <w:r>
        <w:rPr/>
        <w:t>附 件 10-3</w:t>
      </w:r>
    </w:p>
    <w:p>
      <w:pPr>
        <w:pStyle w:val="BodyText"/>
        <w:spacing w:before="14"/>
        <w:rPr>
          <w:b/>
          <w:sz w:val="20"/>
        </w:rPr>
      </w:pPr>
    </w:p>
    <w:p>
      <w:pPr>
        <w:spacing w:before="0"/>
        <w:ind w:left="340" w:right="0" w:firstLine="0"/>
        <w:jc w:val="left"/>
        <w:rPr>
          <w:sz w:val="23"/>
        </w:rPr>
      </w:pPr>
      <w:r>
        <w:rPr>
          <w:sz w:val="23"/>
        </w:rPr>
        <w:t>您好：</w:t>
      </w:r>
    </w:p>
    <w:p>
      <w:pPr>
        <w:spacing w:before="250"/>
        <w:ind w:left="340" w:right="0" w:firstLine="0"/>
        <w:jc w:val="left"/>
        <w:rPr>
          <w:b/>
          <w:sz w:val="32"/>
        </w:rPr>
      </w:pPr>
      <w:r>
        <w:rPr/>
        <w:br w:type="column"/>
      </w:r>
      <w:r>
        <w:rPr>
          <w:b/>
          <w:sz w:val="32"/>
        </w:rPr>
        <w:t>結核病接觸者檢查衛教及通知書</w:t>
      </w:r>
    </w:p>
    <w:p>
      <w:pPr>
        <w:spacing w:after="0"/>
        <w:jc w:val="left"/>
        <w:rPr>
          <w:sz w:val="32"/>
        </w:rPr>
        <w:sectPr>
          <w:pgSz w:w="12250" w:h="17190"/>
          <w:pgMar w:header="0" w:footer="734" w:top="1380" w:bottom="1020" w:left="1020" w:right="0"/>
          <w:cols w:num="2" w:equalWidth="0">
            <w:col w:w="1514" w:space="1360"/>
            <w:col w:w="8356"/>
          </w:cols>
        </w:sectPr>
      </w:pPr>
    </w:p>
    <w:p>
      <w:pPr>
        <w:spacing w:line="220" w:lineRule="auto" w:before="0"/>
        <w:ind w:left="340" w:right="1354" w:firstLine="455"/>
        <w:jc w:val="left"/>
        <w:rPr>
          <w:sz w:val="23"/>
        </w:rPr>
      </w:pPr>
      <w:r>
        <w:rPr>
          <w:spacing w:val="-3"/>
          <w:sz w:val="23"/>
        </w:rPr>
        <w:t>依據疫情調查結果顯示，您(或貴子弟)曾暴露結核菌，為了您的健康並依「傳染病防治法」</w:t>
      </w:r>
      <w:r>
        <w:rPr>
          <w:spacing w:val="-19"/>
          <w:sz w:val="23"/>
        </w:rPr>
        <w:t>第四十八條規定，對於曾與傳染病病人接觸或疑似被傳染者，應配合衛生單位進行相關追蹤檢查。</w:t>
      </w:r>
    </w:p>
    <w:p>
      <w:pPr>
        <w:pStyle w:val="Heading7"/>
        <w:spacing w:before="40"/>
        <w:ind w:left="340"/>
        <w:jc w:val="left"/>
      </w:pPr>
      <w:r>
        <w:rPr/>
        <w:t>壹、檢查方式：</w:t>
      </w:r>
    </w:p>
    <w:p>
      <w:pPr>
        <w:spacing w:line="407" w:lineRule="exact" w:before="10"/>
        <w:ind w:left="781" w:right="0" w:firstLine="0"/>
        <w:jc w:val="left"/>
        <w:rPr>
          <w:sz w:val="23"/>
        </w:rPr>
      </w:pPr>
      <w:r>
        <w:rPr>
          <w:b/>
          <w:sz w:val="23"/>
        </w:rPr>
        <w:t>一、</w:t>
      </w:r>
      <w:r>
        <w:rPr>
          <w:sz w:val="23"/>
        </w:rPr>
        <w:t>所有接觸者均進行胸部X 光檢查。</w:t>
      </w:r>
    </w:p>
    <w:p>
      <w:pPr>
        <w:spacing w:line="407" w:lineRule="exact" w:before="0"/>
        <w:ind w:left="781" w:right="0" w:firstLine="0"/>
        <w:jc w:val="left"/>
        <w:rPr>
          <w:sz w:val="23"/>
        </w:rPr>
      </w:pPr>
      <w:r>
        <w:rPr>
          <w:b/>
          <w:sz w:val="23"/>
        </w:rPr>
        <w:t>二、</w:t>
      </w:r>
      <w:r>
        <w:rPr>
          <w:sz w:val="23"/>
        </w:rPr>
        <w:t>倘為須接受潛伏結核感染治療評估者，須再加作潛伏結核感染檢驗。</w:t>
      </w:r>
    </w:p>
    <w:p>
      <w:pPr>
        <w:pStyle w:val="Heading7"/>
        <w:spacing w:before="37"/>
        <w:ind w:left="340"/>
        <w:jc w:val="left"/>
      </w:pPr>
      <w:r>
        <w:rPr/>
        <w:t>貳、結核病衛教及相關檢查：</w:t>
      </w:r>
    </w:p>
    <w:p>
      <w:pPr>
        <w:spacing w:line="418" w:lineRule="exact" w:before="10"/>
        <w:ind w:left="340" w:right="0" w:firstLine="0"/>
        <w:jc w:val="left"/>
        <w:rPr>
          <w:b/>
          <w:sz w:val="23"/>
        </w:rPr>
      </w:pPr>
      <w:r>
        <w:rPr>
          <w:b/>
          <w:sz w:val="23"/>
        </w:rPr>
        <w:t>一、結核病衛教：</w:t>
      </w:r>
    </w:p>
    <w:p>
      <w:pPr>
        <w:spacing w:line="220" w:lineRule="auto" w:before="20"/>
        <w:ind w:left="340" w:right="1356" w:firstLine="567"/>
        <w:jc w:val="both"/>
        <w:rPr>
          <w:sz w:val="23"/>
        </w:rPr>
      </w:pPr>
      <w:r>
        <w:rPr>
          <w:spacing w:val="-1"/>
          <w:sz w:val="23"/>
        </w:rPr>
        <w:t>結核病是藉由空氣傳染(</w:t>
      </w:r>
      <w:r>
        <w:rPr>
          <w:spacing w:val="-3"/>
          <w:sz w:val="23"/>
        </w:rPr>
        <w:t>air-borne </w:t>
      </w:r>
      <w:r>
        <w:rPr>
          <w:sz w:val="23"/>
        </w:rPr>
        <w:t>infection)的疾病，早期症狀並不明顯，常見咳嗽(特別</w:t>
      </w:r>
      <w:r>
        <w:rPr>
          <w:spacing w:val="-2"/>
          <w:sz w:val="23"/>
        </w:rPr>
        <w:t>是 </w:t>
      </w:r>
      <w:r>
        <w:rPr>
          <w:sz w:val="23"/>
        </w:rPr>
        <w:t>2</w:t>
      </w:r>
      <w:r>
        <w:rPr>
          <w:spacing w:val="-2"/>
          <w:sz w:val="23"/>
        </w:rPr>
        <w:t> 週以上)、發燒、食慾不振、體重減輕、倦怠、夜間盜汗、胸痛等症狀。有些個案是因為接</w:t>
      </w:r>
      <w:r>
        <w:rPr>
          <w:spacing w:val="-10"/>
          <w:sz w:val="23"/>
        </w:rPr>
        <w:t>受健康檢查才被發現，也有很多個案在初期被當作一般感冒治療。最常見的感染者是與傳染性個案同住或較為親近的密切接觸者。</w:t>
      </w:r>
    </w:p>
    <w:p>
      <w:pPr>
        <w:spacing w:line="220" w:lineRule="auto" w:before="4"/>
        <w:ind w:left="340" w:right="1358" w:firstLine="567"/>
        <w:jc w:val="both"/>
        <w:rPr>
          <w:sz w:val="23"/>
        </w:rPr>
      </w:pPr>
      <w:r>
        <w:rPr>
          <w:spacing w:val="-4"/>
          <w:sz w:val="23"/>
        </w:rPr>
        <w:t>一般人受到結核菌感染後，終其一生約有 </w:t>
      </w:r>
      <w:r>
        <w:rPr>
          <w:sz w:val="23"/>
        </w:rPr>
        <w:t>10</w:t>
      </w:r>
      <w:r>
        <w:rPr>
          <w:spacing w:val="-7"/>
          <w:sz w:val="23"/>
        </w:rPr>
        <w:t>%的發病機會，距離受感染的時間愈近，發病機會愈大；倘年紀很小就受到感染，累積下來的一生發病風險就會大於 </w:t>
      </w:r>
      <w:r>
        <w:rPr>
          <w:sz w:val="23"/>
        </w:rPr>
        <w:t>10%，而且終生有發病</w:t>
      </w:r>
      <w:r>
        <w:rPr>
          <w:spacing w:val="2"/>
          <w:sz w:val="23"/>
        </w:rPr>
        <w:t>的可能性。倘您咳嗽超過 </w:t>
      </w:r>
      <w:r>
        <w:rPr>
          <w:sz w:val="23"/>
        </w:rPr>
        <w:t>2 週，建議應儘速向專科醫師求診，並告知醫師自己曾是結核病人的接觸者，以提供醫師完整的診療訊息。</w:t>
      </w:r>
    </w:p>
    <w:p>
      <w:pPr>
        <w:spacing w:line="407" w:lineRule="exact" w:before="27"/>
        <w:ind w:left="340" w:right="0" w:firstLine="0"/>
        <w:jc w:val="left"/>
        <w:rPr>
          <w:sz w:val="23"/>
        </w:rPr>
      </w:pPr>
      <w:r>
        <w:rPr>
          <w:b/>
          <w:sz w:val="23"/>
        </w:rPr>
        <w:t>二、胸部 X 光檢查：</w:t>
      </w:r>
      <w:r>
        <w:rPr>
          <w:sz w:val="23"/>
        </w:rPr>
        <w:t>檢查是否罹患結核病。</w:t>
      </w:r>
    </w:p>
    <w:p>
      <w:pPr>
        <w:tabs>
          <w:tab w:pos="3801" w:val="left" w:leader="none"/>
          <w:tab w:pos="4492" w:val="left" w:leader="none"/>
          <w:tab w:pos="5181" w:val="left" w:leader="none"/>
        </w:tabs>
        <w:spacing w:line="390" w:lineRule="exact" w:before="0"/>
        <w:ind w:left="339" w:right="0" w:firstLine="0"/>
        <w:jc w:val="left"/>
        <w:rPr>
          <w:sz w:val="23"/>
        </w:rPr>
      </w:pPr>
      <w:r>
        <w:rPr>
          <w:sz w:val="23"/>
        </w:rPr>
        <w:t>※第</w:t>
      </w:r>
      <w:r>
        <w:rPr>
          <w:spacing w:val="-1"/>
          <w:sz w:val="23"/>
        </w:rPr>
        <w:t> </w:t>
      </w:r>
      <w:r>
        <w:rPr>
          <w:sz w:val="23"/>
        </w:rPr>
        <w:t>1</w:t>
      </w:r>
      <w:r>
        <w:rPr>
          <w:spacing w:val="-1"/>
          <w:sz w:val="23"/>
        </w:rPr>
        <w:t> </w:t>
      </w:r>
      <w:r>
        <w:rPr>
          <w:sz w:val="23"/>
        </w:rPr>
        <w:t>次胸部 X</w:t>
      </w:r>
      <w:r>
        <w:rPr>
          <w:spacing w:val="-2"/>
          <w:sz w:val="23"/>
        </w:rPr>
        <w:t> </w:t>
      </w:r>
      <w:r>
        <w:rPr>
          <w:sz w:val="23"/>
        </w:rPr>
        <w:t>光檢查時間：</w:t>
      </w:r>
      <w:r>
        <w:rPr>
          <w:sz w:val="23"/>
          <w:u w:val="single"/>
        </w:rPr>
        <w:t> </w:t>
        <w:tab/>
      </w:r>
      <w:r>
        <w:rPr>
          <w:sz w:val="23"/>
        </w:rPr>
        <w:t>年</w:t>
      </w:r>
      <w:r>
        <w:rPr>
          <w:sz w:val="23"/>
          <w:u w:val="single"/>
        </w:rPr>
        <w:t> </w:t>
        <w:tab/>
      </w:r>
      <w:r>
        <w:rPr>
          <w:sz w:val="23"/>
        </w:rPr>
        <w:t>月</w:t>
      </w:r>
      <w:r>
        <w:rPr>
          <w:sz w:val="23"/>
          <w:u w:val="single"/>
        </w:rPr>
        <w:t> </w:t>
        <w:tab/>
      </w:r>
      <w:r>
        <w:rPr>
          <w:sz w:val="23"/>
        </w:rPr>
        <w:t>日。</w:t>
      </w:r>
    </w:p>
    <w:p>
      <w:pPr>
        <w:tabs>
          <w:tab w:pos="4166" w:val="left" w:leader="none"/>
          <w:tab w:pos="4855" w:val="left" w:leader="none"/>
        </w:tabs>
        <w:spacing w:line="390" w:lineRule="exact" w:before="0"/>
        <w:ind w:left="339" w:right="0" w:firstLine="0"/>
        <w:jc w:val="left"/>
        <w:rPr>
          <w:sz w:val="23"/>
        </w:rPr>
      </w:pPr>
      <w:r>
        <w:rPr>
          <w:sz w:val="23"/>
        </w:rPr>
        <w:t>※第</w:t>
      </w:r>
      <w:r>
        <w:rPr>
          <w:spacing w:val="-1"/>
          <w:sz w:val="23"/>
        </w:rPr>
        <w:t> </w:t>
      </w:r>
      <w:r>
        <w:rPr>
          <w:sz w:val="23"/>
        </w:rPr>
        <w:t>12</w:t>
      </w:r>
      <w:r>
        <w:rPr>
          <w:spacing w:val="-2"/>
          <w:sz w:val="23"/>
        </w:rPr>
        <w:t> </w:t>
      </w:r>
      <w:r>
        <w:rPr>
          <w:sz w:val="23"/>
        </w:rPr>
        <w:t>個月胸</w:t>
      </w:r>
      <w:r>
        <w:rPr>
          <w:spacing w:val="56"/>
          <w:sz w:val="23"/>
        </w:rPr>
        <w:t>部</w:t>
      </w:r>
      <w:r>
        <w:rPr>
          <w:sz w:val="23"/>
        </w:rPr>
        <w:t>X 光檢查時間：</w:t>
      </w:r>
      <w:r>
        <w:rPr>
          <w:sz w:val="23"/>
          <w:u w:val="single"/>
        </w:rPr>
        <w:t> </w:t>
        <w:tab/>
      </w:r>
      <w:r>
        <w:rPr>
          <w:sz w:val="23"/>
        </w:rPr>
        <w:t>年</w:t>
      </w:r>
      <w:r>
        <w:rPr>
          <w:sz w:val="23"/>
          <w:u w:val="single"/>
        </w:rPr>
        <w:t> </w:t>
        <w:tab/>
      </w:r>
      <w:r>
        <w:rPr>
          <w:sz w:val="23"/>
        </w:rPr>
        <w:t>月。(確切日期屆時再行通知)</w:t>
      </w:r>
    </w:p>
    <w:p>
      <w:pPr>
        <w:tabs>
          <w:tab w:pos="5881" w:val="left" w:leader="none"/>
          <w:tab w:pos="6571" w:val="left" w:leader="none"/>
        </w:tabs>
        <w:spacing w:line="220" w:lineRule="auto" w:before="8"/>
        <w:ind w:left="524" w:right="1361" w:hanging="184"/>
        <w:jc w:val="left"/>
        <w:rPr>
          <w:sz w:val="23"/>
        </w:rPr>
      </w:pPr>
      <w:r>
        <w:rPr>
          <w:sz w:val="23"/>
        </w:rPr>
        <w:t>※抗藥性指標個案接觸者，每半年胸部</w:t>
      </w:r>
      <w:r>
        <w:rPr>
          <w:spacing w:val="11"/>
          <w:sz w:val="23"/>
        </w:rPr>
        <w:t> </w:t>
      </w:r>
      <w:r>
        <w:rPr>
          <w:sz w:val="23"/>
        </w:rPr>
        <w:t>X</w:t>
      </w:r>
      <w:r>
        <w:rPr>
          <w:spacing w:val="11"/>
          <w:sz w:val="23"/>
        </w:rPr>
        <w:t> </w:t>
      </w:r>
      <w:r>
        <w:rPr>
          <w:sz w:val="23"/>
        </w:rPr>
        <w:t>光時間：</w:t>
      </w:r>
      <w:r>
        <w:rPr>
          <w:sz w:val="23"/>
          <w:u w:val="single"/>
        </w:rPr>
        <w:t> </w:t>
        <w:tab/>
      </w:r>
      <w:r>
        <w:rPr>
          <w:sz w:val="23"/>
        </w:rPr>
        <w:t>年</w:t>
      </w:r>
      <w:r>
        <w:rPr>
          <w:sz w:val="23"/>
          <w:u w:val="single"/>
        </w:rPr>
        <w:t> </w:t>
        <w:tab/>
      </w:r>
      <w:r>
        <w:rPr>
          <w:sz w:val="23"/>
        </w:rPr>
        <w:t>月。(如須檢查者，後續檢查日</w:t>
      </w:r>
      <w:r>
        <w:rPr>
          <w:spacing w:val="-15"/>
          <w:sz w:val="23"/>
        </w:rPr>
        <w:t>期</w:t>
      </w:r>
      <w:r>
        <w:rPr>
          <w:sz w:val="23"/>
        </w:rPr>
        <w:t>屆時再行通知)</w:t>
      </w:r>
    </w:p>
    <w:p>
      <w:pPr>
        <w:spacing w:line="405" w:lineRule="exact" w:before="18"/>
        <w:ind w:left="340" w:right="0" w:firstLine="0"/>
        <w:jc w:val="left"/>
        <w:rPr>
          <w:b/>
          <w:sz w:val="23"/>
        </w:rPr>
      </w:pPr>
      <w:r>
        <w:rPr>
          <w:b/>
          <w:sz w:val="23"/>
        </w:rPr>
        <w:t>三、潛伏結核感染檢驗：</w:t>
      </w:r>
    </w:p>
    <w:p>
      <w:pPr>
        <w:tabs>
          <w:tab w:pos="8715" w:val="left" w:leader="none"/>
        </w:tabs>
        <w:spacing w:line="389" w:lineRule="exact" w:before="0"/>
        <w:ind w:left="908" w:right="0" w:firstLine="0"/>
        <w:jc w:val="left"/>
        <w:rPr>
          <w:sz w:val="23"/>
        </w:rPr>
      </w:pPr>
      <w:r>
        <w:rPr/>
        <w:pict>
          <v:shape style="position:absolute;margin-left:341.868195pt;margin-top:2.018854pt;width:156.75pt;height:34.85pt;mso-position-horizontal-relative:page;mso-position-vertical-relative:paragraph;z-index:-268633088" type="#_x0000_t202" filled="false" stroked="false">
            <v:textbox inset="0,0,0,0">
              <w:txbxContent>
                <w:p>
                  <w:pPr>
                    <w:spacing w:line="348" w:lineRule="exact" w:before="0"/>
                    <w:ind w:left="0" w:right="0" w:firstLine="0"/>
                    <w:jc w:val="left"/>
                    <w:rPr>
                      <w:sz w:val="23"/>
                    </w:rPr>
                  </w:pPr>
                  <w:r>
                    <w:rPr>
                      <w:sz w:val="23"/>
                    </w:rPr>
                    <w:t>核菌素測驗，2 歲(含)以上接</w:t>
                  </w:r>
                </w:p>
                <w:p>
                  <w:pPr>
                    <w:spacing w:line="348" w:lineRule="exact" w:before="0"/>
                    <w:ind w:left="159" w:right="0" w:firstLine="0"/>
                    <w:jc w:val="left"/>
                    <w:rPr>
                      <w:sz w:val="23"/>
                    </w:rPr>
                  </w:pPr>
                  <w:r>
                    <w:rPr>
                      <w:spacing w:val="-5"/>
                      <w:sz w:val="23"/>
                    </w:rPr>
                    <w:t>血者，得以結核菌素方式測驗</w:t>
                  </w:r>
                </w:p>
              </w:txbxContent>
            </v:textbox>
            <w10:wrap type="none"/>
          </v:shape>
        </w:pict>
      </w:r>
      <w:r>
        <w:rPr/>
        <w:pict>
          <v:group style="position:absolute;margin-left:347.400085pt;margin-top:4.54409pt;width:146.25pt;height:39.1pt;mso-position-horizontal-relative:page;mso-position-vertical-relative:paragraph;z-index:-268632064" coordorigin="6948,91" coordsize="2925,782">
            <v:shape style="position:absolute;left:6948;top:90;width:2925;height:533" type="#_x0000_t75" alt="C:\Users\PC\Desktop\第10章附件10-2.jpg" stroked="false">
              <v:imagedata r:id="rId76" o:title=""/>
            </v:shape>
            <v:shape style="position:absolute;left:6948;top:604;width:2703;height:269" type="#_x0000_t75" alt="C:\Users\PC\Desktop\第10章附件10-2.jpg" stroked="false">
              <v:imagedata r:id="rId77" o:title=""/>
            </v:shape>
            <w10:wrap type="none"/>
          </v:group>
        </w:pict>
      </w:r>
      <w:r>
        <w:rPr>
          <w:sz w:val="23"/>
        </w:rPr>
        <w:t>檢查是否感染結核菌，未滿</w:t>
      </w:r>
      <w:r>
        <w:rPr>
          <w:spacing w:val="28"/>
          <w:sz w:val="23"/>
        </w:rPr>
        <w:t> </w:t>
      </w:r>
      <w:r>
        <w:rPr>
          <w:sz w:val="23"/>
        </w:rPr>
        <w:t>2</w:t>
      </w:r>
      <w:r>
        <w:rPr>
          <w:spacing w:val="29"/>
          <w:sz w:val="23"/>
        </w:rPr>
        <w:t> </w:t>
      </w:r>
      <w:r>
        <w:rPr>
          <w:sz w:val="23"/>
        </w:rPr>
        <w:t>歲接觸者須進行結</w:t>
        <w:tab/>
        <w:t>觸者須進行</w:t>
      </w:r>
    </w:p>
    <w:p>
      <w:pPr>
        <w:tabs>
          <w:tab w:pos="8951" w:val="left" w:leader="none"/>
        </w:tabs>
        <w:spacing w:line="220" w:lineRule="auto" w:before="8"/>
        <w:ind w:left="340" w:right="1357" w:hanging="1"/>
        <w:jc w:val="left"/>
        <w:rPr>
          <w:sz w:val="23"/>
        </w:rPr>
      </w:pPr>
      <w:r>
        <w:rPr>
          <w:sz w:val="23"/>
        </w:rPr>
        <w:t>丙型干擾素釋放檢驗(IGRA)，2</w:t>
      </w:r>
      <w:r>
        <w:rPr>
          <w:spacing w:val="-4"/>
          <w:sz w:val="23"/>
        </w:rPr>
        <w:t> </w:t>
      </w:r>
      <w:r>
        <w:rPr>
          <w:sz w:val="23"/>
        </w:rPr>
        <w:t>歲(含)至未滿</w:t>
      </w:r>
      <w:r>
        <w:rPr>
          <w:spacing w:val="-4"/>
          <w:sz w:val="23"/>
        </w:rPr>
        <w:t> </w:t>
      </w:r>
      <w:r>
        <w:rPr>
          <w:sz w:val="23"/>
        </w:rPr>
        <w:t>5</w:t>
      </w:r>
      <w:r>
        <w:rPr>
          <w:spacing w:val="-3"/>
          <w:sz w:val="23"/>
        </w:rPr>
        <w:t> </w:t>
      </w:r>
      <w:r>
        <w:rPr>
          <w:sz w:val="23"/>
        </w:rPr>
        <w:t>歲無法抽</w:t>
        <w:tab/>
      </w:r>
      <w:r>
        <w:rPr>
          <w:spacing w:val="-5"/>
          <w:sz w:val="23"/>
        </w:rPr>
        <w:t>，</w:t>
      </w:r>
      <w:r>
        <w:rPr>
          <w:sz w:val="23"/>
        </w:rPr>
        <w:t>以提</w:t>
      </w:r>
      <w:r>
        <w:rPr>
          <w:spacing w:val="-16"/>
          <w:sz w:val="23"/>
        </w:rPr>
        <w:t>供</w:t>
      </w:r>
      <w:r>
        <w:rPr>
          <w:sz w:val="23"/>
        </w:rPr>
        <w:t>醫師綜合性潛伏結核感染治療判斷的參考依據。</w:t>
      </w:r>
    </w:p>
    <w:p>
      <w:pPr>
        <w:spacing w:line="220" w:lineRule="auto" w:before="2"/>
        <w:ind w:left="340" w:right="1358" w:firstLine="567"/>
        <w:jc w:val="left"/>
        <w:rPr>
          <w:sz w:val="23"/>
        </w:rPr>
      </w:pPr>
      <w:r>
        <w:rPr>
          <w:sz w:val="23"/>
        </w:rPr>
        <w:t>潛伏結核感染者不具傳染力，無需驚慌，只要配合檢查及治療，可獲得 90%以上的保護力，預防發病成為結核病。</w:t>
      </w:r>
    </w:p>
    <w:p>
      <w:pPr>
        <w:spacing w:line="371" w:lineRule="exact" w:before="0"/>
        <w:ind w:left="397" w:right="0" w:firstLine="0"/>
        <w:jc w:val="left"/>
        <w:rPr>
          <w:b/>
          <w:sz w:val="23"/>
        </w:rPr>
      </w:pPr>
      <w:r>
        <w:rPr>
          <w:b/>
          <w:sz w:val="23"/>
        </w:rPr>
        <w:t>(一)結核菌素測驗：</w:t>
      </w:r>
    </w:p>
    <w:p>
      <w:pPr>
        <w:spacing w:line="216" w:lineRule="auto" w:before="10"/>
        <w:ind w:left="340" w:right="1358" w:firstLine="567"/>
        <w:jc w:val="both"/>
        <w:rPr>
          <w:sz w:val="23"/>
        </w:rPr>
      </w:pPr>
      <w:r>
        <w:rPr>
          <w:spacing w:val="-1"/>
          <w:sz w:val="23"/>
        </w:rPr>
        <w:t>於左前手臂內側進行測驗，其後必須於 </w:t>
      </w:r>
      <w:r>
        <w:rPr>
          <w:sz w:val="23"/>
        </w:rPr>
        <w:t>48</w:t>
      </w:r>
      <w:r>
        <w:rPr>
          <w:spacing w:val="-3"/>
          <w:sz w:val="23"/>
        </w:rPr>
        <w:t> 至 </w:t>
      </w:r>
      <w:r>
        <w:rPr>
          <w:sz w:val="23"/>
        </w:rPr>
        <w:t>72</w:t>
      </w:r>
      <w:r>
        <w:rPr>
          <w:spacing w:val="-2"/>
          <w:sz w:val="23"/>
        </w:rPr>
        <w:t> 小時內由專業人員為您(或貴子弟)記錄反</w:t>
      </w:r>
      <w:r>
        <w:rPr>
          <w:spacing w:val="-14"/>
          <w:sz w:val="23"/>
        </w:rPr>
        <w:t>應，注射點針孔極小，無需敷藥或覆蓋紗布，注射後即可正常活動；少數人在注射部位會產生輕微紅腫或潰瘍，這是免疫反應的現象，通常毋須治療，只要保持清潔乾燥即可。</w:t>
      </w:r>
    </w:p>
    <w:p>
      <w:pPr>
        <w:tabs>
          <w:tab w:pos="2949" w:val="left" w:leader="none"/>
          <w:tab w:pos="3524" w:val="left" w:leader="none"/>
          <w:tab w:pos="4099" w:val="left" w:leader="none"/>
          <w:tab w:pos="5133" w:val="left" w:leader="none"/>
          <w:tab w:pos="5708" w:val="left" w:leader="none"/>
          <w:tab w:pos="6283" w:val="left" w:leader="none"/>
          <w:tab w:pos="8043" w:val="left" w:leader="none"/>
        </w:tabs>
        <w:spacing w:line="216" w:lineRule="auto" w:before="0"/>
        <w:ind w:left="340" w:right="3100" w:firstLine="0"/>
        <w:jc w:val="left"/>
        <w:rPr>
          <w:rFonts w:ascii="Times New Roman" w:hAnsi="Times New Roman" w:eastAsia="Times New Roman"/>
          <w:sz w:val="23"/>
        </w:rPr>
      </w:pPr>
      <w:r>
        <w:rPr>
          <w:sz w:val="23"/>
        </w:rPr>
        <w:t>※結核菌素測驗時間：</w:t>
      </w:r>
      <w:r>
        <w:rPr>
          <w:sz w:val="23"/>
          <w:u w:val="single"/>
        </w:rPr>
        <w:t> </w:t>
        <w:tab/>
      </w:r>
      <w:r>
        <w:rPr>
          <w:sz w:val="23"/>
        </w:rPr>
        <w:t>年</w:t>
      </w:r>
      <w:r>
        <w:rPr>
          <w:sz w:val="23"/>
          <w:u w:val="single"/>
        </w:rPr>
        <w:t> </w:t>
        <w:tab/>
      </w:r>
      <w:r>
        <w:rPr>
          <w:sz w:val="23"/>
        </w:rPr>
        <w:t>月</w:t>
      </w:r>
      <w:r>
        <w:rPr>
          <w:sz w:val="23"/>
          <w:u w:val="single"/>
        </w:rPr>
        <w:t> </w:t>
        <w:tab/>
      </w:r>
      <w:r>
        <w:rPr>
          <w:sz w:val="23"/>
        </w:rPr>
        <w:t>日並於</w:t>
      </w:r>
      <w:r>
        <w:rPr>
          <w:sz w:val="23"/>
          <w:u w:val="single"/>
        </w:rPr>
        <w:t> </w:t>
        <w:tab/>
      </w:r>
      <w:r>
        <w:rPr>
          <w:sz w:val="23"/>
        </w:rPr>
        <w:t>年</w:t>
      </w:r>
      <w:r>
        <w:rPr>
          <w:sz w:val="23"/>
          <w:u w:val="single"/>
        </w:rPr>
        <w:t> </w:t>
        <w:tab/>
      </w:r>
      <w:r>
        <w:rPr>
          <w:sz w:val="23"/>
        </w:rPr>
        <w:t>月</w:t>
      </w:r>
      <w:r>
        <w:rPr>
          <w:sz w:val="23"/>
          <w:u w:val="single"/>
        </w:rPr>
        <w:t> </w:t>
        <w:tab/>
      </w:r>
      <w:r>
        <w:rPr>
          <w:sz w:val="23"/>
        </w:rPr>
        <w:t>日進行判讀結果</w:t>
      </w:r>
      <w:r>
        <w:rPr>
          <w:spacing w:val="-15"/>
          <w:sz w:val="23"/>
        </w:rPr>
        <w:t>。</w:t>
      </w:r>
      <w:r>
        <w:rPr>
          <w:sz w:val="23"/>
        </w:rPr>
        <w:t>備註：</w:t>
      </w:r>
      <w:r>
        <w:rPr>
          <w:rFonts w:ascii="Times New Roman" w:hAnsi="Times New Roman" w:eastAsia="Times New Roman"/>
          <w:sz w:val="23"/>
          <w:u w:val="single"/>
        </w:rPr>
        <w:t> </w:t>
        <w:tab/>
        <w:tab/>
        <w:tab/>
        <w:tab/>
        <w:tab/>
        <w:tab/>
        <w:tab/>
      </w:r>
    </w:p>
    <w:p>
      <w:pPr>
        <w:spacing w:after="0" w:line="216" w:lineRule="auto"/>
        <w:jc w:val="left"/>
        <w:rPr>
          <w:rFonts w:ascii="Times New Roman" w:hAnsi="Times New Roman" w:eastAsia="Times New Roman"/>
          <w:sz w:val="23"/>
        </w:rPr>
        <w:sectPr>
          <w:type w:val="continuous"/>
          <w:pgSz w:w="12250" w:h="17190"/>
          <w:pgMar w:top="1500" w:bottom="280" w:left="1020" w:right="0"/>
        </w:sectPr>
      </w:pPr>
    </w:p>
    <w:p>
      <w:pPr>
        <w:spacing w:line="402" w:lineRule="exact" w:before="12"/>
        <w:ind w:left="397" w:right="0" w:firstLine="0"/>
        <w:jc w:val="left"/>
        <w:rPr>
          <w:b/>
          <w:sz w:val="23"/>
        </w:rPr>
      </w:pPr>
      <w:r>
        <w:rPr/>
        <w:pict>
          <v:group style="position:absolute;margin-left:570.75pt;margin-top:.475674pt;width:41.65pt;height:191.25pt;mso-position-horizontal-relative:page;mso-position-vertical-relative:paragraph;z-index:251877376" coordorigin="11415,10" coordsize="833,3825">
            <v:shape style="position:absolute;left:11415;top:9;width:833;height:3825" coordorigin="11415,10" coordsize="833,3825" path="m12242,10l11580,10,11516,23,11463,58,11428,110,11415,175,11415,3669,11428,3734,11463,3786,11516,3822,11580,3835,12242,3835,12247,3833,12247,11,12242,10xe" filled="true" fillcolor="#a6a6a6" stroked="false">
              <v:path arrowok="t"/>
              <v:fill type="solid"/>
            </v:shape>
            <v:shape style="position:absolute;left:11415;top:9;width:833;height:3825" type="#_x0000_t202" filled="false" stroked="false">
              <v:textbox inset="0,0,0,0">
                <w:txbxContent>
                  <w:p>
                    <w:pPr>
                      <w:spacing w:line="146" w:lineRule="auto" w:before="126"/>
                      <w:ind w:left="136" w:right="474" w:firstLine="0"/>
                      <w:jc w:val="both"/>
                      <w:rPr>
                        <w:sz w:val="22"/>
                      </w:rPr>
                    </w:pPr>
                    <w:r>
                      <w:rPr>
                        <w:sz w:val="22"/>
                      </w:rPr>
                      <w:t>第十章</w:t>
                    </w:r>
                  </w:p>
                  <w:p>
                    <w:pPr>
                      <w:spacing w:line="141" w:lineRule="auto" w:before="235"/>
                      <w:ind w:left="136" w:right="474" w:firstLine="0"/>
                      <w:jc w:val="both"/>
                      <w:rPr>
                        <w:sz w:val="22"/>
                      </w:rPr>
                    </w:pPr>
                    <w:r>
                      <w:rPr>
                        <w:sz w:val="22"/>
                      </w:rPr>
                      <w:t>潛伏結核感染診斷與治療</w:t>
                    </w:r>
                  </w:p>
                </w:txbxContent>
              </v:textbox>
              <w10:wrap type="none"/>
            </v:shape>
            <w10:wrap type="none"/>
          </v:group>
        </w:pict>
      </w:r>
      <w:r>
        <w:rPr/>
        <w:pict>
          <v:line style="position:absolute;mso-position-horizontal-relative:page;mso-position-vertical-relative:page;z-index:251878400" from="32.25pt,656.053833pt" to="612.359985pt,656.053833pt" stroked="true" strokeweight=".75pt" strokecolor="#000000">
            <v:stroke dashstyle="solid"/>
            <w10:wrap type="none"/>
          </v:line>
        </w:pict>
      </w:r>
      <w:r>
        <w:rPr>
          <w:b/>
          <w:sz w:val="23"/>
        </w:rPr>
        <w:t>(二)丙型干擾素釋放試驗(IGRA)：由醫事人員進行抽血作業，血液檢體約 4 ㏄。</w:t>
      </w:r>
    </w:p>
    <w:p>
      <w:pPr>
        <w:tabs>
          <w:tab w:pos="3203" w:val="left" w:leader="none"/>
          <w:tab w:pos="3892" w:val="left" w:leader="none"/>
          <w:tab w:pos="4582" w:val="left" w:leader="none"/>
        </w:tabs>
        <w:spacing w:line="380" w:lineRule="exact" w:before="0"/>
        <w:ind w:left="339" w:right="0" w:firstLine="0"/>
        <w:jc w:val="left"/>
        <w:rPr>
          <w:sz w:val="23"/>
        </w:rPr>
      </w:pPr>
      <w:r>
        <w:rPr>
          <w:sz w:val="23"/>
        </w:rPr>
        <w:t>※IGRA</w:t>
      </w:r>
      <w:r>
        <w:rPr>
          <w:spacing w:val="-2"/>
          <w:sz w:val="23"/>
        </w:rPr>
        <w:t> </w:t>
      </w:r>
      <w:r>
        <w:rPr>
          <w:sz w:val="23"/>
        </w:rPr>
        <w:t>檢驗抽血時間：</w:t>
      </w:r>
      <w:r>
        <w:rPr>
          <w:sz w:val="23"/>
          <w:u w:val="single"/>
        </w:rPr>
        <w:t> </w:t>
        <w:tab/>
      </w:r>
      <w:r>
        <w:rPr>
          <w:sz w:val="23"/>
        </w:rPr>
        <w:t>年</w:t>
      </w:r>
      <w:r>
        <w:rPr>
          <w:sz w:val="23"/>
          <w:u w:val="single"/>
        </w:rPr>
        <w:t> </w:t>
        <w:tab/>
      </w:r>
      <w:r>
        <w:rPr>
          <w:sz w:val="23"/>
        </w:rPr>
        <w:t>月</w:t>
      </w:r>
      <w:r>
        <w:rPr>
          <w:sz w:val="23"/>
          <w:u w:val="single"/>
        </w:rPr>
        <w:t> </w:t>
        <w:tab/>
      </w:r>
      <w:r>
        <w:rPr>
          <w:sz w:val="23"/>
        </w:rPr>
        <w:t>日。</w:t>
      </w:r>
    </w:p>
    <w:p>
      <w:pPr>
        <w:tabs>
          <w:tab w:pos="8043" w:val="left" w:leader="none"/>
        </w:tabs>
        <w:spacing w:line="401" w:lineRule="exact" w:before="0"/>
        <w:ind w:left="340" w:right="0" w:firstLine="0"/>
        <w:jc w:val="left"/>
        <w:rPr>
          <w:rFonts w:ascii="Times New Roman" w:eastAsia="Times New Roman"/>
          <w:sz w:val="23"/>
        </w:rPr>
      </w:pPr>
      <w:r>
        <w:rPr>
          <w:sz w:val="23"/>
        </w:rPr>
        <w:t>備註：</w:t>
      </w:r>
      <w:r>
        <w:rPr>
          <w:rFonts w:ascii="Times New Roman" w:eastAsia="Times New Roman"/>
          <w:sz w:val="23"/>
          <w:u w:val="single"/>
        </w:rPr>
        <w:t> </w:t>
        <w:tab/>
      </w:r>
    </w:p>
    <w:p>
      <w:pPr>
        <w:pStyle w:val="Heading7"/>
        <w:spacing w:before="47"/>
        <w:ind w:left="340"/>
        <w:jc w:val="left"/>
      </w:pPr>
      <w:r>
        <w:rPr/>
        <w:t>參、後續追蹤：</w:t>
      </w:r>
    </w:p>
    <w:p>
      <w:pPr>
        <w:spacing w:line="216" w:lineRule="auto" w:before="34"/>
        <w:ind w:left="802" w:right="1358" w:hanging="462"/>
        <w:jc w:val="both"/>
        <w:rPr>
          <w:sz w:val="23"/>
        </w:rPr>
      </w:pPr>
      <w:r>
        <w:rPr>
          <w:b/>
          <w:sz w:val="23"/>
        </w:rPr>
        <w:t>一、</w:t>
      </w:r>
      <w:r>
        <w:rPr>
          <w:spacing w:val="2"/>
          <w:sz w:val="23"/>
        </w:rPr>
        <w:t>在未來 </w:t>
      </w:r>
      <w:r>
        <w:rPr>
          <w:sz w:val="23"/>
        </w:rPr>
        <w:t>1 年內，請依衛生單位安排的時間，進行必要的胸部 X 光檢查，並請持續進行『自</w:t>
      </w:r>
      <w:r>
        <w:rPr>
          <w:spacing w:val="-15"/>
          <w:sz w:val="23"/>
        </w:rPr>
        <w:t>我健康監測』。胸部 </w:t>
      </w:r>
      <w:r>
        <w:rPr>
          <w:sz w:val="23"/>
        </w:rPr>
        <w:t>X</w:t>
      </w:r>
      <w:r>
        <w:rPr>
          <w:spacing w:val="-6"/>
          <w:sz w:val="23"/>
        </w:rPr>
        <w:t> 光檢查異常者，若有發病的懷疑，醫師會進一步安排驗痰細菌學檢查並提供追蹤治療服務。</w:t>
      </w:r>
    </w:p>
    <w:p>
      <w:pPr>
        <w:spacing w:line="369" w:lineRule="exact" w:before="0"/>
        <w:ind w:left="340" w:right="0" w:firstLine="0"/>
        <w:jc w:val="left"/>
        <w:rPr>
          <w:sz w:val="23"/>
        </w:rPr>
      </w:pPr>
      <w:r>
        <w:rPr>
          <w:b/>
          <w:sz w:val="23"/>
        </w:rPr>
        <w:t>二、</w:t>
      </w:r>
      <w:r>
        <w:rPr>
          <w:sz w:val="23"/>
        </w:rPr>
        <w:t>潛伏結核感染檢驗陽性者，轉介進行潛伏結核感染治療評估：</w:t>
      </w:r>
    </w:p>
    <w:p>
      <w:pPr>
        <w:spacing w:line="216" w:lineRule="auto" w:before="9"/>
        <w:ind w:left="766" w:right="1358" w:hanging="398"/>
        <w:jc w:val="left"/>
        <w:rPr>
          <w:sz w:val="23"/>
        </w:rPr>
      </w:pPr>
      <w:r>
        <w:rPr>
          <w:spacing w:val="-9"/>
          <w:sz w:val="23"/>
        </w:rPr>
        <w:t>(一) 公共衛生人員會將您(或貴子弟)轉介至專業的治療醫師，評估採取哪一種潛伏結核感染治療處方。</w:t>
      </w:r>
    </w:p>
    <w:p>
      <w:pPr>
        <w:spacing w:line="216" w:lineRule="auto" w:before="0"/>
        <w:ind w:left="766" w:right="1357" w:hanging="398"/>
        <w:jc w:val="both"/>
        <w:rPr>
          <w:sz w:val="23"/>
        </w:rPr>
      </w:pPr>
      <w:r>
        <w:rPr>
          <w:spacing w:val="-7"/>
          <w:sz w:val="23"/>
        </w:rPr>
        <w:t>(二) 醫師會為您(或貴子弟)進行相關身體健康檢查後，根據指標個案菌株的抗藥狀況、潛伏結核</w:t>
      </w:r>
      <w:r>
        <w:rPr>
          <w:spacing w:val="-2"/>
          <w:sz w:val="23"/>
        </w:rPr>
        <w:t>感染檢驗結果與胸部 </w:t>
      </w:r>
      <w:r>
        <w:rPr>
          <w:sz w:val="23"/>
        </w:rPr>
        <w:t>X 光檢查，排除結核病後，綜合研判感染者最適合哪一種潛伏結核感染治療。</w:t>
      </w:r>
    </w:p>
    <w:p>
      <w:pPr>
        <w:spacing w:line="216" w:lineRule="auto" w:before="0"/>
        <w:ind w:left="766" w:right="1356" w:hanging="397"/>
        <w:jc w:val="both"/>
        <w:rPr>
          <w:sz w:val="23"/>
        </w:rPr>
      </w:pPr>
      <w:r>
        <w:rPr>
          <w:spacing w:val="-7"/>
          <w:sz w:val="23"/>
        </w:rPr>
        <w:t>(三) 經醫師評估需治療者，衛生單位會配合您(或貴子弟)的作息時間，由「關懷員」協助提供都</w:t>
      </w:r>
      <w:r>
        <w:rPr>
          <w:spacing w:val="-13"/>
          <w:sz w:val="23"/>
        </w:rPr>
        <w:t>治服藥關懷，以達到服藥不忘記，安全地完成治療，以發揮潛伏結核感染治療最大效益；未</w:t>
      </w:r>
      <w:r>
        <w:rPr>
          <w:spacing w:val="-1"/>
          <w:sz w:val="23"/>
        </w:rPr>
        <w:t>治療或無法依建議完成治療者請加強自我症狀監測，並配合衛生單位安排第 </w:t>
      </w:r>
      <w:r>
        <w:rPr>
          <w:sz w:val="23"/>
        </w:rPr>
        <w:t>12</w:t>
      </w:r>
      <w:r>
        <w:rPr>
          <w:spacing w:val="-2"/>
          <w:sz w:val="23"/>
        </w:rPr>
        <w:t> 個月胸部 </w:t>
      </w:r>
      <w:r>
        <w:rPr>
          <w:sz w:val="23"/>
        </w:rPr>
        <w:t>X </w:t>
      </w:r>
      <w:r>
        <w:rPr>
          <w:spacing w:val="-2"/>
          <w:sz w:val="23"/>
        </w:rPr>
        <w:t>光檢查(抗藥性指標個案之接觸者，如須每半年 </w:t>
      </w:r>
      <w:r>
        <w:rPr>
          <w:sz w:val="23"/>
        </w:rPr>
        <w:t>1</w:t>
      </w:r>
      <w:r>
        <w:rPr>
          <w:spacing w:val="14"/>
          <w:sz w:val="23"/>
        </w:rPr>
        <w:t> 次胸部</w:t>
      </w:r>
      <w:r>
        <w:rPr>
          <w:sz w:val="23"/>
        </w:rPr>
        <w:t>X</w:t>
      </w:r>
      <w:r>
        <w:rPr>
          <w:spacing w:val="-3"/>
          <w:sz w:val="23"/>
        </w:rPr>
        <w:t> 光，追蹤 </w:t>
      </w:r>
      <w:r>
        <w:rPr>
          <w:sz w:val="23"/>
        </w:rPr>
        <w:t>2</w:t>
      </w:r>
      <w:r>
        <w:rPr>
          <w:spacing w:val="-2"/>
          <w:sz w:val="23"/>
        </w:rPr>
        <w:t> 年者，公衛管理人員將另行通知)。</w:t>
      </w:r>
    </w:p>
    <w:p>
      <w:pPr>
        <w:pStyle w:val="Heading7"/>
        <w:spacing w:before="53"/>
        <w:ind w:left="340"/>
        <w:jc w:val="left"/>
      </w:pPr>
      <w:r>
        <w:rPr/>
        <w:t>肆、法規規範：</w:t>
      </w:r>
    </w:p>
    <w:p>
      <w:pPr>
        <w:spacing w:line="216" w:lineRule="auto" w:before="32"/>
        <w:ind w:left="340" w:right="1356" w:firstLine="459"/>
        <w:jc w:val="both"/>
        <w:rPr>
          <w:sz w:val="23"/>
        </w:rPr>
      </w:pPr>
      <w:r>
        <w:rPr>
          <w:spacing w:val="-13"/>
          <w:sz w:val="23"/>
        </w:rPr>
        <w:t>依據「傳染病防治法」第四十八條第一項規定，主管機關對於曾與傳染病病人接觸或疑似被</w:t>
      </w:r>
      <w:r>
        <w:rPr>
          <w:spacing w:val="-12"/>
          <w:sz w:val="23"/>
        </w:rPr>
        <w:t>傳染者，得予以留驗；必要時，並得令遷入指定之處所檢查、施行預防接種、投藥、指定特定區</w:t>
      </w:r>
      <w:r>
        <w:rPr>
          <w:spacing w:val="-15"/>
          <w:sz w:val="23"/>
        </w:rPr>
        <w:t>域實施管制或隔離等必要之處置。違反者處新台幣 </w:t>
      </w:r>
      <w:r>
        <w:rPr>
          <w:sz w:val="23"/>
        </w:rPr>
        <w:t>6</w:t>
      </w:r>
      <w:r>
        <w:rPr>
          <w:spacing w:val="-2"/>
          <w:sz w:val="23"/>
        </w:rPr>
        <w:t> 萬元以上 </w:t>
      </w:r>
      <w:r>
        <w:rPr>
          <w:sz w:val="23"/>
        </w:rPr>
        <w:t>30</w:t>
      </w:r>
      <w:r>
        <w:rPr>
          <w:spacing w:val="-10"/>
          <w:sz w:val="23"/>
        </w:rPr>
        <w:t> 萬元以下之罰鍰。為維護您(或貴子弟)自身的健康，請配合當地衛生主管機關進行接觸者檢查事宜。</w:t>
      </w:r>
    </w:p>
    <w:p>
      <w:pPr>
        <w:pStyle w:val="Heading7"/>
        <w:spacing w:before="57"/>
        <w:ind w:left="340"/>
        <w:jc w:val="left"/>
      </w:pPr>
      <w:r>
        <w:rPr/>
        <w:t>伍、聯絡方式：</w:t>
      </w:r>
    </w:p>
    <w:p>
      <w:pPr>
        <w:tabs>
          <w:tab w:pos="4270" w:val="left" w:leader="none"/>
          <w:tab w:pos="6191" w:val="left" w:leader="none"/>
          <w:tab w:pos="7545" w:val="left" w:leader="none"/>
        </w:tabs>
        <w:spacing w:line="216" w:lineRule="auto" w:before="34"/>
        <w:ind w:left="340" w:right="1355" w:firstLine="459"/>
        <w:jc w:val="both"/>
        <w:rPr>
          <w:sz w:val="23"/>
        </w:rPr>
      </w:pPr>
      <w:r>
        <w:rPr>
          <w:sz w:val="23"/>
        </w:rPr>
        <w:t>本份檢查通知書已由</w:t>
      </w:r>
      <w:r>
        <w:rPr>
          <w:sz w:val="23"/>
          <w:u w:val="single"/>
        </w:rPr>
        <w:t> </w:t>
        <w:tab/>
      </w:r>
      <w:r>
        <w:rPr>
          <w:sz w:val="23"/>
        </w:rPr>
        <w:t>衛生所(局)的承辦人</w:t>
      </w:r>
      <w:r>
        <w:rPr>
          <w:sz w:val="23"/>
          <w:u w:val="single"/>
        </w:rPr>
        <w:t> </w:t>
        <w:tab/>
      </w:r>
      <w:r>
        <w:rPr>
          <w:sz w:val="23"/>
        </w:rPr>
        <w:t>為您說明，若您對於</w:t>
      </w:r>
      <w:r>
        <w:rPr>
          <w:spacing w:val="-12"/>
          <w:sz w:val="23"/>
        </w:rPr>
        <w:t>接</w:t>
      </w:r>
      <w:r>
        <w:rPr>
          <w:sz w:val="23"/>
        </w:rPr>
        <w:t>觸者檢查等事項仍有疑</w:t>
      </w:r>
      <w:r>
        <w:rPr>
          <w:spacing w:val="-4"/>
          <w:sz w:val="23"/>
        </w:rPr>
        <w:t>問，</w:t>
      </w:r>
      <w:r>
        <w:rPr>
          <w:sz w:val="23"/>
        </w:rPr>
        <w:t>請撥打電</w:t>
      </w:r>
      <w:r>
        <w:rPr>
          <w:spacing w:val="-4"/>
          <w:sz w:val="23"/>
        </w:rPr>
        <w:t>話：</w:t>
      </w:r>
      <w:r>
        <w:rPr>
          <w:spacing w:val="-4"/>
          <w:sz w:val="23"/>
          <w:u w:val="single"/>
        </w:rPr>
        <w:t> </w:t>
        <w:tab/>
      </w:r>
      <w:r>
        <w:rPr>
          <w:sz w:val="23"/>
        </w:rPr>
        <w:t>與衛生所聯</w:t>
      </w:r>
      <w:r>
        <w:rPr>
          <w:spacing w:val="-4"/>
          <w:sz w:val="23"/>
        </w:rPr>
        <w:t>繫，</w:t>
      </w:r>
      <w:r>
        <w:rPr>
          <w:sz w:val="23"/>
        </w:rPr>
        <w:t>工作人員將儘速為您說明處理。此外，倘您於接檢過程中遭遇任何問題或有不公平待遇，請聯絡衛生所。</w:t>
      </w:r>
    </w:p>
    <w:p>
      <w:pPr>
        <w:spacing w:before="53"/>
        <w:ind w:left="1118" w:right="2558" w:firstLine="0"/>
        <w:jc w:val="center"/>
        <w:rPr>
          <w:sz w:val="24"/>
        </w:rPr>
      </w:pPr>
      <w:r>
        <w:rPr>
          <w:position w:val="-25"/>
        </w:rPr>
        <w:drawing>
          <wp:inline distT="0" distB="0" distL="0" distR="0">
            <wp:extent cx="426499" cy="458994"/>
            <wp:effectExtent l="0" t="0" r="0" b="0"/>
            <wp:docPr id="25" name="image13.png"/>
            <wp:cNvGraphicFramePr>
              <a:graphicFrameLocks noChangeAspect="1"/>
            </wp:cNvGraphicFramePr>
            <a:graphic>
              <a:graphicData uri="http://schemas.openxmlformats.org/drawingml/2006/picture">
                <pic:pic>
                  <pic:nvPicPr>
                    <pic:cNvPr id="26" name="image13.png"/>
                    <pic:cNvPicPr/>
                  </pic:nvPicPr>
                  <pic:blipFill>
                    <a:blip r:embed="rId78" cstate="print"/>
                    <a:stretch>
                      <a:fillRect/>
                    </a:stretch>
                  </pic:blipFill>
                  <pic:spPr>
                    <a:xfrm>
                      <a:off x="0" y="0"/>
                      <a:ext cx="426499" cy="458994"/>
                    </a:xfrm>
                    <a:prstGeom prst="rect">
                      <a:avLst/>
                    </a:prstGeom>
                  </pic:spPr>
                </pic:pic>
              </a:graphicData>
            </a:graphic>
          </wp:inline>
        </w:drawing>
      </w:r>
      <w:r>
        <w:rPr>
          <w:position w:val="-25"/>
        </w:rPr>
      </w:r>
      <w:r>
        <w:rPr>
          <w:rFonts w:ascii="Times New Roman" w:eastAsia="Times New Roman"/>
          <w:sz w:val="20"/>
        </w:rPr>
        <w:t>    </w:t>
      </w:r>
      <w:r>
        <w:rPr>
          <w:rFonts w:ascii="Times New Roman" w:eastAsia="Times New Roman"/>
          <w:spacing w:val="-20"/>
          <w:sz w:val="20"/>
        </w:rPr>
        <w:t> </w:t>
      </w:r>
      <w:r>
        <w:rPr>
          <w:sz w:val="24"/>
        </w:rPr>
        <w:t>衛生福利部疾病管制署關心您的健康</w:t>
      </w:r>
    </w:p>
    <w:p>
      <w:pPr>
        <w:spacing w:before="230"/>
        <w:ind w:left="1474" w:right="0" w:firstLine="0"/>
        <w:jc w:val="left"/>
        <w:rPr>
          <w:sz w:val="15"/>
        </w:rPr>
      </w:pPr>
      <w:r>
        <w:rPr>
          <w:b/>
          <w:sz w:val="28"/>
        </w:rPr>
        <w:t>結核病接觸者檢查通知書回條 </w:t>
      </w:r>
      <w:r>
        <w:rPr>
          <w:sz w:val="15"/>
        </w:rPr>
        <w:t>(如需收取回條者，請單面列印 撕下交回)</w:t>
      </w:r>
    </w:p>
    <w:p>
      <w:pPr>
        <w:tabs>
          <w:tab w:pos="3524" w:val="left" w:leader="none"/>
        </w:tabs>
        <w:spacing w:before="164"/>
        <w:ind w:left="1214" w:right="0" w:firstLine="0"/>
        <w:jc w:val="left"/>
        <w:rPr>
          <w:sz w:val="22"/>
        </w:rPr>
      </w:pPr>
      <w:r>
        <w:rPr>
          <w:sz w:val="22"/>
        </w:rPr>
        <w:t>本人</w:t>
      </w:r>
      <w:r>
        <w:rPr>
          <w:sz w:val="22"/>
          <w:u w:val="single"/>
        </w:rPr>
        <w:t> </w:t>
        <w:tab/>
        <w:t>（簽名）</w:t>
      </w:r>
      <w:r>
        <w:rPr>
          <w:sz w:val="22"/>
        </w:rPr>
        <w:t>已詳閱本通知書</w:t>
      </w:r>
    </w:p>
    <w:p>
      <w:pPr>
        <w:tabs>
          <w:tab w:pos="3524" w:val="left" w:leader="none"/>
          <w:tab w:pos="7203" w:val="left" w:leader="none"/>
          <w:tab w:pos="7923" w:val="left" w:leader="none"/>
        </w:tabs>
        <w:spacing w:before="168"/>
        <w:ind w:left="1214" w:right="0" w:firstLine="0"/>
        <w:jc w:val="left"/>
        <w:rPr>
          <w:sz w:val="16"/>
        </w:rPr>
      </w:pPr>
      <w:r>
        <w:rPr>
          <w:sz w:val="22"/>
        </w:rPr>
        <w:t>法定代理人</w:t>
      </w:r>
      <w:r>
        <w:rPr>
          <w:sz w:val="22"/>
          <w:u w:val="single"/>
        </w:rPr>
        <w:t> </w:t>
        <w:tab/>
        <w:t>（簽名）</w:t>
      </w:r>
      <w:r>
        <w:rPr>
          <w:sz w:val="16"/>
        </w:rPr>
        <w:t>（若接觸者為在學學生，其班級</w:t>
      </w:r>
      <w:r>
        <w:rPr>
          <w:sz w:val="16"/>
          <w:u w:val="single"/>
        </w:rPr>
        <w:t> </w:t>
        <w:tab/>
      </w:r>
      <w:r>
        <w:rPr>
          <w:sz w:val="16"/>
        </w:rPr>
        <w:t>年</w:t>
      </w:r>
      <w:r>
        <w:rPr>
          <w:sz w:val="16"/>
          <w:u w:val="single"/>
        </w:rPr>
        <w:t> </w:t>
        <w:tab/>
      </w:r>
      <w:r>
        <w:rPr>
          <w:sz w:val="16"/>
        </w:rPr>
        <w:t>班）</w:t>
      </w:r>
    </w:p>
    <w:p>
      <w:pPr>
        <w:spacing w:after="0"/>
        <w:jc w:val="left"/>
        <w:rPr>
          <w:sz w:val="16"/>
        </w:rPr>
        <w:sectPr>
          <w:pgSz w:w="12250" w:h="17190"/>
          <w:pgMar w:header="0" w:footer="734" w:top="1460" w:bottom="1020" w:left="1020" w:right="0"/>
        </w:sectPr>
      </w:pPr>
    </w:p>
    <w:p>
      <w:pPr>
        <w:pStyle w:val="Heading7"/>
        <w:spacing w:before="21"/>
        <w:ind w:left="340"/>
        <w:jc w:val="left"/>
      </w:pPr>
      <w:r>
        <w:rPr/>
        <w:t>附件 10-4</w:t>
      </w:r>
    </w:p>
    <w:p>
      <w:pPr>
        <w:pStyle w:val="BodyText"/>
        <w:spacing w:before="7"/>
        <w:rPr>
          <w:b/>
          <w:sz w:val="26"/>
        </w:rPr>
      </w:pPr>
      <w:r>
        <w:rPr/>
        <w:br w:type="column"/>
      </w:r>
      <w:r>
        <w:rPr>
          <w:b/>
          <w:sz w:val="26"/>
        </w:rPr>
      </w:r>
    </w:p>
    <w:p>
      <w:pPr>
        <w:tabs>
          <w:tab w:pos="2056" w:val="left" w:leader="none"/>
        </w:tabs>
        <w:spacing w:line="208" w:lineRule="auto" w:before="0"/>
        <w:ind w:left="1498" w:right="2939" w:hanging="1158"/>
        <w:jc w:val="left"/>
        <w:rPr>
          <w:b/>
          <w:sz w:val="30"/>
        </w:rPr>
      </w:pPr>
      <w:r>
        <w:rPr>
          <w:rFonts w:ascii="Times New Roman" w:eastAsia="Times New Roman"/>
          <w:sz w:val="30"/>
          <w:u w:val="single"/>
        </w:rPr>
        <w:t> </w:t>
        <w:tab/>
        <w:tab/>
      </w:r>
      <w:r>
        <w:rPr>
          <w:b/>
          <w:spacing w:val="-1"/>
          <w:sz w:val="30"/>
        </w:rPr>
        <w:t>縣巿衛生局 潛伏結核感染治療衛教</w:t>
      </w:r>
      <w:r>
        <w:rPr>
          <w:b/>
          <w:sz w:val="30"/>
        </w:rPr>
        <w:t>及直接觀察治療(DOPT)同意書</w:t>
      </w:r>
    </w:p>
    <w:p>
      <w:pPr>
        <w:spacing w:after="0" w:line="208" w:lineRule="auto"/>
        <w:jc w:val="left"/>
        <w:rPr>
          <w:sz w:val="30"/>
        </w:rPr>
        <w:sectPr>
          <w:pgSz w:w="12250" w:h="17190"/>
          <w:pgMar w:header="0" w:footer="734" w:top="1440" w:bottom="1020" w:left="1020" w:right="0"/>
          <w:cols w:num="2" w:equalWidth="0">
            <w:col w:w="1454" w:space="125"/>
            <w:col w:w="9651"/>
          </w:cols>
        </w:sectPr>
      </w:pPr>
    </w:p>
    <w:p>
      <w:pPr>
        <w:pStyle w:val="Heading7"/>
        <w:tabs>
          <w:tab w:pos="2429" w:val="left" w:leader="none"/>
          <w:tab w:pos="3172" w:val="left" w:leader="none"/>
        </w:tabs>
        <w:spacing w:line="211" w:lineRule="auto" w:before="114"/>
        <w:ind w:left="340" w:right="38"/>
        <w:jc w:val="left"/>
        <w:rPr>
          <w:rFonts w:ascii="Times New Roman" w:eastAsia="Times New Roman"/>
          <w:b w:val="0"/>
        </w:rPr>
      </w:pPr>
      <w:r>
        <w:rPr>
          <w:w w:val="95"/>
        </w:rPr>
        <w:t>接受治療者：</w:t>
      </w:r>
      <w:r>
        <w:rPr>
          <w:w w:val="95"/>
          <w:u w:val="single"/>
        </w:rPr>
        <w:tab/>
        <w:tab/>
        <w:t>                     </w:t>
      </w:r>
      <w:r>
        <w:rPr>
          <w:w w:val="95"/>
        </w:rPr>
        <w:t>性別：</w:t>
      </w:r>
      <w:r>
        <w:rPr>
          <w:rFonts w:ascii="Times New Roman" w:eastAsia="Times New Roman"/>
          <w:b w:val="0"/>
          <w:w w:val="95"/>
          <w:u w:val="single"/>
        </w:rPr>
        <w:t> </w:t>
      </w:r>
      <w:r>
        <w:rPr>
          <w:rFonts w:ascii="Times New Roman" w:eastAsia="Times New Roman"/>
          <w:b w:val="0"/>
          <w:u w:val="single"/>
        </w:rPr>
        <w:tab/>
      </w:r>
    </w:p>
    <w:p>
      <w:pPr>
        <w:spacing w:line="427" w:lineRule="exact" w:before="85"/>
        <w:ind w:left="340" w:right="0" w:firstLine="0"/>
        <w:jc w:val="left"/>
        <w:rPr>
          <w:b/>
          <w:sz w:val="24"/>
        </w:rPr>
      </w:pPr>
      <w:r>
        <w:rPr>
          <w:b/>
          <w:sz w:val="24"/>
        </w:rPr>
        <w:t>敬啟者您好：</w:t>
      </w:r>
    </w:p>
    <w:p>
      <w:pPr>
        <w:tabs>
          <w:tab w:pos="3151" w:val="left" w:leader="none"/>
        </w:tabs>
        <w:spacing w:line="416" w:lineRule="exact" w:before="76"/>
        <w:ind w:left="348" w:right="0" w:firstLine="0"/>
        <w:jc w:val="left"/>
        <w:rPr>
          <w:rFonts w:ascii="Times New Roman" w:eastAsia="Times New Roman"/>
          <w:sz w:val="24"/>
        </w:rPr>
      </w:pPr>
      <w:r>
        <w:rPr/>
        <w:br w:type="column"/>
      </w:r>
      <w:r>
        <w:rPr>
          <w:b/>
          <w:w w:val="95"/>
          <w:sz w:val="24"/>
        </w:rPr>
        <w:t>身分證字號：</w:t>
      </w:r>
      <w:r>
        <w:rPr>
          <w:rFonts w:ascii="Times New Roman" w:eastAsia="Times New Roman"/>
          <w:w w:val="95"/>
          <w:sz w:val="24"/>
          <w:u w:val="single"/>
        </w:rPr>
        <w:t> </w:t>
      </w:r>
      <w:r>
        <w:rPr>
          <w:rFonts w:ascii="Times New Roman" w:eastAsia="Times New Roman"/>
          <w:sz w:val="24"/>
          <w:u w:val="single"/>
        </w:rPr>
        <w:tab/>
      </w:r>
    </w:p>
    <w:p>
      <w:pPr>
        <w:pStyle w:val="Heading7"/>
        <w:tabs>
          <w:tab w:pos="2355" w:val="left" w:leader="none"/>
          <w:tab w:pos="3184" w:val="left" w:leader="none"/>
          <w:tab w:pos="4013" w:val="left" w:leader="none"/>
        </w:tabs>
        <w:spacing w:line="416" w:lineRule="exact"/>
        <w:ind w:left="340"/>
        <w:jc w:val="left"/>
      </w:pPr>
      <w:r>
        <w:rPr/>
        <w:t>出生年月日：</w:t>
      </w:r>
      <w:r>
        <w:rPr>
          <w:u w:val="single"/>
        </w:rPr>
        <w:t> </w:t>
        <w:tab/>
      </w:r>
      <w:r>
        <w:rPr/>
        <w:t>年</w:t>
      </w:r>
      <w:r>
        <w:rPr>
          <w:u w:val="single"/>
        </w:rPr>
        <w:t> </w:t>
        <w:tab/>
      </w:r>
      <w:r>
        <w:rPr/>
        <w:t>月</w:t>
      </w:r>
      <w:r>
        <w:rPr>
          <w:u w:val="single"/>
        </w:rPr>
        <w:t> </w:t>
        <w:tab/>
      </w:r>
      <w:r>
        <w:rPr/>
        <w:t>日</w:t>
      </w:r>
    </w:p>
    <w:p>
      <w:pPr>
        <w:spacing w:after="0" w:line="416" w:lineRule="exact"/>
        <w:jc w:val="left"/>
        <w:sectPr>
          <w:type w:val="continuous"/>
          <w:pgSz w:w="12250" w:h="17190"/>
          <w:pgMar w:top="1500" w:bottom="280" w:left="1020" w:right="0"/>
          <w:cols w:num="2" w:equalWidth="0">
            <w:col w:w="3213" w:space="303"/>
            <w:col w:w="7714"/>
          </w:cols>
        </w:sectPr>
      </w:pPr>
    </w:p>
    <w:p>
      <w:pPr>
        <w:pStyle w:val="BodyText"/>
        <w:spacing w:line="196" w:lineRule="auto"/>
        <w:ind w:left="340" w:right="1354" w:firstLine="455"/>
        <w:jc w:val="both"/>
      </w:pPr>
      <w:r>
        <w:rPr/>
        <w:t>根據潛伏結核感染檢驗(結核菌素皮膚測驗或丙型干擾素釋放試驗)結果，並經由醫師評</w:t>
      </w:r>
      <w:r>
        <w:rPr>
          <w:spacing w:val="-5"/>
          <w:w w:val="95"/>
        </w:rPr>
        <w:t>估顯示，目前您(或您的小孩</w:t>
      </w:r>
      <w:r>
        <w:rPr>
          <w:spacing w:val="-15"/>
          <w:w w:val="95"/>
        </w:rPr>
        <w:t>）</w:t>
      </w:r>
      <w:r>
        <w:rPr>
          <w:spacing w:val="-5"/>
          <w:w w:val="95"/>
        </w:rPr>
        <w:t>有潛伏結核感染，但並非結核病發病，經過完整的潛伏結核感    </w:t>
      </w:r>
      <w:r>
        <w:rPr>
          <w:spacing w:val="1"/>
          <w:w w:val="95"/>
        </w:rPr>
        <w:t>染治療，保護力可達  </w:t>
      </w:r>
      <w:r>
        <w:rPr>
          <w:w w:val="95"/>
        </w:rPr>
        <w:t>9   成以上，除可有效降低將來發病傳染給他人外，也可減少發病後需面</w:t>
      </w:r>
      <w:r>
        <w:rPr/>
        <w:t>對治療服藥時間較長、藥品種類較多及副作用較大的可能。</w:t>
      </w:r>
    </w:p>
    <w:p>
      <w:pPr>
        <w:pStyle w:val="Heading7"/>
        <w:spacing w:line="401" w:lineRule="exact" w:before="16"/>
        <w:ind w:left="340"/>
        <w:jc w:val="left"/>
        <w:rPr>
          <w:b w:val="0"/>
        </w:rPr>
      </w:pPr>
      <w:r>
        <w:rPr/>
        <w:t>治療應注意事項如下</w:t>
      </w:r>
      <w:r>
        <w:rPr>
          <w:b w:val="0"/>
        </w:rPr>
        <w:t>：</w:t>
      </w:r>
    </w:p>
    <w:p>
      <w:pPr>
        <w:pStyle w:val="BodyText"/>
        <w:spacing w:line="360" w:lineRule="exact"/>
        <w:ind w:left="340"/>
      </w:pPr>
      <w:r>
        <w:rPr>
          <w:spacing w:val="-2"/>
          <w:w w:val="99"/>
        </w:rPr>
        <w:t>一、目前潛伏感染治療處方有以下</w:t>
      </w:r>
      <w:r>
        <w:rPr>
          <w:spacing w:val="-1"/>
        </w:rPr>
        <w:t> </w:t>
      </w:r>
      <w:r>
        <w:rPr>
          <w:w w:val="99"/>
        </w:rPr>
        <w:t>6</w:t>
      </w:r>
      <w:r>
        <w:rPr>
          <w:spacing w:val="-3"/>
        </w:rPr>
        <w:t> </w:t>
      </w:r>
      <w:r>
        <w:rPr>
          <w:spacing w:val="-2"/>
          <w:w w:val="99"/>
        </w:rPr>
        <w:t>種(勾選感染者治療處方</w:t>
      </w:r>
      <w:r>
        <w:rPr>
          <w:spacing w:val="-120"/>
          <w:w w:val="99"/>
        </w:rPr>
        <w:t>）</w:t>
      </w:r>
      <w:r>
        <w:rPr>
          <w:w w:val="99"/>
        </w:rPr>
        <w:t>：</w:t>
      </w:r>
    </w:p>
    <w:p>
      <w:pPr>
        <w:pStyle w:val="BodyText"/>
        <w:spacing w:line="360" w:lineRule="exact"/>
        <w:ind w:left="820"/>
      </w:pPr>
      <w:r>
        <w:rPr>
          <w:rFonts w:ascii="新細明體" w:hAnsi="新細明體" w:eastAsia="新細明體" w:hint="eastAsia"/>
          <w:color w:val="C00000"/>
        </w:rPr>
        <w:t>□</w:t>
      </w:r>
      <w:r>
        <w:rPr>
          <w:color w:val="C00000"/>
        </w:rPr>
        <w:t>1HP：</w:t>
      </w:r>
      <w:r>
        <w:rPr>
          <w:color w:val="C00000"/>
          <w:spacing w:val="-3"/>
        </w:rPr>
        <w:t>每日服用 </w:t>
      </w:r>
      <w:r>
        <w:rPr>
          <w:color w:val="C00000"/>
        </w:rPr>
        <w:t>isoniazid</w:t>
      </w:r>
      <w:r>
        <w:rPr>
          <w:color w:val="C00000"/>
          <w:spacing w:val="-7"/>
        </w:rPr>
        <w:t> (</w:t>
      </w:r>
      <w:r>
        <w:rPr>
          <w:color w:val="C00000"/>
        </w:rPr>
        <w:t>INH</w:t>
      </w:r>
      <w:r>
        <w:rPr>
          <w:color w:val="C00000"/>
          <w:spacing w:val="-7"/>
        </w:rPr>
        <w:t>) + </w:t>
      </w:r>
      <w:r>
        <w:rPr>
          <w:color w:val="C00000"/>
        </w:rPr>
        <w:t>rifapentine</w:t>
      </w:r>
      <w:r>
        <w:rPr>
          <w:color w:val="C00000"/>
          <w:spacing w:val="-5"/>
        </w:rPr>
        <w:t>，共 </w:t>
      </w:r>
      <w:r>
        <w:rPr>
          <w:color w:val="C00000"/>
        </w:rPr>
        <w:t>28</w:t>
      </w:r>
      <w:r>
        <w:rPr>
          <w:color w:val="C00000"/>
          <w:spacing w:val="-6"/>
        </w:rPr>
        <w:t> 次，計 </w:t>
      </w:r>
      <w:r>
        <w:rPr>
          <w:color w:val="C00000"/>
        </w:rPr>
        <w:t>1</w:t>
      </w:r>
      <w:r>
        <w:rPr>
          <w:color w:val="C00000"/>
          <w:spacing w:val="-4"/>
        </w:rPr>
        <w:t> 個月療程</w:t>
      </w:r>
    </w:p>
    <w:p>
      <w:pPr>
        <w:pStyle w:val="BodyText"/>
        <w:spacing w:line="360" w:lineRule="exact"/>
        <w:ind w:left="820"/>
      </w:pPr>
      <w:r>
        <w:rPr>
          <w:rFonts w:ascii="新細明體" w:hAnsi="新細明體" w:eastAsia="新細明體" w:hint="eastAsia"/>
        </w:rPr>
        <w:t>□</w:t>
      </w:r>
      <w:r>
        <w:rPr/>
        <w:t>3HP：</w:t>
      </w:r>
      <w:r>
        <w:rPr>
          <w:spacing w:val="-3"/>
        </w:rPr>
        <w:t>每週服用 </w:t>
      </w:r>
      <w:r>
        <w:rPr/>
        <w:t>isoniazid</w:t>
      </w:r>
      <w:r>
        <w:rPr>
          <w:spacing w:val="-7"/>
        </w:rPr>
        <w:t> (</w:t>
      </w:r>
      <w:r>
        <w:rPr/>
        <w:t>INH</w:t>
      </w:r>
      <w:r>
        <w:rPr>
          <w:spacing w:val="-7"/>
        </w:rPr>
        <w:t>) + </w:t>
      </w:r>
      <w:r>
        <w:rPr/>
        <w:t>rifapentine</w:t>
      </w:r>
      <w:r>
        <w:rPr>
          <w:spacing w:val="-5"/>
        </w:rPr>
        <w:t>，共 </w:t>
      </w:r>
      <w:r>
        <w:rPr/>
        <w:t>12</w:t>
      </w:r>
      <w:r>
        <w:rPr>
          <w:spacing w:val="-6"/>
        </w:rPr>
        <w:t> 次，計 </w:t>
      </w:r>
      <w:r>
        <w:rPr/>
        <w:t>3</w:t>
      </w:r>
      <w:r>
        <w:rPr>
          <w:spacing w:val="-4"/>
        </w:rPr>
        <w:t> 個月療程</w:t>
      </w:r>
    </w:p>
    <w:p>
      <w:pPr>
        <w:pStyle w:val="BodyText"/>
        <w:spacing w:line="360" w:lineRule="exact"/>
        <w:ind w:left="820"/>
      </w:pPr>
      <w:r>
        <w:rPr>
          <w:rFonts w:ascii="新細明體" w:hAnsi="新細明體" w:eastAsia="新細明體" w:hint="eastAsia"/>
          <w:color w:val="C00000"/>
        </w:rPr>
        <w:t>□</w:t>
      </w:r>
      <w:r>
        <w:rPr>
          <w:color w:val="C00000"/>
        </w:rPr>
        <w:t>4R：每日服用 RMP，共 120 次，計 4 個月療程</w:t>
      </w:r>
    </w:p>
    <w:p>
      <w:pPr>
        <w:pStyle w:val="BodyText"/>
        <w:spacing w:line="360" w:lineRule="exact"/>
        <w:ind w:left="820"/>
      </w:pPr>
      <w:r>
        <w:rPr>
          <w:rFonts w:ascii="新細明體" w:hAnsi="新細明體" w:eastAsia="新細明體" w:hint="eastAsia"/>
          <w:w w:val="99"/>
        </w:rPr>
        <w:t>□</w:t>
      </w:r>
      <w:r>
        <w:rPr>
          <w:spacing w:val="-1"/>
          <w:w w:val="99"/>
        </w:rPr>
        <w:t>3</w:t>
      </w:r>
      <w:r>
        <w:rPr>
          <w:spacing w:val="-3"/>
          <w:w w:val="99"/>
        </w:rPr>
        <w:t>H</w:t>
      </w:r>
      <w:r>
        <w:rPr>
          <w:spacing w:val="-1"/>
          <w:w w:val="99"/>
        </w:rPr>
        <w:t>R</w:t>
      </w:r>
      <w:r>
        <w:rPr>
          <w:spacing w:val="-2"/>
          <w:w w:val="99"/>
        </w:rPr>
        <w:t>：每日服用</w:t>
      </w:r>
      <w:r>
        <w:rPr>
          <w:spacing w:val="-1"/>
        </w:rPr>
        <w:t> </w:t>
      </w:r>
      <w:r>
        <w:rPr>
          <w:spacing w:val="-1"/>
          <w:w w:val="99"/>
        </w:rPr>
        <w:t>IN</w:t>
      </w:r>
      <w:r>
        <w:rPr>
          <w:w w:val="99"/>
        </w:rPr>
        <w:t>H</w:t>
      </w:r>
      <w:r>
        <w:rPr>
          <w:spacing w:val="-3"/>
        </w:rPr>
        <w:t> </w:t>
      </w:r>
      <w:r>
        <w:rPr>
          <w:w w:val="99"/>
        </w:rPr>
        <w:t>+</w:t>
      </w:r>
      <w:r>
        <w:rPr>
          <w:spacing w:val="-1"/>
        </w:rPr>
        <w:t> </w:t>
      </w:r>
      <w:r>
        <w:rPr>
          <w:spacing w:val="-1"/>
          <w:w w:val="99"/>
        </w:rPr>
        <w:t>ri</w:t>
      </w:r>
      <w:r>
        <w:rPr>
          <w:spacing w:val="-2"/>
          <w:w w:val="99"/>
        </w:rPr>
        <w:t>fa</w:t>
      </w:r>
      <w:r>
        <w:rPr>
          <w:spacing w:val="-1"/>
          <w:w w:val="99"/>
        </w:rPr>
        <w:t>m</w:t>
      </w:r>
      <w:r>
        <w:rPr>
          <w:w w:val="99"/>
        </w:rPr>
        <w:t>p</w:t>
      </w:r>
      <w:r>
        <w:rPr>
          <w:spacing w:val="-2"/>
          <w:w w:val="99"/>
        </w:rPr>
        <w:t>i</w:t>
      </w:r>
      <w:r>
        <w:rPr>
          <w:spacing w:val="-1"/>
          <w:w w:val="99"/>
        </w:rPr>
        <w:t>n</w:t>
      </w:r>
      <w:r>
        <w:rPr>
          <w:spacing w:val="-2"/>
          <w:w w:val="99"/>
        </w:rPr>
        <w:t>（</w:t>
      </w:r>
      <w:r>
        <w:rPr>
          <w:spacing w:val="-1"/>
          <w:w w:val="99"/>
        </w:rPr>
        <w:t>R</w:t>
      </w:r>
      <w:r>
        <w:rPr>
          <w:w w:val="99"/>
        </w:rPr>
        <w:t>M</w:t>
      </w:r>
      <w:r>
        <w:rPr>
          <w:spacing w:val="-2"/>
          <w:w w:val="99"/>
        </w:rPr>
        <w:t>P</w:t>
      </w:r>
      <w:r>
        <w:rPr>
          <w:spacing w:val="-120"/>
          <w:w w:val="99"/>
        </w:rPr>
        <w:t>）</w:t>
      </w:r>
      <w:r>
        <w:rPr>
          <w:spacing w:val="-1"/>
          <w:w w:val="99"/>
        </w:rPr>
        <w:t>，共</w:t>
      </w:r>
      <w:r>
        <w:rPr>
          <w:spacing w:val="-2"/>
        </w:rPr>
        <w:t> </w:t>
      </w:r>
      <w:r>
        <w:rPr>
          <w:spacing w:val="-1"/>
          <w:w w:val="99"/>
        </w:rPr>
        <w:t>9</w:t>
      </w:r>
      <w:r>
        <w:rPr>
          <w:w w:val="99"/>
        </w:rPr>
        <w:t>0</w:t>
      </w:r>
      <w:r>
        <w:rPr>
          <w:spacing w:val="-3"/>
        </w:rPr>
        <w:t> </w:t>
      </w:r>
      <w:r>
        <w:rPr>
          <w:spacing w:val="-2"/>
          <w:w w:val="99"/>
        </w:rPr>
        <w:t>次，計</w:t>
      </w:r>
      <w:r>
        <w:rPr>
          <w:spacing w:val="-2"/>
        </w:rPr>
        <w:t> </w:t>
      </w:r>
      <w:r>
        <w:rPr>
          <w:w w:val="99"/>
        </w:rPr>
        <w:t>3</w:t>
      </w:r>
      <w:r>
        <w:rPr>
          <w:spacing w:val="-2"/>
        </w:rPr>
        <w:t> </w:t>
      </w:r>
      <w:r>
        <w:rPr>
          <w:spacing w:val="-3"/>
          <w:w w:val="99"/>
        </w:rPr>
        <w:t>個月療程</w:t>
      </w:r>
    </w:p>
    <w:p>
      <w:pPr>
        <w:pStyle w:val="BodyText"/>
        <w:spacing w:line="360" w:lineRule="exact"/>
        <w:ind w:left="820"/>
      </w:pPr>
      <w:r>
        <w:rPr>
          <w:rFonts w:ascii="新細明體" w:hAnsi="新細明體" w:eastAsia="新細明體" w:hint="eastAsia"/>
          <w:color w:val="C00000"/>
        </w:rPr>
        <w:t>□</w:t>
      </w:r>
      <w:r>
        <w:rPr>
          <w:color w:val="C00000"/>
        </w:rPr>
        <w:t>6H：每日服用 INH，共 180 次，計 6 個月療程</w:t>
      </w:r>
    </w:p>
    <w:p>
      <w:pPr>
        <w:pStyle w:val="BodyText"/>
        <w:tabs>
          <w:tab w:pos="4707" w:val="left" w:leader="none"/>
        </w:tabs>
        <w:spacing w:line="196" w:lineRule="auto" w:before="16"/>
        <w:ind w:left="820" w:right="5236" w:hanging="1"/>
        <w:rPr>
          <w:rFonts w:ascii="Times New Roman" w:hAnsi="Times New Roman" w:eastAsia="Times New Roman"/>
        </w:rPr>
      </w:pPr>
      <w:r>
        <w:rPr>
          <w:rFonts w:ascii="新細明體" w:hAnsi="新細明體" w:eastAsia="新細明體" w:hint="eastAsia"/>
        </w:rPr>
        <w:t>□</w:t>
      </w:r>
      <w:r>
        <w:rPr/>
        <w:t>9H：每日服用</w:t>
      </w:r>
      <w:r>
        <w:rPr>
          <w:spacing w:val="-13"/>
        </w:rPr>
        <w:t> </w:t>
      </w:r>
      <w:r>
        <w:rPr/>
        <w:t>INH，共</w:t>
      </w:r>
      <w:r>
        <w:rPr>
          <w:spacing w:val="-13"/>
        </w:rPr>
        <w:t> </w:t>
      </w:r>
      <w:r>
        <w:rPr/>
        <w:t>270</w:t>
      </w:r>
      <w:r>
        <w:rPr>
          <w:spacing w:val="-14"/>
        </w:rPr>
        <w:t> </w:t>
      </w:r>
      <w:r>
        <w:rPr/>
        <w:t>次，計</w:t>
      </w:r>
      <w:r>
        <w:rPr>
          <w:spacing w:val="-13"/>
        </w:rPr>
        <w:t> </w:t>
      </w:r>
      <w:r>
        <w:rPr/>
        <w:t>9</w:t>
      </w:r>
      <w:r>
        <w:rPr>
          <w:spacing w:val="-14"/>
        </w:rPr>
        <w:t> </w:t>
      </w:r>
      <w:r>
        <w:rPr/>
        <w:t>個月療程</w:t>
      </w:r>
      <w:r>
        <w:rPr>
          <w:spacing w:val="-2"/>
          <w:w w:val="95"/>
        </w:rPr>
        <w:t>其他：備</w:t>
      </w:r>
      <w:r>
        <w:rPr>
          <w:spacing w:val="-1"/>
          <w:w w:val="95"/>
        </w:rPr>
        <w:t>註：</w:t>
      </w:r>
      <w:r>
        <w:rPr>
          <w:rFonts w:ascii="Times New Roman" w:hAnsi="Times New Roman" w:eastAsia="Times New Roman"/>
          <w:spacing w:val="-1"/>
          <w:w w:val="95"/>
          <w:u w:val="single"/>
        </w:rPr>
        <w:t> </w:t>
      </w:r>
      <w:r>
        <w:rPr>
          <w:rFonts w:ascii="Times New Roman" w:hAnsi="Times New Roman" w:eastAsia="Times New Roman"/>
          <w:spacing w:val="-1"/>
          <w:u w:val="single"/>
        </w:rPr>
        <w:tab/>
      </w:r>
    </w:p>
    <w:p>
      <w:pPr>
        <w:pStyle w:val="BodyText"/>
        <w:spacing w:line="196" w:lineRule="auto"/>
        <w:ind w:left="813" w:right="1357"/>
        <w:jc w:val="both"/>
      </w:pPr>
      <w:r>
        <w:rPr>
          <w:spacing w:val="-1"/>
          <w:w w:val="95"/>
        </w:rPr>
        <w:t>請配合衛生單位安排，接受由關懷員關懷服藥，以達到服藥不忘記，安全地完成治療，    </w:t>
      </w:r>
      <w:r>
        <w:rPr>
          <w:spacing w:val="-2"/>
        </w:rPr>
        <w:t>發揮潛伏結核感染治療最大效益，減少日後發病風險；除使用 </w:t>
      </w:r>
      <w:r>
        <w:rPr>
          <w:color w:val="C00000"/>
        </w:rPr>
        <w:t>6H/</w:t>
      </w:r>
      <w:r>
        <w:rPr/>
        <w:t>9H</w:t>
      </w:r>
      <w:r>
        <w:rPr>
          <w:spacing w:val="-6"/>
        </w:rPr>
        <w:t> 處方外(仍建議加入都治)，其餘處方必須由關懷員關懷服藥。</w:t>
      </w:r>
    </w:p>
    <w:p>
      <w:pPr>
        <w:pStyle w:val="BodyText"/>
        <w:spacing w:line="196" w:lineRule="auto"/>
        <w:ind w:left="820" w:right="1359" w:hanging="480"/>
        <w:jc w:val="both"/>
      </w:pPr>
      <w:r>
        <w:rPr>
          <w:spacing w:val="-6"/>
          <w:w w:val="95"/>
        </w:rPr>
        <w:t>二、治療過程中，請每月回診進行追蹤，如有任何不舒服(發燒、頭暈、噁心、食慾不振、右     </w:t>
      </w:r>
      <w:r>
        <w:rPr>
          <w:spacing w:val="-8"/>
          <w:w w:val="95"/>
        </w:rPr>
        <w:t>上腹部疼痛、手腳麻木、眼白及皮膚變黃、皮膚癢疹、急性過敏反應等症狀)，請通知關    懷員、衛生所護理人員或醫院結核病個管師，儘速安排返診，由醫師判斷是否繼續服藥    </w:t>
      </w:r>
      <w:r>
        <w:rPr>
          <w:spacing w:val="-8"/>
        </w:rPr>
        <w:t>或其他處置。</w:t>
      </w:r>
    </w:p>
    <w:p>
      <w:pPr>
        <w:pStyle w:val="BodyText"/>
        <w:spacing w:line="196" w:lineRule="auto"/>
        <w:ind w:left="820" w:right="1359" w:hanging="481"/>
      </w:pPr>
      <w:r>
        <w:rPr>
          <w:spacing w:val="-1"/>
          <w:w w:val="95"/>
        </w:rPr>
        <w:t>三、如果本單張未能解答您的問題，或您讀後仍有任何疑慮，請隨時向關懷員、醫師或護理    </w:t>
      </w:r>
      <w:r>
        <w:rPr>
          <w:spacing w:val="-1"/>
        </w:rPr>
        <w:t>人員查詢。</w:t>
      </w:r>
    </w:p>
    <w:p>
      <w:pPr>
        <w:pStyle w:val="BodyText"/>
        <w:tabs>
          <w:tab w:pos="2498" w:val="left" w:leader="none"/>
        </w:tabs>
        <w:spacing w:line="196" w:lineRule="auto"/>
        <w:ind w:left="824" w:right="1356" w:hanging="1"/>
      </w:pPr>
      <w:r>
        <w:rPr/>
        <w:t>本人授權</w:t>
      </w:r>
      <w:r>
        <w:rPr>
          <w:u w:val="single"/>
        </w:rPr>
        <w:t> </w:t>
        <w:tab/>
      </w:r>
      <w:r>
        <w:rPr/>
        <w:t>縣(巿)衛生局下設立之都治關懷站保管本人潛伏結核感染治療藥品，並由關懷員關懷送藥，接受直接觀察治療服務。</w:t>
      </w:r>
    </w:p>
    <w:p>
      <w:pPr>
        <w:pStyle w:val="Heading7"/>
        <w:spacing w:line="401" w:lineRule="exact" w:before="2"/>
        <w:ind w:left="340"/>
        <w:jc w:val="left"/>
      </w:pPr>
      <w:r>
        <w:rPr/>
        <w:t>基於上述聲明：</w:t>
      </w:r>
    </w:p>
    <w:p>
      <w:pPr>
        <w:spacing w:line="360" w:lineRule="exact" w:before="0"/>
        <w:ind w:left="340" w:right="0" w:firstLine="0"/>
        <w:jc w:val="left"/>
        <w:rPr>
          <w:b/>
          <w:sz w:val="24"/>
        </w:rPr>
      </w:pPr>
      <w:r>
        <w:rPr>
          <w:rFonts w:ascii="新細明體" w:hAnsi="新細明體" w:eastAsia="新細明體" w:hint="eastAsia"/>
          <w:sz w:val="24"/>
        </w:rPr>
        <w:t>□</w:t>
      </w:r>
      <w:r>
        <w:rPr>
          <w:b/>
          <w:sz w:val="24"/>
        </w:rPr>
        <w:t>同意</w:t>
      </w:r>
    </w:p>
    <w:p>
      <w:pPr>
        <w:spacing w:line="401" w:lineRule="exact" w:before="0"/>
        <w:ind w:left="340" w:right="0" w:firstLine="0"/>
        <w:jc w:val="left"/>
        <w:rPr>
          <w:b/>
          <w:sz w:val="24"/>
        </w:rPr>
      </w:pPr>
      <w:r>
        <w:rPr>
          <w:rFonts w:ascii="新細明體" w:hAnsi="新細明體" w:eastAsia="新細明體" w:hint="eastAsia"/>
          <w:sz w:val="24"/>
        </w:rPr>
        <w:t>□</w:t>
      </w:r>
      <w:r>
        <w:rPr>
          <w:b/>
          <w:sz w:val="24"/>
        </w:rPr>
        <w:t>不同意</w:t>
      </w:r>
    </w:p>
    <w:p>
      <w:pPr>
        <w:spacing w:after="0" w:line="401" w:lineRule="exact"/>
        <w:jc w:val="left"/>
        <w:rPr>
          <w:sz w:val="24"/>
        </w:rPr>
        <w:sectPr>
          <w:type w:val="continuous"/>
          <w:pgSz w:w="12250" w:h="17190"/>
          <w:pgMar w:top="1500" w:bottom="280" w:left="1020" w:right="0"/>
        </w:sectPr>
      </w:pPr>
    </w:p>
    <w:p>
      <w:pPr>
        <w:pStyle w:val="BodyText"/>
        <w:rPr>
          <w:b/>
          <w:sz w:val="18"/>
        </w:rPr>
      </w:pPr>
    </w:p>
    <w:p>
      <w:pPr>
        <w:spacing w:before="0"/>
        <w:ind w:left="340" w:right="0" w:firstLine="0"/>
        <w:jc w:val="left"/>
        <w:rPr>
          <w:sz w:val="20"/>
        </w:rPr>
      </w:pPr>
      <w:r>
        <w:rPr>
          <w:sz w:val="20"/>
        </w:rPr>
        <w:t>備註：</w:t>
      </w:r>
    </w:p>
    <w:p>
      <w:pPr>
        <w:pStyle w:val="BodyText"/>
        <w:tabs>
          <w:tab w:pos="1683" w:val="left" w:leader="none"/>
          <w:tab w:pos="2314" w:val="left" w:leader="none"/>
          <w:tab w:pos="2947" w:val="left" w:leader="none"/>
        </w:tabs>
        <w:spacing w:line="385" w:lineRule="exact"/>
        <w:ind w:left="340"/>
      </w:pPr>
      <w:r>
        <w:rPr/>
        <w:br w:type="column"/>
      </w:r>
      <w:r>
        <w:rPr/>
        <w:t>中華民國</w:t>
      </w:r>
      <w:r>
        <w:rPr>
          <w:u w:val="single"/>
        </w:rPr>
        <w:t> </w:t>
        <w:tab/>
      </w:r>
      <w:r>
        <w:rPr/>
        <w:t>年</w:t>
      </w:r>
      <w:r>
        <w:rPr>
          <w:u w:val="single"/>
        </w:rPr>
        <w:t> </w:t>
        <w:tab/>
      </w:r>
      <w:r>
        <w:rPr/>
        <w:t>月</w:t>
      </w:r>
      <w:r>
        <w:rPr>
          <w:u w:val="single"/>
        </w:rPr>
        <w:t> </w:t>
        <w:tab/>
      </w:r>
      <w:r>
        <w:rPr/>
        <w:t>日</w:t>
      </w:r>
    </w:p>
    <w:p>
      <w:pPr>
        <w:spacing w:after="0" w:line="385" w:lineRule="exact"/>
        <w:sectPr>
          <w:type w:val="continuous"/>
          <w:pgSz w:w="12250" w:h="17190"/>
          <w:pgMar w:top="1500" w:bottom="280" w:left="1020" w:right="0"/>
          <w:cols w:num="2" w:equalWidth="0">
            <w:col w:w="983" w:space="5698"/>
            <w:col w:w="4549"/>
          </w:cols>
        </w:sectPr>
      </w:pPr>
    </w:p>
    <w:p>
      <w:pPr>
        <w:pStyle w:val="ListParagraph"/>
        <w:numPr>
          <w:ilvl w:val="0"/>
          <w:numId w:val="139"/>
        </w:numPr>
        <w:tabs>
          <w:tab w:pos="641" w:val="left" w:leader="none"/>
        </w:tabs>
        <w:spacing w:line="296" w:lineRule="exact" w:before="0" w:after="0"/>
        <w:ind w:left="640" w:right="0" w:hanging="301"/>
        <w:jc w:val="left"/>
        <w:rPr>
          <w:sz w:val="20"/>
        </w:rPr>
      </w:pPr>
      <w:r>
        <w:rPr>
          <w:spacing w:val="-1"/>
          <w:sz w:val="20"/>
        </w:rPr>
        <w:t>傳染病防治法第 </w:t>
      </w:r>
      <w:r>
        <w:rPr>
          <w:sz w:val="20"/>
        </w:rPr>
        <w:t>48 條：曾與傳染病病人接觸或疑似被傳染者，得由該管主管機關予以留驗；必要時，並</w:t>
      </w:r>
    </w:p>
    <w:p>
      <w:pPr>
        <w:spacing w:line="320" w:lineRule="exact" w:before="0"/>
        <w:ind w:left="640" w:right="0" w:firstLine="0"/>
        <w:jc w:val="left"/>
        <w:rPr>
          <w:sz w:val="20"/>
        </w:rPr>
      </w:pPr>
      <w:r>
        <w:rPr>
          <w:sz w:val="20"/>
        </w:rPr>
        <w:t>得令遷入指定之處所檢查、施行預防接種、投藥、指定特定區域實施管制或隔離等必要之處置。</w:t>
      </w:r>
    </w:p>
    <w:p>
      <w:pPr>
        <w:pStyle w:val="ListParagraph"/>
        <w:numPr>
          <w:ilvl w:val="0"/>
          <w:numId w:val="139"/>
        </w:numPr>
        <w:tabs>
          <w:tab w:pos="641" w:val="left" w:leader="none"/>
        </w:tabs>
        <w:spacing w:line="344" w:lineRule="exact" w:before="0" w:after="0"/>
        <w:ind w:left="640" w:right="0" w:hanging="301"/>
        <w:jc w:val="left"/>
        <w:rPr>
          <w:sz w:val="20"/>
        </w:rPr>
      </w:pPr>
      <w:r>
        <w:rPr>
          <w:sz w:val="20"/>
        </w:rPr>
        <w:t>未成年者應有法定代理人同意簽名。</w:t>
      </w:r>
    </w:p>
    <w:p>
      <w:pPr>
        <w:spacing w:after="0" w:line="344" w:lineRule="exact"/>
        <w:jc w:val="left"/>
        <w:rPr>
          <w:sz w:val="20"/>
        </w:rPr>
        <w:sectPr>
          <w:type w:val="continuous"/>
          <w:pgSz w:w="12250" w:h="17190"/>
          <w:pgMar w:top="1500" w:bottom="280" w:left="1020" w:right="0"/>
        </w:sectPr>
      </w:pPr>
    </w:p>
    <w:p>
      <w:pPr>
        <w:pStyle w:val="BodyText"/>
        <w:spacing w:before="4"/>
        <w:rPr>
          <w:sz w:val="10"/>
        </w:rPr>
      </w:pPr>
    </w:p>
    <w:p>
      <w:pPr>
        <w:pStyle w:val="Heading1"/>
        <w:tabs>
          <w:tab w:pos="5287" w:val="left" w:leader="none"/>
        </w:tabs>
        <w:spacing w:line="240" w:lineRule="auto" w:before="6"/>
        <w:ind w:left="3438"/>
      </w:pPr>
      <w:r>
        <w:rPr/>
        <w:pict>
          <v:group style="position:absolute;margin-left:570.75pt;margin-top:-8.933884pt;width:41.65pt;height:120pt;mso-position-horizontal-relative:page;mso-position-vertical-relative:paragraph;z-index:251880448" coordorigin="11415,-179" coordsize="833,2400">
            <v:shape style="position:absolute;left:11415;top:-179;width:833;height:2400" coordorigin="11415,-179" coordsize="833,2400" path="m12242,-179l11580,-179,11516,-166,11463,-130,11428,-78,11415,-13,11415,2056,11428,2120,11463,2173,11516,2208,11580,2221,12242,2221,12247,2220,12247,-178,12242,-179xe" filled="true" fillcolor="#a6a6a6" stroked="false">
              <v:path arrowok="t"/>
              <v:fill type="solid"/>
            </v:shape>
            <v:shape style="position:absolute;left:11415;top:-179;width:833;height:2400" type="#_x0000_t202" filled="false" stroked="false">
              <v:textbox inset="0,0,0,0">
                <w:txbxContent>
                  <w:p>
                    <w:pPr>
                      <w:spacing w:line="146" w:lineRule="auto" w:before="126"/>
                      <w:ind w:left="136" w:right="474" w:firstLine="0"/>
                      <w:jc w:val="both"/>
                      <w:rPr>
                        <w:sz w:val="22"/>
                      </w:rPr>
                    </w:pPr>
                    <w:r>
                      <w:rPr>
                        <w:sz w:val="22"/>
                      </w:rPr>
                      <w:t>第十一章</w:t>
                    </w:r>
                  </w:p>
                  <w:p>
                    <w:pPr>
                      <w:spacing w:line="141" w:lineRule="auto" w:before="239"/>
                      <w:ind w:left="136" w:right="474" w:firstLine="0"/>
                      <w:jc w:val="both"/>
                      <w:rPr>
                        <w:sz w:val="22"/>
                      </w:rPr>
                    </w:pPr>
                    <w:r>
                      <w:rPr>
                        <w:sz w:val="22"/>
                      </w:rPr>
                      <w:t>都治策略</w:t>
                    </w:r>
                  </w:p>
                </w:txbxContent>
              </v:textbox>
              <w10:wrap type="none"/>
            </v:shape>
            <w10:wrap type="none"/>
          </v:group>
        </w:pict>
      </w:r>
      <w:r>
        <w:rPr/>
        <w:t>第十一章</w:t>
        <w:tab/>
        <w:t>都治策略</w:t>
      </w:r>
    </w:p>
    <w:p>
      <w:pPr>
        <w:pStyle w:val="BodyText"/>
        <w:spacing w:line="225" w:lineRule="auto" w:before="135"/>
        <w:ind w:left="340" w:right="1361" w:firstLine="488"/>
        <w:jc w:val="both"/>
      </w:pPr>
      <w:r>
        <w:rPr/>
        <w:t>全球約有 23%的人口（約 17 億人）可能有潛伏結核感染。</w:t>
      </w:r>
      <w:r>
        <w:rPr>
          <w:color w:val="FF0000"/>
        </w:rPr>
        <w:t>2019 年</w:t>
      </w:r>
      <w:r>
        <w:rPr/>
        <w:t>全球約有一千萬個新結核個案，且</w:t>
      </w:r>
      <w:r>
        <w:rPr>
          <w:color w:val="FF0000"/>
        </w:rPr>
        <w:t>約有 140 萬人(含 120 萬人 HIV-negative 及 20.8 萬人 HIV 感染者)</w:t>
      </w:r>
      <w:r>
        <w:rPr/>
        <w:t>死於結核病，結核病仍為全球十大死因之一。</w:t>
      </w:r>
    </w:p>
    <w:p>
      <w:pPr>
        <w:pStyle w:val="BodyText"/>
        <w:spacing w:line="225" w:lineRule="auto"/>
        <w:ind w:left="340" w:right="1361" w:firstLine="488"/>
        <w:jc w:val="both"/>
      </w:pPr>
      <w:r>
        <w:rPr/>
        <w:t>為了有效控制結核疫情，世界衛生組織於 1994 年建議世界各國推動直接觀察治療策略（疾病管制署譯為都治策略，Directly Observed Treatment, Short-course, DOTS）。迄今都治策略仍是世界衛生組織推動全球結核防治的核心策略之一。</w:t>
      </w:r>
    </w:p>
    <w:p>
      <w:pPr>
        <w:pStyle w:val="BodyText"/>
        <w:spacing w:before="10"/>
        <w:rPr>
          <w:sz w:val="22"/>
        </w:rPr>
      </w:pPr>
    </w:p>
    <w:p>
      <w:pPr>
        <w:pStyle w:val="Heading6"/>
        <w:numPr>
          <w:ilvl w:val="1"/>
          <w:numId w:val="140"/>
        </w:numPr>
        <w:tabs>
          <w:tab w:pos="976" w:val="left" w:leader="none"/>
        </w:tabs>
        <w:spacing w:line="240" w:lineRule="auto" w:before="0" w:after="0"/>
        <w:ind w:left="975" w:right="0" w:hanging="636"/>
        <w:jc w:val="both"/>
      </w:pPr>
      <w:r>
        <w:rPr>
          <w:spacing w:val="3"/>
        </w:rPr>
        <w:t>都治策略緣起</w:t>
      </w:r>
    </w:p>
    <w:p>
      <w:pPr>
        <w:pStyle w:val="BodyText"/>
        <w:spacing w:line="225" w:lineRule="auto" w:before="24"/>
        <w:ind w:left="1000" w:right="1301" w:firstLine="488"/>
        <w:jc w:val="both"/>
      </w:pPr>
      <w:r>
        <w:rPr/>
        <w:t>1960</w:t>
      </w:r>
      <w:r>
        <w:rPr>
          <w:spacing w:val="3"/>
        </w:rPr>
        <w:t> 年代世界衛生組織建議各國要建置「國家結核防治計畫」</w:t>
      </w:r>
      <w:r>
        <w:rPr/>
        <w:t>（National</w:t>
      </w:r>
      <w:r>
        <w:rPr>
          <w:spacing w:val="41"/>
        </w:rPr>
        <w:t> </w:t>
      </w:r>
      <w:r>
        <w:rPr/>
        <w:t>TB </w:t>
      </w:r>
      <w:r>
        <w:rPr>
          <w:spacing w:val="-8"/>
        </w:rPr>
        <w:t>Programme），但是在開發中國家，由於治療結核期程較長，常有病人不規則服藥， </w:t>
      </w:r>
      <w:r>
        <w:rPr>
          <w:spacing w:val="-1"/>
        </w:rPr>
        <w:t>導致治療中斷或失敗，反而衍生更嚴重的抗藥問題。</w:t>
      </w:r>
      <w:r>
        <w:rPr/>
        <w:t>Grzybowski</w:t>
      </w:r>
      <w:r>
        <w:rPr>
          <w:spacing w:val="4"/>
        </w:rPr>
        <w:t> 於 </w:t>
      </w:r>
      <w:r>
        <w:rPr/>
        <w:t>1978</w:t>
      </w:r>
      <w:r>
        <w:rPr>
          <w:spacing w:val="3"/>
        </w:rPr>
        <w:t> 年發表文</w:t>
      </w:r>
      <w:r>
        <w:rPr/>
        <w:t>章指出，塗片耐酸性染色鏡檢陽性的結核病人，如果沒有治療，追蹤 5</w:t>
      </w:r>
      <w:r>
        <w:rPr>
          <w:spacing w:val="4"/>
        </w:rPr>
        <w:t> 年約 </w:t>
      </w:r>
      <w:r>
        <w:rPr/>
        <w:t>50%的</w:t>
      </w:r>
      <w:r>
        <w:rPr>
          <w:spacing w:val="4"/>
        </w:rPr>
        <w:t>病人死亡，約 </w:t>
      </w:r>
      <w:r>
        <w:rPr/>
        <w:t>20</w:t>
      </w:r>
      <w:r>
        <w:rPr>
          <w:spacing w:val="2"/>
        </w:rPr>
        <w:t>%的病人依然是細菌學陽性的潛在傳染源。而開發中國家的結核病人世代追蹤研究發現，治療雖然降低結核病人死亡，治療成功的比例僅約 </w:t>
      </w:r>
      <w:r>
        <w:rPr/>
        <w:t>60</w:t>
      </w:r>
      <w:r>
        <w:rPr>
          <w:spacing w:val="1"/>
        </w:rPr>
        <w:t>%。治</w:t>
      </w:r>
      <w:r>
        <w:rPr>
          <w:spacing w:val="3"/>
        </w:rPr>
        <w:t>療後依然是細菌學陽性的潛在傳染源高達 </w:t>
      </w:r>
      <w:r>
        <w:rPr/>
        <w:t>30%，其比例高於不治療。因此，不當的</w:t>
      </w:r>
      <w:r>
        <w:rPr>
          <w:spacing w:val="2"/>
        </w:rPr>
        <w:t>結核治療，比不治療還糟糕，可能製造出更多傳染源，使結核疫情惡化。</w:t>
      </w:r>
    </w:p>
    <w:p>
      <w:pPr>
        <w:pStyle w:val="BodyText"/>
        <w:spacing w:line="225" w:lineRule="auto"/>
        <w:ind w:left="1000" w:right="1350" w:firstLine="488"/>
        <w:jc w:val="both"/>
      </w:pPr>
      <w:r>
        <w:rPr>
          <w:spacing w:val="2"/>
        </w:rPr>
        <w:t>時任國際抗癆聯盟(</w:t>
      </w:r>
      <w:r>
        <w:rPr/>
        <w:t>International</w:t>
      </w:r>
      <w:r>
        <w:rPr>
          <w:spacing w:val="1"/>
        </w:rPr>
        <w:t> </w:t>
      </w:r>
      <w:r>
        <w:rPr/>
        <w:t>Union</w:t>
      </w:r>
      <w:r>
        <w:rPr>
          <w:spacing w:val="4"/>
        </w:rPr>
        <w:t> </w:t>
      </w:r>
      <w:r>
        <w:rPr/>
        <w:t>Against</w:t>
      </w:r>
      <w:r>
        <w:rPr>
          <w:spacing w:val="6"/>
        </w:rPr>
        <w:t> </w:t>
      </w:r>
      <w:r>
        <w:rPr/>
        <w:t>Tuberculosis</w:t>
      </w:r>
      <w:r>
        <w:rPr>
          <w:spacing w:val="1"/>
        </w:rPr>
        <w:t>, </w:t>
      </w:r>
      <w:r>
        <w:rPr/>
        <w:t>IUAT</w:t>
      </w:r>
      <w:r>
        <w:rPr>
          <w:spacing w:val="2"/>
        </w:rPr>
        <w:t>)科學活動</w:t>
      </w:r>
      <w:r>
        <w:rPr>
          <w:spacing w:val="3"/>
        </w:rPr>
        <w:t>部主任的 </w:t>
      </w:r>
      <w:r>
        <w:rPr/>
        <w:t>Karel</w:t>
      </w:r>
      <w:r>
        <w:rPr>
          <w:spacing w:val="38"/>
        </w:rPr>
        <w:t> </w:t>
      </w:r>
      <w:r>
        <w:rPr/>
        <w:t>Styblo</w:t>
      </w:r>
      <w:r>
        <w:rPr>
          <w:spacing w:val="2"/>
        </w:rPr>
        <w:t> 認同不適當的治療可能比不治療還糟糕的概念，在 </w:t>
      </w:r>
      <w:r>
        <w:rPr/>
        <w:t>9</w:t>
      </w:r>
      <w:r>
        <w:rPr>
          <w:spacing w:val="3"/>
        </w:rPr>
        <w:t> 個開發</w:t>
      </w:r>
      <w:r>
        <w:rPr>
          <w:spacing w:val="10"/>
        </w:rPr>
        <w:t>中國家展開結核防治合作計畫。起先使用  </w:t>
      </w:r>
      <w:r>
        <w:rPr/>
        <w:t>12</w:t>
      </w:r>
      <w:r>
        <w:rPr>
          <w:spacing w:val="8"/>
        </w:rPr>
        <w:t>  個月治療處方，結果治療成功率不</w:t>
      </w:r>
    </w:p>
    <w:p>
      <w:pPr>
        <w:pStyle w:val="BodyText"/>
        <w:spacing w:line="406" w:lineRule="exact"/>
        <w:ind w:left="1000"/>
      </w:pPr>
      <w:r>
        <w:rPr>
          <w:spacing w:val="2"/>
        </w:rPr>
        <w:t>佳，起因於高比例的個案中斷治療；後來使用 </w:t>
      </w:r>
      <w:r>
        <w:rPr/>
        <w:t>8 個月短程治療處方，終於達成 80%</w:t>
      </w:r>
    </w:p>
    <w:p>
      <w:pPr>
        <w:pStyle w:val="BodyText"/>
        <w:spacing w:line="414" w:lineRule="exact"/>
        <w:ind w:left="1000"/>
      </w:pPr>
      <w:r>
        <w:rPr>
          <w:spacing w:val="2"/>
        </w:rPr>
        <w:t>以上的治療成功率，降低了治療後細菌學陽性個案的比例。</w:t>
      </w:r>
    </w:p>
    <w:p>
      <w:pPr>
        <w:pStyle w:val="BodyText"/>
        <w:spacing w:line="225" w:lineRule="auto"/>
        <w:ind w:left="1000" w:right="1325" w:firstLine="488"/>
        <w:jc w:val="both"/>
      </w:pPr>
      <w:r>
        <w:rPr>
          <w:spacing w:val="2"/>
        </w:rPr>
        <w:t>世界衛生組織採納 </w:t>
      </w:r>
      <w:r>
        <w:rPr/>
        <w:t>Styblo</w:t>
      </w:r>
      <w:r>
        <w:rPr>
          <w:spacing w:val="3"/>
        </w:rPr>
        <w:t> 的結核防治模式，規劃全新的全球結核病防治策略， 並於 </w:t>
      </w:r>
      <w:r>
        <w:rPr/>
        <w:t>1994</w:t>
      </w:r>
      <w:r>
        <w:rPr>
          <w:spacing w:val="-2"/>
        </w:rPr>
        <w:t> 年以都治策略之名，推薦給世界各國。</w:t>
      </w:r>
      <w:r>
        <w:rPr/>
        <w:t>1997</w:t>
      </w:r>
      <w:r>
        <w:rPr>
          <w:spacing w:val="-1"/>
        </w:rPr>
        <w:t> 年更宣布「都治是本世紀結</w:t>
      </w:r>
      <w:r>
        <w:rPr>
          <w:spacing w:val="3"/>
        </w:rPr>
        <w:t>核病防治最重要的發展」，是全球對抗結核病的標準模式。</w:t>
      </w:r>
    </w:p>
    <w:p>
      <w:pPr>
        <w:pStyle w:val="BodyText"/>
        <w:spacing w:line="225" w:lineRule="auto"/>
        <w:ind w:left="1000" w:right="1356" w:firstLine="488"/>
        <w:jc w:val="both"/>
      </w:pPr>
      <w:r>
        <w:rPr>
          <w:spacing w:val="2"/>
        </w:rPr>
        <w:t>依據世界衛生組織闡述，都治策略包含五大要項：(1)</w:t>
      </w:r>
      <w:r>
        <w:rPr>
          <w:spacing w:val="4"/>
        </w:rPr>
        <w:t>政府對結核病防治的政治</w:t>
      </w:r>
      <w:r>
        <w:rPr>
          <w:spacing w:val="2"/>
        </w:rPr>
        <w:t>承諾，確保持續性地提供足夠資源，作為結核病防治所需；(2)</w:t>
      </w:r>
      <w:r>
        <w:rPr>
          <w:spacing w:val="4"/>
        </w:rPr>
        <w:t>以塗片耐酸性染色鏡</w:t>
      </w:r>
      <w:r>
        <w:rPr>
          <w:spacing w:val="2"/>
        </w:rPr>
        <w:t>檢發現病人，以優質檢驗快速找出傳染性的個案；(3)</w:t>
      </w:r>
      <w:r>
        <w:rPr>
          <w:spacing w:val="4"/>
        </w:rPr>
        <w:t>標準化的治療處方，在關懷員</w:t>
      </w:r>
      <w:r>
        <w:rPr>
          <w:spacing w:val="2"/>
        </w:rPr>
        <w:t>直接觀察下讓個案規則服下抗結核藥物；(4)</w:t>
      </w:r>
      <w:r>
        <w:rPr>
          <w:spacing w:val="4"/>
        </w:rPr>
        <w:t>充足的藥物供應，無間斷地提供良好品</w:t>
      </w:r>
      <w:r>
        <w:rPr>
          <w:spacing w:val="2"/>
        </w:rPr>
        <w:t>質的抗結核藥物；(5)</w:t>
      </w:r>
      <w:r>
        <w:rPr>
          <w:spacing w:val="4"/>
        </w:rPr>
        <w:t>標準化的登記與通報，追蹤與評估治療成效。因此都治策略不</w:t>
      </w:r>
      <w:r>
        <w:rPr>
          <w:spacing w:val="-12"/>
        </w:rPr>
        <w:t>只是「目視服藥」，找一個關懷員看著病人把藥吃下去、隨時回報不合作而已，它是</w:t>
      </w:r>
      <w:r>
        <w:rPr>
          <w:spacing w:val="3"/>
        </w:rPr>
        <w:t>一套完整的、結合醫療與公共衛生的防治體系。</w:t>
      </w:r>
    </w:p>
    <w:p>
      <w:pPr>
        <w:pStyle w:val="BodyText"/>
        <w:spacing w:line="416" w:lineRule="exact"/>
        <w:ind w:left="1489"/>
        <w:jc w:val="both"/>
      </w:pPr>
      <w:r>
        <w:rPr/>
        <w:t>都治的基本精神，係以病人為中心（patient-centered approach），整個策略</w:t>
      </w:r>
    </w:p>
    <w:p>
      <w:pPr>
        <w:spacing w:after="0" w:line="416" w:lineRule="exact"/>
        <w:jc w:val="both"/>
        <w:sectPr>
          <w:pgSz w:w="12250" w:h="17190"/>
          <w:pgMar w:header="0" w:footer="734" w:top="1460" w:bottom="1020" w:left="1020" w:right="0"/>
        </w:sectPr>
      </w:pPr>
    </w:p>
    <w:p>
      <w:pPr>
        <w:pStyle w:val="BodyText"/>
        <w:spacing w:line="225" w:lineRule="auto" w:before="44"/>
        <w:ind w:left="1000" w:right="1362"/>
        <w:jc w:val="both"/>
      </w:pPr>
      <w:r>
        <w:rPr>
          <w:spacing w:val="-8"/>
        </w:rPr>
        <w:t>的核心靈魂人物，是臨床負責診療病人的醫師。所有的工作人員，包括公共衛生護理</w:t>
      </w:r>
      <w:r>
        <w:rPr>
          <w:spacing w:val="-12"/>
        </w:rPr>
        <w:t>人員、藥師、給藥關懷員、醫檢人員都必須與診療醫師，經常討論，掌握病人的病情</w:t>
      </w:r>
      <w:r>
        <w:rPr>
          <w:spacing w:val="3"/>
        </w:rPr>
        <w:t>進展與治療現況，依國家結核病防治計畫的各項標準作業程序處理各種問題。</w:t>
      </w:r>
    </w:p>
    <w:p>
      <w:pPr>
        <w:pStyle w:val="BodyText"/>
        <w:spacing w:line="225" w:lineRule="auto"/>
        <w:ind w:left="1000" w:right="1313" w:firstLine="492"/>
        <w:jc w:val="right"/>
      </w:pPr>
      <w:r>
        <w:rPr/>
        <w:t>而直接觀察服藥並不只是保證每一劑藥物都被病人服下，設計給藥關懷員的目的在於：(1)確保送到病人手上的結核藥物（特別指 rifampin）都在目視確認下為病人吞服；(2)確保不按規服藥的病人手上都不會有結核藥物，以降低製造抗藥菌株的可能性；(3)確保病人一旦不按規服藥，相關人員在當天就能掌握狀況、採取行動。所以給藥關懷員不一定非送藥到「府」不可， 亦可考慮以較高的誘因</w:t>
      </w:r>
    </w:p>
    <w:p>
      <w:pPr>
        <w:pStyle w:val="BodyText"/>
        <w:spacing w:line="418" w:lineRule="exact"/>
        <w:ind w:left="1000"/>
      </w:pPr>
      <w:r>
        <w:rPr/>
        <w:t>（incentives）設計，鼓勵病人到雙方合意的指定地點服藥。</w:t>
      </w:r>
    </w:p>
    <w:p>
      <w:pPr>
        <w:pStyle w:val="BodyText"/>
        <w:spacing w:before="10"/>
        <w:rPr>
          <w:sz w:val="20"/>
        </w:rPr>
      </w:pPr>
    </w:p>
    <w:p>
      <w:pPr>
        <w:pStyle w:val="Heading6"/>
        <w:numPr>
          <w:ilvl w:val="1"/>
          <w:numId w:val="140"/>
        </w:numPr>
        <w:tabs>
          <w:tab w:pos="976" w:val="left" w:leader="none"/>
        </w:tabs>
        <w:spacing w:line="240" w:lineRule="auto" w:before="0" w:after="0"/>
        <w:ind w:left="975" w:right="0" w:hanging="636"/>
        <w:jc w:val="both"/>
      </w:pPr>
      <w:r>
        <w:rPr>
          <w:spacing w:val="3"/>
        </w:rPr>
        <w:t>臺灣都治策略</w:t>
      </w:r>
    </w:p>
    <w:p>
      <w:pPr>
        <w:pStyle w:val="BodyText"/>
        <w:spacing w:line="225" w:lineRule="auto" w:before="24"/>
        <w:ind w:left="1000" w:right="1357" w:firstLine="488"/>
        <w:jc w:val="both"/>
      </w:pPr>
      <w:r>
        <w:rPr>
          <w:spacing w:val="-1"/>
        </w:rPr>
        <w:t>結核病一直是威脅我國民健康的嚴重傳染疾病，至今每年仍有近 </w:t>
      </w:r>
      <w:r>
        <w:rPr/>
        <w:t>8,000</w:t>
      </w:r>
      <w:r>
        <w:rPr>
          <w:spacing w:val="4"/>
        </w:rPr>
        <w:t> 例的新</w:t>
      </w:r>
      <w:r>
        <w:rPr>
          <w:spacing w:val="-10"/>
        </w:rPr>
        <w:t>發個案，不但危害民眾之生命健康，耗損社會生產力，更嚴重影響國家競爭力及國際</w:t>
      </w:r>
      <w:r>
        <w:rPr>
          <w:spacing w:val="-3"/>
        </w:rPr>
        <w:t>形象。我國自 </w:t>
      </w:r>
      <w:r>
        <w:rPr/>
        <w:t>2006</w:t>
      </w:r>
      <w:r>
        <w:rPr>
          <w:spacing w:val="3"/>
        </w:rPr>
        <w:t> 年 </w:t>
      </w:r>
      <w:r>
        <w:rPr/>
        <w:t>4</w:t>
      </w:r>
      <w:r>
        <w:rPr>
          <w:spacing w:val="-2"/>
        </w:rPr>
        <w:t> 月推動都治計畫，初期以最具傳染性之痰塗片陽性病人為</w:t>
      </w:r>
      <w:r>
        <w:rPr>
          <w:spacing w:val="5"/>
        </w:rPr>
        <w:t>目標對象，其後陸續擴增對象包括痰培養陽性、無細菌學證據醫師確診之不合作個</w:t>
      </w:r>
      <w:r>
        <w:rPr>
          <w:spacing w:val="-11"/>
        </w:rPr>
        <w:t>案、街友、重開個案、山地鄉等結核病個案。最後，痰陰性但有用藥的個案也全面納</w:t>
      </w:r>
      <w:r>
        <w:rPr>
          <w:spacing w:val="2"/>
        </w:rPr>
        <w:t>入。我國都治策略簡單介紹如下：</w:t>
      </w:r>
    </w:p>
    <w:p>
      <w:pPr>
        <w:pStyle w:val="Heading7"/>
        <w:numPr>
          <w:ilvl w:val="0"/>
          <w:numId w:val="141"/>
        </w:numPr>
        <w:tabs>
          <w:tab w:pos="1004" w:val="left" w:leader="none"/>
        </w:tabs>
        <w:spacing w:line="427" w:lineRule="exact" w:before="95" w:after="0"/>
        <w:ind w:left="1003" w:right="0" w:hanging="367"/>
        <w:jc w:val="both"/>
      </w:pPr>
      <w:r>
        <w:rPr>
          <w:spacing w:val="3"/>
        </w:rPr>
        <w:t>政府對結核病防治的政治承諾</w:t>
      </w:r>
    </w:p>
    <w:p>
      <w:pPr>
        <w:pStyle w:val="BodyText"/>
        <w:spacing w:line="225" w:lineRule="auto" w:before="5"/>
        <w:ind w:left="1000" w:right="1357" w:firstLine="488"/>
        <w:jc w:val="both"/>
      </w:pPr>
      <w:r>
        <w:rPr>
          <w:spacing w:val="-9"/>
        </w:rPr>
        <w:t>都治策略成功，其首要要件是政府的承諾，不只是向人民承諾，中央及地方彼此</w:t>
      </w:r>
      <w:r>
        <w:rPr>
          <w:spacing w:val="5"/>
        </w:rPr>
        <w:t>之間的承諾及信賴亦是結核病防治成功的重要基礎。中央政府於推動「結核病十年</w:t>
      </w:r>
      <w:r>
        <w:rPr>
          <w:spacing w:val="4"/>
        </w:rPr>
        <w:t>減半全民動員計畫」之前，每年僅編列結核病防治經費約新臺幣</w:t>
      </w:r>
      <w:r>
        <w:rPr>
          <w:spacing w:val="6"/>
        </w:rPr>
        <w:t>（</w:t>
      </w:r>
      <w:r>
        <w:rPr>
          <w:spacing w:val="5"/>
        </w:rPr>
        <w:t>以下同</w:t>
      </w:r>
      <w:r>
        <w:rPr>
          <w:spacing w:val="3"/>
        </w:rPr>
        <w:t>）2</w:t>
      </w:r>
      <w:r>
        <w:rPr>
          <w:spacing w:val="5"/>
        </w:rPr>
        <w:t> 億餘</w:t>
      </w:r>
      <w:r>
        <w:rPr/>
        <w:t>元。2006</w:t>
      </w:r>
      <w:r>
        <w:rPr>
          <w:spacing w:val="-1"/>
        </w:rPr>
        <w:t> 年「結核病十年減半全民動員計畫」開始執行，每年預算陡增至將近 </w:t>
      </w:r>
      <w:r>
        <w:rPr/>
        <w:t>10</w:t>
      </w:r>
    </w:p>
    <w:p>
      <w:pPr>
        <w:pStyle w:val="BodyText"/>
        <w:spacing w:line="405" w:lineRule="exact"/>
        <w:ind w:left="1000"/>
        <w:jc w:val="both"/>
      </w:pPr>
      <w:r>
        <w:rPr/>
        <w:t>億元，其中逾 3 億元用於補助各縣市執行都治。</w:t>
      </w:r>
    </w:p>
    <w:p>
      <w:pPr>
        <w:pStyle w:val="BodyText"/>
        <w:spacing w:line="225" w:lineRule="auto" w:before="5"/>
        <w:ind w:left="1000" w:right="1363" w:firstLine="488"/>
        <w:jc w:val="both"/>
      </w:pPr>
      <w:r>
        <w:rPr/>
        <w:t>疾病管制署初期追求執行率的成長，然後逐步增加對於執行品質的要求，並自2010 年 7 月開始推動都治執行品質監測。</w:t>
      </w:r>
      <w:r>
        <w:rPr>
          <w:color w:val="FF0000"/>
        </w:rPr>
        <w:t>2020  年統計資料顯示，細菌學陽性個案之都治執行率達 98%以上</w:t>
      </w:r>
      <w:r>
        <w:rPr/>
        <w:t>，A 級親自關懷比率也可達 80%以上。目前全國約有</w:t>
      </w:r>
    </w:p>
    <w:p>
      <w:pPr>
        <w:pStyle w:val="BodyText"/>
        <w:spacing w:line="225" w:lineRule="auto"/>
        <w:ind w:left="1000" w:right="1357"/>
        <w:jc w:val="both"/>
      </w:pPr>
      <w:r>
        <w:rPr/>
        <w:t>6 百多位都治關懷員每日執行直接觀察治療關懷病人服藥之工作。自都治工作落實執行後，我國結核病發生率，</w:t>
      </w:r>
      <w:r>
        <w:rPr>
          <w:color w:val="FF0000"/>
        </w:rPr>
        <w:t>以平均每年 5-6%的降幅持續下降，2020 年達每 10 萬人口 33 人</w:t>
      </w:r>
      <w:r>
        <w:rPr/>
        <w:t>，效益卓著。</w:t>
      </w:r>
    </w:p>
    <w:p>
      <w:pPr>
        <w:pStyle w:val="Heading7"/>
        <w:numPr>
          <w:ilvl w:val="0"/>
          <w:numId w:val="141"/>
        </w:numPr>
        <w:tabs>
          <w:tab w:pos="1004" w:val="left" w:leader="none"/>
        </w:tabs>
        <w:spacing w:line="240" w:lineRule="auto" w:before="95" w:after="0"/>
        <w:ind w:left="1003" w:right="0" w:hanging="367"/>
        <w:jc w:val="both"/>
      </w:pPr>
      <w:r>
        <w:rPr>
          <w:spacing w:val="2"/>
        </w:rPr>
        <w:t>品質良好的診斷</w:t>
      </w:r>
    </w:p>
    <w:p>
      <w:pPr>
        <w:pStyle w:val="BodyText"/>
        <w:spacing w:line="225" w:lineRule="auto" w:before="28"/>
        <w:ind w:left="1000" w:right="1357" w:firstLine="488"/>
        <w:jc w:val="both"/>
      </w:pPr>
      <w:r>
        <w:rPr>
          <w:spacing w:val="-6"/>
        </w:rPr>
        <w:t>診斷是疾病控制的第一步，如何有效進行結核病鑑別診斷更顯重要。因此，我國</w:t>
      </w:r>
      <w:r>
        <w:rPr>
          <w:spacing w:val="-7"/>
        </w:rPr>
        <w:t>長期推動結核病人均應完成塗片、培養、菌種鑑定及藥物感受性試驗之完整檢驗，並</w:t>
      </w:r>
      <w:r>
        <w:rPr>
          <w:spacing w:val="-5"/>
        </w:rPr>
        <w:t>透過建立結核病合約實驗室及認可實驗室制度，加強實驗室管理、提升檢驗品質。另</w:t>
      </w:r>
      <w:r>
        <w:rPr>
          <w:spacing w:val="5"/>
        </w:rPr>
        <w:t>外引進分子檢驗技術快速診斷抗藥結核，縮短檢驗時效，提供即時高品質的診斷服</w:t>
      </w:r>
    </w:p>
    <w:p>
      <w:pPr>
        <w:spacing w:after="0" w:line="225" w:lineRule="auto"/>
        <w:jc w:val="both"/>
        <w:sectPr>
          <w:pgSz w:w="12250" w:h="17190"/>
          <w:pgMar w:header="0" w:footer="734" w:top="1460" w:bottom="1020" w:left="1020" w:right="0"/>
        </w:sectPr>
      </w:pPr>
    </w:p>
    <w:p>
      <w:pPr>
        <w:pStyle w:val="BodyText"/>
        <w:spacing w:line="225" w:lineRule="auto" w:before="44"/>
        <w:ind w:left="1000" w:right="1357"/>
        <w:jc w:val="both"/>
      </w:pPr>
      <w:r>
        <w:rPr/>
        <w:pict>
          <v:group style="position:absolute;margin-left:570.75pt;margin-top:.463111pt;width:41.65pt;height:120pt;mso-position-horizontal-relative:page;mso-position-vertical-relative:paragraph;z-index:251882496" coordorigin="11415,9" coordsize="833,2400">
            <v:shape style="position:absolute;left:11415;top:9;width:833;height:2400" coordorigin="11415,9" coordsize="833,2400" path="m12242,9l11580,9,11516,22,11463,58,11428,110,11415,175,11415,2244,11428,2308,11463,2361,11516,2396,11580,2409,12242,2409,12247,2408,12247,10,12242,9xe" filled="true" fillcolor="#a6a6a6" stroked="false">
              <v:path arrowok="t"/>
              <v:fill type="solid"/>
            </v:shape>
            <v:shape style="position:absolute;left:11415;top:9;width:833;height:2400" type="#_x0000_t202" filled="false" stroked="false">
              <v:textbox inset="0,0,0,0">
                <w:txbxContent>
                  <w:p>
                    <w:pPr>
                      <w:spacing w:line="146" w:lineRule="auto" w:before="126"/>
                      <w:ind w:left="136" w:right="474" w:firstLine="0"/>
                      <w:jc w:val="both"/>
                      <w:rPr>
                        <w:sz w:val="22"/>
                      </w:rPr>
                    </w:pPr>
                    <w:r>
                      <w:rPr>
                        <w:sz w:val="22"/>
                      </w:rPr>
                      <w:t>第十一章</w:t>
                    </w:r>
                  </w:p>
                  <w:p>
                    <w:pPr>
                      <w:spacing w:line="141" w:lineRule="auto" w:before="239"/>
                      <w:ind w:left="136" w:right="474" w:firstLine="0"/>
                      <w:jc w:val="both"/>
                      <w:rPr>
                        <w:sz w:val="22"/>
                      </w:rPr>
                    </w:pPr>
                    <w:r>
                      <w:rPr>
                        <w:sz w:val="22"/>
                      </w:rPr>
                      <w:t>都治策略</w:t>
                    </w:r>
                  </w:p>
                </w:txbxContent>
              </v:textbox>
              <w10:wrap type="none"/>
            </v:shape>
            <w10:wrap type="none"/>
          </v:group>
        </w:pict>
      </w:r>
      <w:r>
        <w:rPr>
          <w:spacing w:val="-10"/>
        </w:rPr>
        <w:t>務。除了實驗室的品質提升，送驗過程的品質也攸關後續檢驗結果，疾病管制署定期</w:t>
      </w:r>
      <w:r>
        <w:rPr>
          <w:spacing w:val="5"/>
        </w:rPr>
        <w:t>監測檢體送驗時效及檢體不良比率，作為改善之參考。此外，透過資訊系統功能擴</w:t>
      </w:r>
      <w:r>
        <w:rPr>
          <w:spacing w:val="3"/>
        </w:rPr>
        <w:t>充，進行資料自動交換介接，大幅提升時效並反饋提醒醫院通報。</w:t>
      </w:r>
    </w:p>
    <w:p>
      <w:pPr>
        <w:pStyle w:val="Heading7"/>
        <w:numPr>
          <w:ilvl w:val="0"/>
          <w:numId w:val="141"/>
        </w:numPr>
        <w:tabs>
          <w:tab w:pos="1004" w:val="left" w:leader="none"/>
        </w:tabs>
        <w:spacing w:line="438" w:lineRule="exact" w:before="85" w:after="0"/>
        <w:ind w:left="1003" w:right="0" w:hanging="367"/>
        <w:jc w:val="both"/>
      </w:pPr>
      <w:r>
        <w:rPr>
          <w:spacing w:val="3"/>
        </w:rPr>
        <w:t>標準化的治療處方</w:t>
      </w:r>
    </w:p>
    <w:p>
      <w:pPr>
        <w:pStyle w:val="BodyText"/>
        <w:spacing w:line="223" w:lineRule="auto" w:before="20"/>
        <w:ind w:left="1000" w:right="1357" w:firstLine="488"/>
        <w:jc w:val="both"/>
      </w:pPr>
      <w:r>
        <w:rPr>
          <w:spacing w:val="5"/>
        </w:rPr>
        <w:t>為了提升臨床醫師對結核病的診療水準，正確使用抗結核用藥，疾病管制署邀</w:t>
      </w:r>
      <w:r>
        <w:rPr>
          <w:spacing w:val="-8"/>
        </w:rPr>
        <w:t>請國內結核病診治專家，編寫及修正「結核病診治指引」供醫界參考。另為協助診療</w:t>
      </w:r>
      <w:r>
        <w:rPr>
          <w:spacing w:val="5"/>
        </w:rPr>
        <w:t>醫師進行結核病人之診治及疑義處理，疾病管制署邀集專家成立中央及各分區級之</w:t>
      </w:r>
    </w:p>
    <w:p>
      <w:pPr>
        <w:pStyle w:val="BodyText"/>
        <w:spacing w:line="223" w:lineRule="auto" w:before="2"/>
        <w:ind w:left="1000" w:right="1357"/>
        <w:jc w:val="both"/>
      </w:pPr>
      <w:r>
        <w:rPr>
          <w:spacing w:val="-9"/>
        </w:rPr>
        <w:t>「結核病診療諮詢小組」；透過醫院感染管制作業，要求醫院設置結核病委員會，即</w:t>
      </w:r>
      <w:r>
        <w:rPr>
          <w:spacing w:val="-7"/>
        </w:rPr>
        <w:t>時進行討論及提供諮詢，就病人診治過程中遭遇之問題，提出專業建議，以幫助病人</w:t>
      </w:r>
      <w:r>
        <w:rPr>
          <w:spacing w:val="5"/>
        </w:rPr>
        <w:t>順利完成治療。而漫長的治療期程及可能出現的不適，則透過醫院結核病個案管理</w:t>
      </w:r>
      <w:r>
        <w:rPr>
          <w:spacing w:val="-10"/>
        </w:rPr>
        <w:t>師、公衛管理人員及關懷員之協助與陪伴，讓我國所有結核病人，不論貧富，皆可獲</w:t>
      </w:r>
      <w:r>
        <w:rPr>
          <w:spacing w:val="3"/>
        </w:rPr>
        <w:t>得公平與優質的治療與照護。</w:t>
      </w:r>
    </w:p>
    <w:p>
      <w:pPr>
        <w:pStyle w:val="Heading7"/>
        <w:numPr>
          <w:ilvl w:val="0"/>
          <w:numId w:val="141"/>
        </w:numPr>
        <w:tabs>
          <w:tab w:pos="1004" w:val="left" w:leader="none"/>
        </w:tabs>
        <w:spacing w:line="438" w:lineRule="exact" w:before="89" w:after="0"/>
        <w:ind w:left="1003" w:right="0" w:hanging="367"/>
        <w:jc w:val="both"/>
      </w:pPr>
      <w:r>
        <w:rPr>
          <w:spacing w:val="3"/>
        </w:rPr>
        <w:t>充足且具品質的藥物供應</w:t>
      </w:r>
    </w:p>
    <w:p>
      <w:pPr>
        <w:pStyle w:val="BodyText"/>
        <w:spacing w:line="223" w:lineRule="auto" w:before="19"/>
        <w:ind w:left="1000" w:right="1357" w:firstLine="488"/>
        <w:jc w:val="both"/>
      </w:pPr>
      <w:r>
        <w:rPr>
          <w:spacing w:val="5"/>
        </w:rPr>
        <w:t>我國有著全民健保體系的支持與豐沛的醫療資源，民眾就醫較無困難。惟為確保標準治療及保護二線抗結核藥物，疾病管制署以公務預算採購二線抗結核藥物， </w:t>
      </w:r>
      <w:r>
        <w:rPr>
          <w:spacing w:val="-10"/>
        </w:rPr>
        <w:t>透過申請、審查，公費提供有需要的結核個案者使用，更參考世界衛生組織針對多重</w:t>
      </w:r>
      <w:r>
        <w:rPr>
          <w:spacing w:val="5"/>
        </w:rPr>
        <w:t>抗藥結核提出的治療建議，透過專案方式引進新款抗結核藥物，讓個案能有更多治</w:t>
      </w:r>
      <w:r>
        <w:rPr>
          <w:spacing w:val="-10"/>
        </w:rPr>
        <w:t>療藥物的選擇。另為確保藥物品質，除委託研究計畫進行檢測外，並與食品藥物管理</w:t>
      </w:r>
      <w:r>
        <w:rPr>
          <w:spacing w:val="3"/>
        </w:rPr>
        <w:t>署合作進行監測。</w:t>
      </w:r>
    </w:p>
    <w:p>
      <w:pPr>
        <w:pStyle w:val="Heading7"/>
        <w:numPr>
          <w:ilvl w:val="0"/>
          <w:numId w:val="141"/>
        </w:numPr>
        <w:tabs>
          <w:tab w:pos="1004" w:val="left" w:leader="none"/>
        </w:tabs>
        <w:spacing w:line="438" w:lineRule="exact" w:before="90" w:after="0"/>
        <w:ind w:left="1003" w:right="0" w:hanging="367"/>
        <w:jc w:val="both"/>
      </w:pPr>
      <w:r>
        <w:rPr>
          <w:spacing w:val="3"/>
        </w:rPr>
        <w:t>標準化的登記與通報系統</w:t>
      </w:r>
    </w:p>
    <w:p>
      <w:pPr>
        <w:pStyle w:val="BodyText"/>
        <w:spacing w:line="423" w:lineRule="exact"/>
        <w:ind w:left="1489"/>
        <w:jc w:val="both"/>
      </w:pPr>
      <w:r>
        <w:rPr/>
        <w:t>我國結核病的通報登記由早年侷限於痰陽肺結核個案，逐年演進至 86 年成立</w:t>
      </w:r>
    </w:p>
    <w:p>
      <w:pPr>
        <w:pStyle w:val="BodyText"/>
        <w:spacing w:line="223" w:lineRule="auto" w:before="6"/>
        <w:ind w:left="1000" w:right="1301"/>
        <w:jc w:val="both"/>
      </w:pPr>
      <w:r>
        <w:rPr>
          <w:spacing w:val="-6"/>
        </w:rPr>
        <w:t>「全國資料庫」，搭配健保「不通報不給付」政策，並於 </w:t>
      </w:r>
      <w:r>
        <w:rPr/>
        <w:t>88</w:t>
      </w:r>
      <w:r>
        <w:rPr>
          <w:spacing w:val="-4"/>
        </w:rPr>
        <w:t> 年「傳染病防治法」， </w:t>
      </w:r>
      <w:r>
        <w:rPr/>
        <w:t>規定疑似即須通報。90</w:t>
      </w:r>
      <w:r>
        <w:rPr>
          <w:spacing w:val="1"/>
        </w:rPr>
        <w:t> 年成立網路版通報系統與「</w:t>
      </w:r>
      <w:r>
        <w:rPr>
          <w:color w:val="FF0000"/>
          <w:spacing w:val="3"/>
        </w:rPr>
        <w:t>結核病追蹤管理系統</w:t>
      </w:r>
      <w:r>
        <w:rPr>
          <w:spacing w:val="-6"/>
        </w:rPr>
        <w:t>」，將所有</w:t>
      </w:r>
      <w:r>
        <w:rPr>
          <w:spacing w:val="6"/>
        </w:rPr>
        <w:t>個案納入登記並進行系統化的追蹤紀錄，開始進入標準化與系統化的時代。另推動</w:t>
      </w:r>
      <w:r>
        <w:rPr>
          <w:spacing w:val="-8"/>
        </w:rPr>
        <w:t>實驗室資料介接，第一時間接獲實驗室檢驗結果，勾稽比對，將尚未通報個案反饋醫</w:t>
      </w:r>
      <w:r>
        <w:rPr>
          <w:spacing w:val="3"/>
        </w:rPr>
        <w:t>院儘速通報，讓我國通報系統更臻完整。</w:t>
      </w:r>
    </w:p>
    <w:p>
      <w:pPr>
        <w:pStyle w:val="BodyText"/>
        <w:spacing w:before="2"/>
        <w:rPr>
          <w:sz w:val="20"/>
        </w:rPr>
      </w:pPr>
    </w:p>
    <w:p>
      <w:pPr>
        <w:pStyle w:val="Heading6"/>
        <w:numPr>
          <w:ilvl w:val="1"/>
          <w:numId w:val="140"/>
        </w:numPr>
        <w:tabs>
          <w:tab w:pos="976" w:val="left" w:leader="none"/>
        </w:tabs>
        <w:spacing w:line="240" w:lineRule="auto" w:before="0" w:after="0"/>
        <w:ind w:left="975" w:right="0" w:hanging="636"/>
        <w:jc w:val="left"/>
      </w:pPr>
      <w:r>
        <w:rPr>
          <w:spacing w:val="2"/>
        </w:rPr>
        <w:t>直接觀察治療(</w:t>
      </w:r>
      <w:r>
        <w:rPr/>
        <w:t>DOT</w:t>
      </w:r>
      <w:r>
        <w:rPr>
          <w:spacing w:val="2"/>
        </w:rPr>
        <w:t>)現況</w:t>
      </w:r>
    </w:p>
    <w:p>
      <w:pPr>
        <w:pStyle w:val="Heading7"/>
        <w:numPr>
          <w:ilvl w:val="0"/>
          <w:numId w:val="142"/>
        </w:numPr>
        <w:tabs>
          <w:tab w:pos="993" w:val="left" w:leader="none"/>
        </w:tabs>
        <w:spacing w:line="240" w:lineRule="auto" w:before="4" w:after="0"/>
        <w:ind w:left="992" w:right="0" w:hanging="367"/>
        <w:jc w:val="both"/>
      </w:pPr>
      <w:r>
        <w:rPr>
          <w:spacing w:val="4"/>
        </w:rPr>
        <w:t>對象</w:t>
      </w:r>
    </w:p>
    <w:p>
      <w:pPr>
        <w:pStyle w:val="BodyText"/>
        <w:spacing w:line="225" w:lineRule="auto" w:before="16"/>
        <w:ind w:left="1000" w:right="1363" w:firstLine="488"/>
      </w:pPr>
      <w:r>
        <w:rPr/>
        <w:t>服用抗結核藥物之結核病個案，細菌學陽性個案提供全程都治服務，細菌學陰性個案考量傳染力較低且資源有限，所以僅提供兩個月的都治服務。</w:t>
      </w:r>
    </w:p>
    <w:p>
      <w:pPr>
        <w:pStyle w:val="BodyText"/>
        <w:spacing w:line="223" w:lineRule="auto"/>
        <w:ind w:left="1000" w:right="1357" w:firstLine="488"/>
        <w:jc w:val="both"/>
      </w:pPr>
      <w:r>
        <w:rPr>
          <w:spacing w:val="-1"/>
        </w:rPr>
        <w:t>接受潛伏結核感染治療者：經 </w:t>
      </w:r>
      <w:r>
        <w:rPr/>
        <w:t>LTBI</w:t>
      </w:r>
      <w:r>
        <w:rPr>
          <w:spacing w:val="2"/>
        </w:rPr>
        <w:t> 檢驗陽性且胸部 </w:t>
      </w:r>
      <w:r>
        <w:rPr/>
        <w:t>X</w:t>
      </w:r>
      <w:r>
        <w:rPr>
          <w:spacing w:val="-5"/>
        </w:rPr>
        <w:t>  光正常</w:t>
      </w:r>
      <w:r>
        <w:rPr>
          <w:spacing w:val="3"/>
        </w:rPr>
        <w:t>（排除為活動性肺結核</w:t>
      </w:r>
      <w:r>
        <w:rPr>
          <w:spacing w:val="-25"/>
        </w:rPr>
        <w:t>）</w:t>
      </w:r>
      <w:r>
        <w:rPr>
          <w:spacing w:val="-8"/>
        </w:rPr>
        <w:t>，並須經「潛伏結核感染之治療合作醫師」</w:t>
      </w:r>
      <w:r>
        <w:rPr>
          <w:spacing w:val="3"/>
        </w:rPr>
        <w:t>（以下簡稱合作醫師</w:t>
      </w:r>
      <w:r>
        <w:rPr>
          <w:spacing w:val="-23"/>
        </w:rPr>
        <w:t>）</w:t>
      </w:r>
      <w:r>
        <w:rPr>
          <w:spacing w:val="2"/>
        </w:rPr>
        <w:t>評估建議</w:t>
      </w:r>
      <w:r>
        <w:rPr>
          <w:spacing w:val="11"/>
        </w:rPr>
        <w:t>進行預防性治療者。治療處方包含 </w:t>
      </w:r>
      <w:r>
        <w:rPr>
          <w:color w:val="FF0000"/>
          <w:spacing w:val="2"/>
        </w:rPr>
        <w:t>9H（isoniazid</w:t>
      </w:r>
      <w:r>
        <w:rPr>
          <w:color w:val="FF0000"/>
          <w:spacing w:val="23"/>
        </w:rPr>
        <w:t>, </w:t>
      </w:r>
      <w:r>
        <w:rPr>
          <w:color w:val="FF0000"/>
          <w:spacing w:val="6"/>
        </w:rPr>
        <w:t>INH）</w:t>
      </w:r>
      <w:r>
        <w:rPr>
          <w:color w:val="FF0000"/>
          <w:spacing w:val="10"/>
        </w:rPr>
        <w:t>、速克伏 </w:t>
      </w:r>
      <w:r>
        <w:rPr>
          <w:color w:val="FF0000"/>
          <w:spacing w:val="3"/>
        </w:rPr>
        <w:t>3HP（INH+</w:t>
      </w:r>
    </w:p>
    <w:p>
      <w:pPr>
        <w:spacing w:after="0" w:line="223" w:lineRule="auto"/>
        <w:jc w:val="both"/>
        <w:sectPr>
          <w:pgSz w:w="12250" w:h="17190"/>
          <w:pgMar w:header="0" w:footer="734" w:top="1460" w:bottom="1020" w:left="1020" w:right="0"/>
        </w:sectPr>
      </w:pPr>
    </w:p>
    <w:p>
      <w:pPr>
        <w:pStyle w:val="BodyText"/>
        <w:spacing w:line="223" w:lineRule="auto" w:before="46"/>
        <w:ind w:left="1000" w:right="1360"/>
        <w:jc w:val="both"/>
      </w:pPr>
      <w:r>
        <w:rPr>
          <w:color w:val="FF0000"/>
          <w:spacing w:val="-3"/>
        </w:rPr>
        <w:t>rifapentine）</w:t>
      </w:r>
      <w:r>
        <w:rPr>
          <w:color w:val="FF0000"/>
          <w:spacing w:val="-14"/>
        </w:rPr>
        <w:t>、</w:t>
      </w:r>
      <w:r>
        <w:rPr>
          <w:color w:val="FF0000"/>
        </w:rPr>
        <w:t>4R（rifampin</w:t>
      </w:r>
      <w:r>
        <w:rPr>
          <w:color w:val="FF0000"/>
          <w:spacing w:val="-13"/>
        </w:rPr>
        <w:t>, </w:t>
      </w:r>
      <w:r>
        <w:rPr>
          <w:color w:val="FF0000"/>
          <w:spacing w:val="-11"/>
        </w:rPr>
        <w:t>RMP）</w:t>
      </w:r>
      <w:r>
        <w:rPr>
          <w:color w:val="FF0000"/>
          <w:spacing w:val="-12"/>
        </w:rPr>
        <w:t>、</w:t>
      </w:r>
      <w:r>
        <w:rPr>
          <w:color w:val="FF0000"/>
        </w:rPr>
        <w:t>3HR（isoniazid+rifampin）</w:t>
      </w:r>
      <w:r>
        <w:rPr>
          <w:color w:val="FF0000"/>
          <w:spacing w:val="-7"/>
        </w:rPr>
        <w:t>及 </w:t>
      </w:r>
      <w:r>
        <w:rPr>
          <w:color w:val="FF0000"/>
          <w:spacing w:val="-3"/>
        </w:rPr>
        <w:t>1HP（INH+ </w:t>
      </w:r>
      <w:r>
        <w:rPr>
          <w:color w:val="FF0000"/>
        </w:rPr>
        <w:t>rifapentine），</w:t>
      </w:r>
      <w:r>
        <w:rPr>
          <w:color w:val="FF0000"/>
          <w:spacing w:val="4"/>
        </w:rPr>
        <w:t>除 </w:t>
      </w:r>
      <w:r>
        <w:rPr>
          <w:color w:val="FF0000"/>
        </w:rPr>
        <w:t>9H</w:t>
      </w:r>
      <w:r>
        <w:rPr>
          <w:color w:val="FF0000"/>
          <w:spacing w:val="3"/>
        </w:rPr>
        <w:t> 以鼓勵加入為原則外，其餘均應接受直接觀察預防治療。</w:t>
      </w:r>
    </w:p>
    <w:p>
      <w:pPr>
        <w:pStyle w:val="Heading7"/>
        <w:numPr>
          <w:ilvl w:val="0"/>
          <w:numId w:val="142"/>
        </w:numPr>
        <w:tabs>
          <w:tab w:pos="993" w:val="left" w:leader="none"/>
        </w:tabs>
        <w:spacing w:line="440" w:lineRule="exact" w:before="99" w:after="0"/>
        <w:ind w:left="992" w:right="0" w:hanging="367"/>
        <w:jc w:val="both"/>
      </w:pPr>
      <w:r>
        <w:rPr>
          <w:spacing w:val="3"/>
        </w:rPr>
        <w:t>執行方法</w:t>
      </w:r>
    </w:p>
    <w:p>
      <w:pPr>
        <w:pStyle w:val="BodyText"/>
        <w:spacing w:line="225" w:lineRule="auto" w:before="17"/>
        <w:ind w:left="1000" w:right="1301" w:firstLine="488"/>
        <w:jc w:val="both"/>
      </w:pPr>
      <w:r>
        <w:rPr>
          <w:spacing w:val="-2"/>
        </w:rPr>
        <w:t>公衛管理人員收案後會向病人說明都治的用意與相關規定，如其同意參加都治， </w:t>
      </w:r>
      <w:r>
        <w:rPr>
          <w:spacing w:val="-6"/>
        </w:rPr>
        <w:t>則請病人簽署同意書，授權都治關懷員</w:t>
      </w:r>
      <w:r>
        <w:rPr>
          <w:spacing w:val="3"/>
        </w:rPr>
        <w:t>（或都治站</w:t>
      </w:r>
      <w:r>
        <w:rPr>
          <w:spacing w:val="-51"/>
        </w:rPr>
        <w:t>）</w:t>
      </w:r>
      <w:r>
        <w:rPr>
          <w:spacing w:val="2"/>
        </w:rPr>
        <w:t>於病人就診後取得並保管病人之</w:t>
      </w:r>
      <w:r>
        <w:rPr>
          <w:spacing w:val="6"/>
        </w:rPr>
        <w:t>抗結核藥物。公衛管理人員會指派適合的關懷員並將其介紹給病人，雙方建立關係</w:t>
      </w:r>
      <w:r>
        <w:rPr>
          <w:spacing w:val="4"/>
        </w:rPr>
        <w:t>後，遵醫囑進行病人每週至少執行 </w:t>
      </w:r>
      <w:r>
        <w:rPr/>
        <w:t>5</w:t>
      </w:r>
      <w:r>
        <w:rPr>
          <w:spacing w:val="18"/>
        </w:rPr>
        <w:t> 日</w:t>
      </w:r>
      <w:r>
        <w:rPr>
          <w:spacing w:val="3"/>
        </w:rPr>
        <w:t>（</w:t>
      </w:r>
      <w:r>
        <w:rPr>
          <w:spacing w:val="4"/>
        </w:rPr>
        <w:t>含</w:t>
      </w:r>
      <w:r>
        <w:rPr>
          <w:spacing w:val="3"/>
        </w:rPr>
        <w:t>）以上之直接觀察治療，並評估病人的</w:t>
      </w:r>
      <w:r>
        <w:rPr>
          <w:spacing w:val="-17"/>
        </w:rPr>
        <w:t>社經狀況，適時給予協助，表達關懷、陪伴、支持等等，促使病人完成完整治療療程。</w:t>
      </w:r>
      <w:r>
        <w:rPr>
          <w:spacing w:val="-4"/>
        </w:rPr>
        <w:t>現行關懷員之聘任是由各縣市衛生局參考「結核病防治工作手冊」原則，依合理人數</w:t>
      </w:r>
      <w:r>
        <w:rPr>
          <w:spacing w:val="3"/>
        </w:rPr>
        <w:t>配置，自行聘任並給予訓練。</w:t>
      </w:r>
    </w:p>
    <w:p>
      <w:pPr>
        <w:pStyle w:val="BodyText"/>
        <w:spacing w:line="225" w:lineRule="auto"/>
        <w:ind w:left="1000" w:right="1362" w:firstLine="488"/>
        <w:jc w:val="both"/>
      </w:pPr>
      <w:r>
        <w:rPr>
          <w:spacing w:val="-9"/>
        </w:rPr>
        <w:t>另外配合環境的變遷，網路時代的崛起，除了傳統親自關懷服藥，疾病管制署也</w:t>
      </w:r>
      <w:r>
        <w:rPr>
          <w:spacing w:val="-2"/>
        </w:rPr>
        <w:t>於 </w:t>
      </w:r>
      <w:r>
        <w:rPr/>
        <w:t>2014</w:t>
      </w:r>
      <w:r>
        <w:rPr>
          <w:spacing w:val="3"/>
        </w:rPr>
        <w:t> 年起發展雲端視訊都治關懷服藥系統及作業規範。</w:t>
      </w:r>
    </w:p>
    <w:p>
      <w:pPr>
        <w:pStyle w:val="Heading7"/>
        <w:numPr>
          <w:ilvl w:val="1"/>
          <w:numId w:val="142"/>
        </w:numPr>
        <w:tabs>
          <w:tab w:pos="1514" w:val="left" w:leader="none"/>
        </w:tabs>
        <w:spacing w:line="429" w:lineRule="exact" w:before="59" w:after="0"/>
        <w:ind w:left="1513" w:right="0" w:hanging="481"/>
        <w:jc w:val="both"/>
      </w:pPr>
      <w:r>
        <w:rPr/>
        <w:t>親自關懷服藥</w:t>
      </w:r>
    </w:p>
    <w:p>
      <w:pPr>
        <w:pStyle w:val="BodyText"/>
        <w:spacing w:line="225" w:lineRule="auto" w:before="6"/>
        <w:ind w:left="1539" w:right="1356" w:firstLine="488"/>
        <w:jc w:val="both"/>
      </w:pPr>
      <w:r>
        <w:rPr/>
        <w:t>除臨床醫療需求或社區風險控制的考量外，接受標準處方治療的結核病人大多以社區治療（居家治療）為原則，所以直接觀察治療也以親自關懷服藥為主要執行方式。接受親自關懷服藥的病人的抗結核藥物均應回收並妥適保存於都治站之專用藥物保存防潮櫃，每位病人均應備有清楚標示之個案姓名、藥物處方、管理人及領藥紀錄等。於治療期間，由病人所屬管理單位之縣巿衛生局督導、協調轄下都治團隊，指派選任適合之都治關懷員進行社區直接觀察治療送藥服務。</w:t>
      </w:r>
    </w:p>
    <w:p>
      <w:pPr>
        <w:pStyle w:val="BodyText"/>
        <w:spacing w:line="225" w:lineRule="auto"/>
        <w:ind w:left="1539" w:right="1356" w:firstLine="488"/>
        <w:jc w:val="both"/>
      </w:pPr>
      <w:r>
        <w:rPr/>
        <w:t>個案如為住院，住院期間即由醫院醫事人員進行親自目視病人服藥。住院都治者出院前（轉社區都治前）病人管理單位或者協調醫院所在地之衛生所指派個案管理人員到院訪視病人，如可能，則與未來之社區關懷員共同前往，進行病人出院後回到社區執行都治簡介，並與醫院結核病個案管理專員進行病人回到社區之轉銜交接。</w:t>
      </w:r>
    </w:p>
    <w:p>
      <w:pPr>
        <w:pStyle w:val="BodyText"/>
        <w:spacing w:line="225" w:lineRule="auto"/>
        <w:ind w:left="1539" w:right="1353" w:firstLine="488"/>
        <w:jc w:val="both"/>
      </w:pPr>
      <w:r>
        <w:rPr/>
        <w:t>個案如居住於長期療養、養護、長期呼吸照護或其他人口密集機構，衛生局所應輔導其工作人員接受關懷員訓練(如為領有合格護理人員、護理師證書者，得於接受都治介紹課程後協助執行)，並以督導、輔導機構內之人員（醫護人員或已完成關懷員訓練人員）執行都治為優先。</w:t>
      </w:r>
    </w:p>
    <w:p>
      <w:pPr>
        <w:pStyle w:val="Heading7"/>
        <w:numPr>
          <w:ilvl w:val="1"/>
          <w:numId w:val="142"/>
        </w:numPr>
        <w:tabs>
          <w:tab w:pos="1514" w:val="left" w:leader="none"/>
        </w:tabs>
        <w:spacing w:line="429" w:lineRule="exact" w:before="53" w:after="0"/>
        <w:ind w:left="1513" w:right="0" w:hanging="481"/>
        <w:jc w:val="both"/>
      </w:pPr>
      <w:r>
        <w:rPr/>
        <w:t>雲端視訊都治關懷服藥</w:t>
      </w:r>
    </w:p>
    <w:p>
      <w:pPr>
        <w:pStyle w:val="BodyText"/>
        <w:spacing w:line="225" w:lineRule="auto" w:before="7"/>
        <w:ind w:left="1539" w:right="1357" w:firstLine="488"/>
        <w:jc w:val="both"/>
      </w:pPr>
      <w:r>
        <w:rPr>
          <w:spacing w:val="-3"/>
        </w:rPr>
        <w:t>迄今都治執行雖已略見成效，目前仍有約 </w:t>
      </w:r>
      <w:r>
        <w:rPr/>
        <w:t>5</w:t>
      </w:r>
      <w:r>
        <w:rPr>
          <w:spacing w:val="-5"/>
        </w:rPr>
        <w:t>%個案因工作、生活型態或隱私</w:t>
      </w:r>
      <w:r>
        <w:rPr>
          <w:spacing w:val="-11"/>
        </w:rPr>
        <w:t>權考量等因素，未加入都治計畫，可能造成防治上的問題。疾病管制署 </w:t>
      </w:r>
      <w:r>
        <w:rPr/>
        <w:t>2013</w:t>
      </w:r>
      <w:r>
        <w:rPr>
          <w:spacing w:val="2"/>
        </w:rPr>
        <w:t> 年</w:t>
      </w:r>
    </w:p>
    <w:p>
      <w:pPr>
        <w:pStyle w:val="BodyText"/>
        <w:spacing w:line="225" w:lineRule="auto"/>
        <w:ind w:left="1539" w:right="1356"/>
        <w:jc w:val="both"/>
      </w:pPr>
      <w:r>
        <w:rPr/>
        <w:t>3</w:t>
      </w:r>
      <w:r>
        <w:rPr>
          <w:spacing w:val="9"/>
        </w:rPr>
        <w:t> 月邀請 </w:t>
      </w:r>
      <w:r>
        <w:rPr/>
        <w:t>6</w:t>
      </w:r>
      <w:r>
        <w:rPr>
          <w:spacing w:val="2"/>
        </w:rPr>
        <w:t> 名國外專家至我國進行「結核病十年減半計畫」成效評核，專家提</w:t>
      </w:r>
      <w:r>
        <w:rPr/>
        <w:t>出我國可考慮運用科技技術協助提高都治執行之建議。根據資策會調查，2015</w:t>
      </w:r>
    </w:p>
    <w:p>
      <w:pPr>
        <w:spacing w:after="0" w:line="225" w:lineRule="auto"/>
        <w:jc w:val="both"/>
        <w:sectPr>
          <w:pgSz w:w="12250" w:h="17190"/>
          <w:pgMar w:header="0" w:footer="734" w:top="1460" w:bottom="1020" w:left="1020" w:right="0"/>
        </w:sectPr>
      </w:pPr>
    </w:p>
    <w:p>
      <w:pPr>
        <w:pStyle w:val="BodyText"/>
        <w:spacing w:line="225" w:lineRule="auto" w:before="44"/>
        <w:ind w:left="1539" w:right="1361"/>
        <w:jc w:val="both"/>
      </w:pPr>
      <w:r>
        <w:rPr/>
        <w:pict>
          <v:group style="position:absolute;margin-left:570.75pt;margin-top:.463111pt;width:41.65pt;height:120pt;mso-position-horizontal-relative:page;mso-position-vertical-relative:paragraph;z-index:251884544" coordorigin="11415,9" coordsize="833,2400">
            <v:shape style="position:absolute;left:11415;top:9;width:833;height:2400" coordorigin="11415,9" coordsize="833,2400" path="m12242,9l11580,9,11516,22,11463,58,11428,110,11415,175,11415,2244,11428,2308,11463,2361,11516,2396,11580,2409,12242,2409,12247,2408,12247,10,12242,9xe" filled="true" fillcolor="#a6a6a6" stroked="false">
              <v:path arrowok="t"/>
              <v:fill type="solid"/>
            </v:shape>
            <v:shape style="position:absolute;left:11415;top:9;width:833;height:2400" type="#_x0000_t202" filled="false" stroked="false">
              <v:textbox inset="0,0,0,0">
                <w:txbxContent>
                  <w:p>
                    <w:pPr>
                      <w:spacing w:line="146" w:lineRule="auto" w:before="126"/>
                      <w:ind w:left="136" w:right="474" w:firstLine="0"/>
                      <w:jc w:val="both"/>
                      <w:rPr>
                        <w:sz w:val="22"/>
                      </w:rPr>
                    </w:pPr>
                    <w:r>
                      <w:rPr>
                        <w:sz w:val="22"/>
                      </w:rPr>
                      <w:t>第十一章</w:t>
                    </w:r>
                  </w:p>
                  <w:p>
                    <w:pPr>
                      <w:spacing w:line="141" w:lineRule="auto" w:before="239"/>
                      <w:ind w:left="136" w:right="474" w:firstLine="0"/>
                      <w:jc w:val="both"/>
                      <w:rPr>
                        <w:sz w:val="22"/>
                      </w:rPr>
                    </w:pPr>
                    <w:r>
                      <w:rPr>
                        <w:sz w:val="22"/>
                      </w:rPr>
                      <w:t>都治策略</w:t>
                    </w:r>
                  </w:p>
                </w:txbxContent>
              </v:textbox>
              <w10:wrap type="none"/>
            </v:shape>
            <w10:wrap type="none"/>
          </v:group>
        </w:pict>
      </w:r>
      <w:r>
        <w:rPr/>
        <w:t>年臺灣智慧型手機普及率已達 73%，且行動通訊與無線網路技術提升，故疾病管制署即規劃以行動載具搭配 App 軟體執行雲端都治。</w:t>
      </w:r>
    </w:p>
    <w:p>
      <w:pPr>
        <w:pStyle w:val="BodyText"/>
        <w:spacing w:line="228" w:lineRule="auto"/>
        <w:ind w:left="1539" w:right="1355" w:firstLine="488"/>
        <w:jc w:val="both"/>
      </w:pPr>
      <w:r>
        <w:rPr/>
        <w:t>原則上仍應先詢問個案是否接受關懷員執行親自關懷服藥為前提，倘個案無法配合關懷員親自關懷服藥，且符合疾病管制署雲端都治政策規劃之服藥對象者，得由都治關懷員以行動載具搭配 App 軟體，視訊目睹服藥。於確認個案填具雲端都治同意書後，教導程式下載及使用方式，且實地視訊測試。以行動載具執行雲端都治關懷服藥並登錄結核病追蹤管理系統。衛生局(所)每月訪視一次，關懷員每月需一次實際到點關懷。</w:t>
      </w:r>
    </w:p>
    <w:p>
      <w:pPr>
        <w:pStyle w:val="Heading7"/>
        <w:numPr>
          <w:ilvl w:val="0"/>
          <w:numId w:val="142"/>
        </w:numPr>
        <w:tabs>
          <w:tab w:pos="1004" w:val="left" w:leader="none"/>
        </w:tabs>
        <w:spacing w:line="240" w:lineRule="auto" w:before="162" w:after="0"/>
        <w:ind w:left="1003" w:right="0" w:hanging="367"/>
        <w:jc w:val="both"/>
      </w:pPr>
      <w:r>
        <w:rPr>
          <w:spacing w:val="3"/>
        </w:rPr>
        <w:t>直接觀察治療異常處理</w:t>
      </w:r>
    </w:p>
    <w:p>
      <w:pPr>
        <w:pStyle w:val="ListParagraph"/>
        <w:numPr>
          <w:ilvl w:val="1"/>
          <w:numId w:val="143"/>
        </w:numPr>
        <w:tabs>
          <w:tab w:pos="1506" w:val="left" w:leader="none"/>
        </w:tabs>
        <w:spacing w:line="431" w:lineRule="exact" w:before="58" w:after="0"/>
        <w:ind w:left="1506" w:right="0" w:hanging="473"/>
        <w:jc w:val="both"/>
        <w:rPr>
          <w:b/>
          <w:sz w:val="24"/>
        </w:rPr>
      </w:pPr>
      <w:r>
        <w:rPr>
          <w:b/>
          <w:sz w:val="24"/>
        </w:rPr>
        <w:t>處方疑義處理</w:t>
      </w:r>
    </w:p>
    <w:p>
      <w:pPr>
        <w:pStyle w:val="BodyText"/>
        <w:spacing w:line="228" w:lineRule="auto" w:before="6"/>
        <w:ind w:left="1539" w:right="1303" w:firstLine="492"/>
        <w:jc w:val="right"/>
      </w:pPr>
      <w:r>
        <w:rPr>
          <w:spacing w:val="-6"/>
        </w:rPr>
        <w:t>公衛管理人員接獲醫院通報後會進行收案管理，核對處方正確性，若異常，</w:t>
      </w:r>
      <w:r>
        <w:rPr>
          <w:spacing w:val="-7"/>
        </w:rPr>
        <w:t>會與診療醫師或醫院個管師聯繫確認，了解是否有其他特殊原因。如仍有疑義，</w:t>
      </w:r>
      <w:r>
        <w:rPr>
          <w:spacing w:val="5"/>
        </w:rPr>
        <w:t>衛生局(所)會備妥資料，召開結核病診療諮詢小組會議透過專業審議，由資深</w:t>
      </w:r>
      <w:r>
        <w:rPr>
          <w:spacing w:val="-10"/>
        </w:rPr>
        <w:t>結核病醫療專家協助，並與診療醫師進行溝通，以提供病人最適切的醫療品質。</w:t>
      </w:r>
      <w:r>
        <w:rPr>
          <w:spacing w:val="4"/>
        </w:rPr>
        <w:t>一方面透過各醫院結核病委員會發揮自主輔導及教育的責任，另一方面當</w:t>
      </w:r>
    </w:p>
    <w:p>
      <w:pPr>
        <w:pStyle w:val="BodyText"/>
        <w:spacing w:line="228" w:lineRule="auto" w:before="4"/>
        <w:ind w:left="1539" w:right="1363"/>
        <w:jc w:val="both"/>
      </w:pPr>
      <w:r>
        <w:rPr/>
        <w:t>衛生單位發現病人治療狀況不適當，經上述溝通無效時，疾病管制署即會啟動與衛生福利部健保署及醫事司等相關單位合作因應，以達到協同醫界幫助病人獲得現階段最佳的醫療照護。疾病管制署尊重臨床醫師醫療專業，公衛管理人員是站在協助醫師的角度，以幫助病人得到最好的診療。</w:t>
      </w:r>
    </w:p>
    <w:p>
      <w:pPr>
        <w:pStyle w:val="Heading7"/>
        <w:numPr>
          <w:ilvl w:val="1"/>
          <w:numId w:val="143"/>
        </w:numPr>
        <w:tabs>
          <w:tab w:pos="1506" w:val="left" w:leader="none"/>
        </w:tabs>
        <w:spacing w:line="431" w:lineRule="exact" w:before="67" w:after="0"/>
        <w:ind w:left="1506" w:right="0" w:hanging="473"/>
        <w:jc w:val="both"/>
      </w:pPr>
      <w:r>
        <w:rPr>
          <w:spacing w:val="-5"/>
        </w:rPr>
        <w:t>副作用處理</w:t>
      </w:r>
    </w:p>
    <w:p>
      <w:pPr>
        <w:pStyle w:val="BodyText"/>
        <w:spacing w:line="228" w:lineRule="auto" w:before="6"/>
        <w:ind w:left="1539" w:right="1356" w:firstLine="488"/>
        <w:jc w:val="both"/>
      </w:pPr>
      <w:r>
        <w:rPr/>
        <w:t>關懷員在聘任時，衛生局會先提供教育訓練，讓其了解結核病相關知識， 關懷員在執行直接觀察送藥服務時，會先告知服藥後可能產生的反應，以避免病人驚慌。如發現較嚴重的反應，會請病人暫時停藥並通知公衛管理人員協助轉介醫師處理。如病人拒絕服用抗結核藥物或有其他反應，關懷員必須當日回報衛生所責任護理人員，以及時啟動進一步相關處理措施。</w:t>
      </w:r>
    </w:p>
    <w:p>
      <w:pPr>
        <w:pStyle w:val="Heading7"/>
        <w:numPr>
          <w:ilvl w:val="0"/>
          <w:numId w:val="142"/>
        </w:numPr>
        <w:tabs>
          <w:tab w:pos="1004" w:val="left" w:leader="none"/>
        </w:tabs>
        <w:spacing w:line="240" w:lineRule="auto" w:before="120" w:after="0"/>
        <w:ind w:left="1003" w:right="0" w:hanging="367"/>
        <w:jc w:val="both"/>
      </w:pPr>
      <w:r>
        <w:rPr>
          <w:spacing w:val="2"/>
        </w:rPr>
        <w:t>直接觀察治療執行監測</w:t>
      </w:r>
    </w:p>
    <w:p>
      <w:pPr>
        <w:pStyle w:val="BodyText"/>
        <w:spacing w:line="228" w:lineRule="auto" w:before="31"/>
        <w:ind w:left="1000" w:right="1357" w:firstLine="488"/>
        <w:jc w:val="both"/>
      </w:pPr>
      <w:r>
        <w:rPr/>
        <w:t>疾病管制署每年投注大量經費補助衛生局執行直接觀察治療送藥工作，為掌握執行效益，除要求衛生局所定期進行行政聯繫及困難個案討論並實地抽訪，另疾病管制署各區管制中心每月亦抽樣實地訪視稽核，以了解都治執行情形。另外也系統化監測每月執行量，及分析親自關懷品質回饋衛生局作為督導改善參考。臨床醫師如於診治病人時發現關懷員有不適當之行為，亦可向衛生局反應，以利提升都治關懷品質。</w:t>
      </w:r>
    </w:p>
    <w:p>
      <w:pPr>
        <w:spacing w:after="0" w:line="228" w:lineRule="auto"/>
        <w:jc w:val="both"/>
        <w:sectPr>
          <w:pgSz w:w="12250" w:h="17190"/>
          <w:pgMar w:header="0" w:footer="734" w:top="1460" w:bottom="1020" w:left="1020" w:right="0"/>
        </w:sectPr>
      </w:pPr>
    </w:p>
    <w:p>
      <w:pPr>
        <w:pStyle w:val="Heading7"/>
        <w:numPr>
          <w:ilvl w:val="0"/>
          <w:numId w:val="142"/>
        </w:numPr>
        <w:tabs>
          <w:tab w:pos="993" w:val="left" w:leader="none"/>
        </w:tabs>
        <w:spacing w:line="240" w:lineRule="auto" w:before="24" w:after="0"/>
        <w:ind w:left="992" w:right="0" w:hanging="367"/>
        <w:jc w:val="left"/>
      </w:pPr>
      <w:r>
        <w:rPr>
          <w:spacing w:val="4"/>
        </w:rPr>
        <w:t>成效</w:t>
      </w:r>
    </w:p>
    <w:p>
      <w:pPr>
        <w:pStyle w:val="BodyText"/>
        <w:spacing w:before="1"/>
        <w:ind w:left="1489"/>
      </w:pPr>
      <w:r>
        <w:rPr>
          <w:color w:val="FF0000"/>
        </w:rPr>
        <w:t>疾病管制署曾與美國疾病管制中心合作分析執行成效</w:t>
      </w:r>
      <w:r>
        <w:rPr/>
        <w:t>，以 2007 年 1 月 1 日至</w:t>
      </w:r>
    </w:p>
    <w:p>
      <w:pPr>
        <w:pStyle w:val="BodyText"/>
        <w:spacing w:line="228" w:lineRule="auto"/>
        <w:ind w:left="1000" w:right="1357"/>
        <w:jc w:val="both"/>
      </w:pPr>
      <w:r>
        <w:rPr/>
        <w:t>2008</w:t>
      </w:r>
      <w:r>
        <w:rPr>
          <w:spacing w:val="12"/>
        </w:rPr>
        <w:t> 年 </w:t>
      </w:r>
      <w:r>
        <w:rPr/>
        <w:t>6</w:t>
      </w:r>
      <w:r>
        <w:rPr>
          <w:spacing w:val="12"/>
        </w:rPr>
        <w:t> 月 </w:t>
      </w:r>
      <w:r>
        <w:rPr/>
        <w:t>30</w:t>
      </w:r>
      <w:r>
        <w:rPr>
          <w:spacing w:val="3"/>
        </w:rPr>
        <w:t> 日所有確診之新病人，計算 </w:t>
      </w:r>
      <w:r>
        <w:rPr/>
        <w:t>DOT</w:t>
      </w:r>
      <w:r>
        <w:rPr>
          <w:spacing w:val="3"/>
        </w:rPr>
        <w:t> 涵蓋天數占所有服藥天數的百分</w:t>
      </w:r>
      <w:r>
        <w:rPr>
          <w:spacing w:val="-11"/>
        </w:rPr>
        <w:t>比，追蹤一年的治療結果，調整了年齡、性別、細菌學以及加強期治療處方是否符合</w:t>
      </w:r>
      <w:r>
        <w:rPr/>
        <w:t>WHO 建議等變項後，發現病人的預後與有效 DOT 的涵蓋百分比有強烈相關，且有</w:t>
      </w:r>
      <w:r>
        <w:rPr>
          <w:spacing w:val="-1"/>
        </w:rPr>
        <w:t>劑量效應關係。接受≦</w:t>
      </w:r>
      <w:r>
        <w:rPr/>
        <w:t>60%DOT 的病人，80</w:t>
      </w:r>
      <w:r>
        <w:rPr>
          <w:spacing w:val="-1"/>
        </w:rPr>
        <w:t>%治療成功，而接受超過 </w:t>
      </w:r>
      <w:r>
        <w:rPr/>
        <w:t>60%DOT</w:t>
      </w:r>
      <w:r>
        <w:rPr>
          <w:spacing w:val="4"/>
        </w:rPr>
        <w:t> 的病</w:t>
      </w:r>
      <w:r>
        <w:rPr>
          <w:spacing w:val="2"/>
        </w:rPr>
        <w:t>人，則達到 </w:t>
      </w:r>
      <w:r>
        <w:rPr/>
        <w:t>98</w:t>
      </w:r>
      <w:r>
        <w:rPr>
          <w:spacing w:val="2"/>
        </w:rPr>
        <w:t>%的治療成功率。</w:t>
      </w:r>
    </w:p>
    <w:p>
      <w:pPr>
        <w:pStyle w:val="BodyText"/>
        <w:spacing w:line="228" w:lineRule="auto"/>
        <w:ind w:left="1000" w:right="1356" w:firstLine="488"/>
        <w:jc w:val="both"/>
      </w:pPr>
      <w:r>
        <w:rPr>
          <w:color w:val="FF0000"/>
          <w:spacing w:val="3"/>
        </w:rPr>
        <w:t>歷經結核病十年減半全民動員計畫及我國加入 </w:t>
      </w:r>
      <w:r>
        <w:rPr>
          <w:color w:val="FF0000"/>
        </w:rPr>
        <w:t>WHO</w:t>
      </w:r>
      <w:r>
        <w:rPr>
          <w:color w:val="FF0000"/>
          <w:spacing w:val="37"/>
        </w:rPr>
        <w:t> </w:t>
      </w:r>
      <w:r>
        <w:rPr>
          <w:color w:val="FF0000"/>
        </w:rPr>
        <w:t>2035</w:t>
      </w:r>
      <w:r>
        <w:rPr>
          <w:color w:val="FF0000"/>
          <w:spacing w:val="4"/>
        </w:rPr>
        <w:t> 消除結核第一期計</w:t>
      </w:r>
      <w:r>
        <w:rPr>
          <w:color w:val="FF0000"/>
          <w:spacing w:val="-3"/>
        </w:rPr>
        <w:t>畫，醫界與公衛共同的努力，擴大推動 </w:t>
      </w:r>
      <w:r>
        <w:rPr>
          <w:color w:val="FF0000"/>
        </w:rPr>
        <w:t>LTBI 治療計畫，除每年提供超過 1</w:t>
      </w:r>
      <w:r>
        <w:rPr>
          <w:color w:val="FF0000"/>
          <w:spacing w:val="3"/>
        </w:rPr>
        <w:t> 萬名個案直接觀察治療都治服務，至 </w:t>
      </w:r>
      <w:r>
        <w:rPr>
          <w:color w:val="FF0000"/>
        </w:rPr>
        <w:t>2020</w:t>
      </w:r>
      <w:r>
        <w:rPr>
          <w:color w:val="FF0000"/>
          <w:spacing w:val="4"/>
        </w:rPr>
        <w:t> 年都治執行率已高達 </w:t>
      </w:r>
      <w:r>
        <w:rPr>
          <w:color w:val="FF0000"/>
        </w:rPr>
        <w:t>98%</w:t>
      </w:r>
      <w:r>
        <w:rPr>
          <w:color w:val="FF0000"/>
          <w:spacing w:val="2"/>
        </w:rPr>
        <w:t>。我國的結核病發生率</w:t>
      </w:r>
      <w:r>
        <w:rPr>
          <w:color w:val="FF0000"/>
          <w:spacing w:val="4"/>
        </w:rPr>
        <w:t>由 </w:t>
      </w:r>
      <w:r>
        <w:rPr>
          <w:color w:val="FF0000"/>
        </w:rPr>
        <w:t>2005</w:t>
      </w:r>
      <w:r>
        <w:rPr>
          <w:color w:val="FF0000"/>
          <w:spacing w:val="2"/>
        </w:rPr>
        <w:t> 年每十萬人口 </w:t>
      </w:r>
      <w:r>
        <w:rPr>
          <w:color w:val="FF0000"/>
        </w:rPr>
        <w:t>73</w:t>
      </w:r>
      <w:r>
        <w:rPr>
          <w:color w:val="FF0000"/>
          <w:spacing w:val="2"/>
        </w:rPr>
        <w:t> 人降低至 </w:t>
      </w:r>
      <w:r>
        <w:rPr>
          <w:color w:val="FF0000"/>
        </w:rPr>
        <w:t>2020</w:t>
      </w:r>
      <w:r>
        <w:rPr>
          <w:color w:val="FF0000"/>
          <w:spacing w:val="2"/>
        </w:rPr>
        <w:t> 年每十萬人口 </w:t>
      </w:r>
      <w:r>
        <w:rPr>
          <w:color w:val="FF0000"/>
        </w:rPr>
        <w:t>33</w:t>
      </w:r>
      <w:r>
        <w:rPr>
          <w:color w:val="FF0000"/>
          <w:spacing w:val="-10"/>
        </w:rPr>
        <w:t> 人；死亡率也由 </w:t>
      </w:r>
      <w:r>
        <w:rPr>
          <w:color w:val="FF0000"/>
        </w:rPr>
        <w:t>2005</w:t>
      </w:r>
      <w:r>
        <w:rPr>
          <w:color w:val="FF0000"/>
          <w:spacing w:val="2"/>
        </w:rPr>
        <w:t> 年</w:t>
      </w:r>
    </w:p>
    <w:p>
      <w:pPr>
        <w:pStyle w:val="BodyText"/>
        <w:spacing w:line="418" w:lineRule="exact"/>
        <w:ind w:left="1000"/>
        <w:jc w:val="both"/>
      </w:pPr>
      <w:r>
        <w:rPr>
          <w:color w:val="FF0000"/>
          <w:spacing w:val="2"/>
        </w:rPr>
        <w:t>每十萬人口 </w:t>
      </w:r>
      <w:r>
        <w:rPr>
          <w:color w:val="FF0000"/>
        </w:rPr>
        <w:t>4.3</w:t>
      </w:r>
      <w:r>
        <w:rPr>
          <w:color w:val="FF0000"/>
          <w:spacing w:val="3"/>
        </w:rPr>
        <w:t> 人降至 </w:t>
      </w:r>
      <w:r>
        <w:rPr>
          <w:color w:val="FF0000"/>
        </w:rPr>
        <w:t>2020</w:t>
      </w:r>
      <w:r>
        <w:rPr>
          <w:color w:val="FF0000"/>
          <w:spacing w:val="2"/>
        </w:rPr>
        <w:t> 年每十萬人口 </w:t>
      </w:r>
      <w:r>
        <w:rPr>
          <w:color w:val="FF0000"/>
        </w:rPr>
        <w:t>2.0</w:t>
      </w:r>
      <w:r>
        <w:rPr>
          <w:color w:val="FF0000"/>
          <w:spacing w:val="-4"/>
        </w:rPr>
        <w:t> 人；因為治療成功率提高，多重抗藥</w:t>
      </w:r>
    </w:p>
    <w:p>
      <w:pPr>
        <w:pStyle w:val="BodyText"/>
        <w:spacing w:line="228" w:lineRule="auto" w:before="4"/>
        <w:ind w:left="1000" w:right="1358"/>
        <w:jc w:val="both"/>
      </w:pPr>
      <w:r>
        <w:rPr>
          <w:color w:val="FF0000"/>
        </w:rPr>
        <w:t>結核病管理中的人數由 2006 年的 440 人降低至 2020 年的 74 人；痰陽個案 2 個月內陰轉率由 2005 年追蹤世代的 51%進步至 2020 年追蹤世代 90%，均顯示都治策略推行的成效。</w:t>
      </w:r>
    </w:p>
    <w:p>
      <w:pPr>
        <w:pStyle w:val="BodyText"/>
        <w:spacing w:line="228" w:lineRule="auto" w:before="2"/>
        <w:ind w:left="1000" w:right="1360" w:firstLine="488"/>
        <w:jc w:val="both"/>
      </w:pPr>
      <w:r>
        <w:rPr>
          <w:spacing w:val="3"/>
        </w:rPr>
        <w:t>都治策略的成功需要醫界與公衛共同合作，臨床醫師在診療結核病病人或 </w:t>
      </w:r>
      <w:r>
        <w:rPr/>
        <w:t>LTBI </w:t>
      </w:r>
      <w:r>
        <w:rPr>
          <w:spacing w:val="-10"/>
        </w:rPr>
        <w:t>治療個案時，請建議個案加入社區都治，加強醫療和公衛之間的團隊合作，同時幫助</w:t>
      </w:r>
      <w:r>
        <w:rPr>
          <w:spacing w:val="2"/>
        </w:rPr>
        <w:t>結核病人獲得高品質的醫療照護。</w:t>
      </w:r>
    </w:p>
    <w:p>
      <w:pPr>
        <w:spacing w:after="0" w:line="228" w:lineRule="auto"/>
        <w:jc w:val="both"/>
        <w:sectPr>
          <w:pgSz w:w="12250" w:h="17190"/>
          <w:pgMar w:header="0" w:footer="734" w:top="1460" w:bottom="1020" w:left="1020" w:right="0"/>
        </w:sectPr>
      </w:pPr>
    </w:p>
    <w:p>
      <w:pPr>
        <w:pStyle w:val="Heading6"/>
        <w:spacing w:line="453" w:lineRule="exact" w:before="21"/>
        <w:ind w:left="340"/>
      </w:pPr>
      <w:r>
        <w:rPr/>
        <w:pict>
          <v:group style="position:absolute;margin-left:570.75pt;margin-top:1.475662pt;width:41.65pt;height:120pt;mso-position-horizontal-relative:page;mso-position-vertical-relative:paragraph;z-index:251886592" coordorigin="11415,30" coordsize="833,2400">
            <v:shape style="position:absolute;left:11415;top:29;width:833;height:2400" coordorigin="11415,30" coordsize="833,2400" path="m12242,30l11580,30,11516,43,11463,78,11428,130,11415,195,11415,2264,11428,2329,11463,2381,11516,2417,11580,2430,12242,2430,12247,2428,12247,31,12242,30xe" filled="true" fillcolor="#a6a6a6" stroked="false">
              <v:path arrowok="t"/>
              <v:fill type="solid"/>
            </v:shape>
            <v:shape style="position:absolute;left:11415;top:29;width:833;height:2400" type="#_x0000_t202" filled="false" stroked="false">
              <v:textbox inset="0,0,0,0">
                <w:txbxContent>
                  <w:p>
                    <w:pPr>
                      <w:spacing w:line="146" w:lineRule="auto" w:before="126"/>
                      <w:ind w:left="136" w:right="474" w:firstLine="0"/>
                      <w:jc w:val="both"/>
                      <w:rPr>
                        <w:sz w:val="22"/>
                      </w:rPr>
                    </w:pPr>
                    <w:r>
                      <w:rPr>
                        <w:sz w:val="22"/>
                      </w:rPr>
                      <w:t>第十一章</w:t>
                    </w:r>
                  </w:p>
                  <w:p>
                    <w:pPr>
                      <w:spacing w:line="141" w:lineRule="auto" w:before="239"/>
                      <w:ind w:left="136" w:right="474" w:firstLine="0"/>
                      <w:jc w:val="both"/>
                      <w:rPr>
                        <w:sz w:val="22"/>
                      </w:rPr>
                    </w:pPr>
                    <w:r>
                      <w:rPr>
                        <w:sz w:val="22"/>
                      </w:rPr>
                      <w:t>都治策略</w:t>
                    </w:r>
                  </w:p>
                </w:txbxContent>
              </v:textbox>
              <w10:wrap type="none"/>
            </v:shape>
            <w10:wrap type="none"/>
          </v:group>
        </w:pict>
      </w:r>
      <w:bookmarkStart w:name="參考文獻" w:id="137"/>
      <w:bookmarkEnd w:id="137"/>
      <w:r>
        <w:rPr>
          <w:b w:val="0"/>
        </w:rPr>
      </w:r>
      <w:r>
        <w:rPr/>
        <w:t>參考文獻</w:t>
      </w:r>
    </w:p>
    <w:p>
      <w:pPr>
        <w:pStyle w:val="ListParagraph"/>
        <w:numPr>
          <w:ilvl w:val="0"/>
          <w:numId w:val="144"/>
        </w:numPr>
        <w:tabs>
          <w:tab w:pos="1074" w:val="left" w:leader="none"/>
        </w:tabs>
        <w:spacing w:line="230" w:lineRule="auto" w:before="5" w:after="0"/>
        <w:ind w:left="1074" w:right="1360" w:hanging="404"/>
        <w:jc w:val="both"/>
        <w:rPr>
          <w:sz w:val="24"/>
        </w:rPr>
      </w:pPr>
      <w:r>
        <w:rPr>
          <w:sz w:val="23"/>
        </w:rPr>
        <w:t>The Fate of Cases of Pulmonary Tuberculosis under Verious Treatment Programmes. Bull. I.U.A.T 1978; 53:</w:t>
      </w:r>
      <w:r>
        <w:rPr>
          <w:spacing w:val="16"/>
          <w:sz w:val="23"/>
        </w:rPr>
        <w:t> </w:t>
      </w:r>
      <w:r>
        <w:rPr>
          <w:sz w:val="23"/>
        </w:rPr>
        <w:t>70-5.</w:t>
      </w:r>
    </w:p>
    <w:p>
      <w:pPr>
        <w:pStyle w:val="ListParagraph"/>
        <w:numPr>
          <w:ilvl w:val="0"/>
          <w:numId w:val="144"/>
        </w:numPr>
        <w:tabs>
          <w:tab w:pos="1082" w:val="left" w:leader="none"/>
        </w:tabs>
        <w:spacing w:line="230" w:lineRule="auto" w:before="0" w:after="0"/>
        <w:ind w:left="1081" w:right="1360" w:hanging="411"/>
        <w:jc w:val="both"/>
        <w:rPr>
          <w:sz w:val="24"/>
        </w:rPr>
      </w:pPr>
      <w:r>
        <w:rPr>
          <w:sz w:val="23"/>
        </w:rPr>
        <w:t>Enarson DA. Principles of IUATLD Collaborative Tuberculosis Progammes. Bull Int Union Tuberc Lung Dis 1991; 66(4):</w:t>
      </w:r>
      <w:r>
        <w:rPr>
          <w:spacing w:val="25"/>
          <w:sz w:val="23"/>
        </w:rPr>
        <w:t> </w:t>
      </w:r>
      <w:r>
        <w:rPr>
          <w:sz w:val="23"/>
        </w:rPr>
        <w:t>195-200.</w:t>
      </w:r>
    </w:p>
    <w:p>
      <w:pPr>
        <w:pStyle w:val="ListParagraph"/>
        <w:numPr>
          <w:ilvl w:val="0"/>
          <w:numId w:val="144"/>
        </w:numPr>
        <w:tabs>
          <w:tab w:pos="1082" w:val="left" w:leader="none"/>
        </w:tabs>
        <w:spacing w:line="230" w:lineRule="auto" w:before="0" w:after="0"/>
        <w:ind w:left="1081" w:right="1361" w:hanging="411"/>
        <w:jc w:val="both"/>
        <w:rPr>
          <w:sz w:val="24"/>
        </w:rPr>
      </w:pPr>
      <w:r>
        <w:rPr>
          <w:sz w:val="23"/>
        </w:rPr>
        <w:t>The Internationl Union Against Tuberculosis and Lung Disease model National Tuberculosis Programmes. Tuber Lung Dis 1995; 76(2):</w:t>
      </w:r>
      <w:r>
        <w:rPr>
          <w:spacing w:val="34"/>
          <w:sz w:val="23"/>
        </w:rPr>
        <w:t> </w:t>
      </w:r>
      <w:r>
        <w:rPr>
          <w:sz w:val="23"/>
        </w:rPr>
        <w:t>95-9.</w:t>
      </w:r>
    </w:p>
    <w:p>
      <w:pPr>
        <w:pStyle w:val="ListParagraph"/>
        <w:numPr>
          <w:ilvl w:val="0"/>
          <w:numId w:val="144"/>
        </w:numPr>
        <w:tabs>
          <w:tab w:pos="1082" w:val="left" w:leader="none"/>
        </w:tabs>
        <w:spacing w:line="230" w:lineRule="auto" w:before="0" w:after="0"/>
        <w:ind w:left="1081" w:right="1360" w:hanging="411"/>
        <w:jc w:val="both"/>
        <w:rPr>
          <w:sz w:val="24"/>
        </w:rPr>
      </w:pPr>
      <w:r>
        <w:rPr>
          <w:sz w:val="23"/>
        </w:rPr>
        <w:t>Enarson DA, Rieder HL, Arnadottir T, et al. Management of Tubeculosis. A Guide for Low Income Countries, 5th ed. International Union Against Tuberculosis and Lung Disease, Paris</w:t>
      </w:r>
      <w:r>
        <w:rPr>
          <w:spacing w:val="11"/>
          <w:sz w:val="23"/>
        </w:rPr>
        <w:t> </w:t>
      </w:r>
      <w:r>
        <w:rPr>
          <w:sz w:val="23"/>
        </w:rPr>
        <w:t>2002.</w:t>
      </w:r>
    </w:p>
    <w:p>
      <w:pPr>
        <w:pStyle w:val="ListParagraph"/>
        <w:numPr>
          <w:ilvl w:val="0"/>
          <w:numId w:val="144"/>
        </w:numPr>
        <w:tabs>
          <w:tab w:pos="1082" w:val="left" w:leader="none"/>
        </w:tabs>
        <w:spacing w:line="230" w:lineRule="auto" w:before="0" w:after="0"/>
        <w:ind w:left="1081" w:right="1360" w:hanging="411"/>
        <w:jc w:val="both"/>
        <w:rPr>
          <w:sz w:val="24"/>
        </w:rPr>
      </w:pPr>
      <w:r>
        <w:rPr>
          <w:sz w:val="23"/>
        </w:rPr>
        <w:t>American Thoracic Society, Centers for Disease Control and Prevention,  Infectious Disease Society of America. Treatment of tuberculosis. Am J Respir Crit Care Med 2003; 167:</w:t>
      </w:r>
      <w:r>
        <w:rPr>
          <w:spacing w:val="13"/>
          <w:sz w:val="23"/>
        </w:rPr>
        <w:t> </w:t>
      </w:r>
      <w:r>
        <w:rPr>
          <w:sz w:val="23"/>
        </w:rPr>
        <w:t>603-62.</w:t>
      </w:r>
    </w:p>
    <w:p>
      <w:pPr>
        <w:pStyle w:val="ListParagraph"/>
        <w:numPr>
          <w:ilvl w:val="0"/>
          <w:numId w:val="144"/>
        </w:numPr>
        <w:tabs>
          <w:tab w:pos="1081" w:val="left" w:leader="none"/>
          <w:tab w:pos="1082" w:val="left" w:leader="none"/>
        </w:tabs>
        <w:spacing w:line="232" w:lineRule="auto" w:before="0" w:after="0"/>
        <w:ind w:left="1081" w:right="1360" w:hanging="411"/>
        <w:jc w:val="left"/>
        <w:rPr>
          <w:sz w:val="24"/>
        </w:rPr>
      </w:pPr>
      <w:r>
        <w:rPr>
          <w:sz w:val="23"/>
        </w:rPr>
        <w:t>World Health Organization. Treatment of Tuberculosis: Guidelines for National Programmes, 3rd ed. World Health Organization </w:t>
      </w:r>
      <w:r>
        <w:rPr>
          <w:spacing w:val="2"/>
          <w:sz w:val="23"/>
        </w:rPr>
        <w:t>Document2003; </w:t>
      </w:r>
      <w:r>
        <w:rPr>
          <w:sz w:val="23"/>
        </w:rPr>
        <w:t>WHO/CDS/TB/2003.313.</w:t>
      </w:r>
      <w:hyperlink r:id="rId79">
        <w:r>
          <w:rPr>
            <w:sz w:val="23"/>
          </w:rPr>
          <w:t> http://apps.who.int/iris/bitstream/10665/67890/1/WHO_CDS_TB_2003.313_eng</w:t>
        </w:r>
      </w:hyperlink>
      <w:hyperlink r:id="rId79">
        <w:r>
          <w:rPr>
            <w:sz w:val="23"/>
          </w:rPr>
          <w:t>.</w:t>
        </w:r>
      </w:hyperlink>
      <w:hyperlink r:id="rId79">
        <w:r>
          <w:rPr>
            <w:sz w:val="23"/>
          </w:rPr>
          <w:t> pdf?ua=1&amp;ua=1, </w:t>
        </w:r>
      </w:hyperlink>
      <w:r>
        <w:rPr>
          <w:sz w:val="23"/>
        </w:rPr>
        <w:t>online version accessed on</w:t>
      </w:r>
      <w:r>
        <w:rPr>
          <w:spacing w:val="24"/>
          <w:sz w:val="23"/>
        </w:rPr>
        <w:t> </w:t>
      </w:r>
      <w:r>
        <w:rPr>
          <w:sz w:val="23"/>
        </w:rPr>
        <w:t>2017-07-19.</w:t>
      </w:r>
    </w:p>
    <w:p>
      <w:pPr>
        <w:pStyle w:val="ListParagraph"/>
        <w:numPr>
          <w:ilvl w:val="0"/>
          <w:numId w:val="144"/>
        </w:numPr>
        <w:tabs>
          <w:tab w:pos="1081" w:val="left" w:leader="none"/>
          <w:tab w:pos="1082" w:val="left" w:leader="none"/>
        </w:tabs>
        <w:spacing w:line="404" w:lineRule="exact" w:before="0" w:after="0"/>
        <w:ind w:left="1081" w:right="0" w:hanging="412"/>
        <w:jc w:val="left"/>
        <w:rPr>
          <w:sz w:val="24"/>
        </w:rPr>
      </w:pPr>
      <w:r>
        <w:rPr>
          <w:sz w:val="23"/>
        </w:rPr>
        <w:t>World</w:t>
      </w:r>
      <w:r>
        <w:rPr>
          <w:spacing w:val="31"/>
          <w:sz w:val="23"/>
        </w:rPr>
        <w:t> </w:t>
      </w:r>
      <w:r>
        <w:rPr>
          <w:sz w:val="23"/>
        </w:rPr>
        <w:t>Health</w:t>
      </w:r>
      <w:r>
        <w:rPr>
          <w:spacing w:val="30"/>
          <w:sz w:val="23"/>
        </w:rPr>
        <w:t> </w:t>
      </w:r>
      <w:r>
        <w:rPr>
          <w:sz w:val="23"/>
        </w:rPr>
        <w:t>Organization.</w:t>
      </w:r>
      <w:r>
        <w:rPr>
          <w:spacing w:val="30"/>
          <w:sz w:val="23"/>
        </w:rPr>
        <w:t> </w:t>
      </w:r>
      <w:r>
        <w:rPr>
          <w:sz w:val="23"/>
        </w:rPr>
        <w:t>Public</w:t>
      </w:r>
      <w:r>
        <w:rPr>
          <w:spacing w:val="32"/>
          <w:sz w:val="23"/>
        </w:rPr>
        <w:t> </w:t>
      </w:r>
      <w:r>
        <w:rPr>
          <w:sz w:val="23"/>
        </w:rPr>
        <w:t>Private</w:t>
      </w:r>
      <w:r>
        <w:rPr>
          <w:spacing w:val="30"/>
          <w:sz w:val="23"/>
        </w:rPr>
        <w:t> </w:t>
      </w:r>
      <w:r>
        <w:rPr>
          <w:sz w:val="23"/>
        </w:rPr>
        <w:t>Mix</w:t>
      </w:r>
      <w:r>
        <w:rPr>
          <w:spacing w:val="30"/>
          <w:sz w:val="23"/>
        </w:rPr>
        <w:t> </w:t>
      </w:r>
      <w:r>
        <w:rPr>
          <w:sz w:val="23"/>
        </w:rPr>
        <w:t>for</w:t>
      </w:r>
      <w:r>
        <w:rPr>
          <w:spacing w:val="30"/>
          <w:sz w:val="23"/>
        </w:rPr>
        <w:t> </w:t>
      </w:r>
      <w:r>
        <w:rPr>
          <w:sz w:val="23"/>
        </w:rPr>
        <w:t>DOTS:</w:t>
      </w:r>
      <w:r>
        <w:rPr>
          <w:spacing w:val="30"/>
          <w:sz w:val="23"/>
        </w:rPr>
        <w:t> </w:t>
      </w:r>
      <w:r>
        <w:rPr>
          <w:sz w:val="23"/>
        </w:rPr>
        <w:t>Report</w:t>
      </w:r>
      <w:r>
        <w:rPr>
          <w:spacing w:val="31"/>
          <w:sz w:val="23"/>
        </w:rPr>
        <w:t> </w:t>
      </w:r>
      <w:r>
        <w:rPr>
          <w:sz w:val="23"/>
        </w:rPr>
        <w:t>of</w:t>
      </w:r>
      <w:r>
        <w:rPr>
          <w:spacing w:val="30"/>
          <w:sz w:val="23"/>
        </w:rPr>
        <w:t> </w:t>
      </w:r>
      <w:r>
        <w:rPr>
          <w:sz w:val="23"/>
        </w:rPr>
        <w:t>the</w:t>
      </w:r>
      <w:r>
        <w:rPr>
          <w:spacing w:val="30"/>
          <w:sz w:val="23"/>
        </w:rPr>
        <w:t> </w:t>
      </w:r>
      <w:r>
        <w:rPr>
          <w:sz w:val="23"/>
        </w:rPr>
        <w:t>Second</w:t>
      </w:r>
    </w:p>
    <w:p>
      <w:pPr>
        <w:spacing w:line="232" w:lineRule="auto" w:before="0"/>
        <w:ind w:left="1081" w:right="1354" w:firstLine="0"/>
        <w:jc w:val="left"/>
        <w:rPr>
          <w:sz w:val="23"/>
        </w:rPr>
      </w:pPr>
      <w:r>
        <w:rPr>
          <w:sz w:val="23"/>
        </w:rPr>
        <w:t>Meeting of the PPM Subgroup for DOTS Expansion; WHO/HTM/TB/2004.338.</w:t>
      </w:r>
      <w:hyperlink r:id="rId80">
        <w:r>
          <w:rPr>
            <w:sz w:val="23"/>
          </w:rPr>
          <w:t> http://whqlibdoc.who.int/hq/2004/WHO_HTM_TB_2004.338.pdf?ua=1&amp;ua=1,</w:t>
        </w:r>
      </w:hyperlink>
      <w:r>
        <w:rPr>
          <w:sz w:val="23"/>
        </w:rPr>
        <w:t> online version accessed on 2017-07-19.</w:t>
      </w:r>
    </w:p>
    <w:p>
      <w:pPr>
        <w:pStyle w:val="ListParagraph"/>
        <w:numPr>
          <w:ilvl w:val="0"/>
          <w:numId w:val="144"/>
        </w:numPr>
        <w:tabs>
          <w:tab w:pos="1082" w:val="left" w:leader="none"/>
        </w:tabs>
        <w:spacing w:line="230" w:lineRule="auto" w:before="0" w:after="0"/>
        <w:ind w:left="1081" w:right="1359" w:hanging="411"/>
        <w:jc w:val="both"/>
        <w:rPr>
          <w:sz w:val="24"/>
        </w:rPr>
      </w:pPr>
      <w:r>
        <w:rPr>
          <w:sz w:val="23"/>
        </w:rPr>
        <w:t>Tuberculosis Coalition for Technical Assistance. International Standards for Tuberculosis Care (ISTC), 2nd ed. Tuberculosis Coalition for Technical Assistance, The Hague,</w:t>
      </w:r>
      <w:r>
        <w:rPr>
          <w:spacing w:val="8"/>
          <w:sz w:val="23"/>
        </w:rPr>
        <w:t> </w:t>
      </w:r>
      <w:r>
        <w:rPr>
          <w:sz w:val="23"/>
        </w:rPr>
        <w:t>2009.</w:t>
      </w:r>
    </w:p>
    <w:p>
      <w:pPr>
        <w:pStyle w:val="ListParagraph"/>
        <w:numPr>
          <w:ilvl w:val="0"/>
          <w:numId w:val="144"/>
        </w:numPr>
        <w:tabs>
          <w:tab w:pos="1082" w:val="left" w:leader="none"/>
        </w:tabs>
        <w:spacing w:line="230" w:lineRule="auto" w:before="0" w:after="0"/>
        <w:ind w:left="1081" w:right="1360" w:hanging="411"/>
        <w:jc w:val="both"/>
        <w:rPr>
          <w:color w:val="FF0000"/>
          <w:sz w:val="24"/>
        </w:rPr>
      </w:pPr>
      <w:r>
        <w:rPr>
          <w:color w:val="FF0000"/>
          <w:sz w:val="23"/>
        </w:rPr>
        <w:t>Bloss, E., et al., Increasing directly observed therapy related to improved tuberculosis treatment outcomes in Taiwan. Int J Tuberc Lung Dis, 2012. 16(4): 462-7.</w:t>
      </w:r>
    </w:p>
    <w:p>
      <w:pPr>
        <w:pStyle w:val="ListParagraph"/>
        <w:numPr>
          <w:ilvl w:val="0"/>
          <w:numId w:val="144"/>
        </w:numPr>
        <w:tabs>
          <w:tab w:pos="1082" w:val="left" w:leader="none"/>
        </w:tabs>
        <w:spacing w:line="230" w:lineRule="auto" w:before="0" w:after="0"/>
        <w:ind w:left="1081" w:right="1357" w:hanging="411"/>
        <w:jc w:val="both"/>
        <w:rPr>
          <w:sz w:val="24"/>
        </w:rPr>
      </w:pPr>
      <w:r>
        <w:rPr>
          <w:sz w:val="23"/>
        </w:rPr>
        <w:t>Chiang CY, Van Deun A, Enarson DA. A poor drug-resistant tuberculosis programme is worse than no programme: time for a change. Int J Tuberc Lung  Dis 2013; 17(6):</w:t>
      </w:r>
      <w:r>
        <w:rPr>
          <w:spacing w:val="11"/>
          <w:sz w:val="23"/>
        </w:rPr>
        <w:t> </w:t>
      </w:r>
      <w:r>
        <w:rPr>
          <w:sz w:val="23"/>
        </w:rPr>
        <w:t>714-8.</w:t>
      </w:r>
    </w:p>
    <w:p>
      <w:pPr>
        <w:pStyle w:val="ListParagraph"/>
        <w:numPr>
          <w:ilvl w:val="0"/>
          <w:numId w:val="144"/>
        </w:numPr>
        <w:tabs>
          <w:tab w:pos="1082" w:val="left" w:leader="none"/>
        </w:tabs>
        <w:spacing w:line="230" w:lineRule="auto" w:before="0" w:after="0"/>
        <w:ind w:left="1081" w:right="1359" w:hanging="411"/>
        <w:jc w:val="both"/>
        <w:rPr>
          <w:sz w:val="24"/>
        </w:rPr>
      </w:pPr>
      <w:r>
        <w:rPr>
          <w:sz w:val="23"/>
        </w:rPr>
        <w:t>TB CARE I, USAID. International Standards for Tuberculosis Care (ISTC), 3rd ed. The Hague,</w:t>
      </w:r>
      <w:r>
        <w:rPr>
          <w:spacing w:val="8"/>
          <w:sz w:val="23"/>
        </w:rPr>
        <w:t> </w:t>
      </w:r>
      <w:r>
        <w:rPr>
          <w:sz w:val="23"/>
        </w:rPr>
        <w:t>2014.</w:t>
      </w:r>
    </w:p>
    <w:p>
      <w:pPr>
        <w:pStyle w:val="ListParagraph"/>
        <w:numPr>
          <w:ilvl w:val="0"/>
          <w:numId w:val="144"/>
        </w:numPr>
        <w:tabs>
          <w:tab w:pos="1056" w:val="left" w:leader="none"/>
        </w:tabs>
        <w:spacing w:line="230" w:lineRule="auto" w:before="0" w:after="0"/>
        <w:ind w:left="1056" w:right="1361" w:hanging="386"/>
        <w:jc w:val="both"/>
        <w:rPr>
          <w:sz w:val="24"/>
        </w:rPr>
      </w:pPr>
      <w:hyperlink r:id="rId20">
        <w:r>
          <w:rPr>
            <w:sz w:val="23"/>
          </w:rPr>
          <w:t>http://www.who.int/tb/publications/ISTC_3rdEd.pdf,</w:t>
        </w:r>
      </w:hyperlink>
      <w:r>
        <w:rPr>
          <w:sz w:val="23"/>
        </w:rPr>
        <w:t> online version accessed on 2017-07-20.</w:t>
      </w:r>
    </w:p>
    <w:p>
      <w:pPr>
        <w:spacing w:after="0" w:line="230" w:lineRule="auto"/>
        <w:jc w:val="both"/>
        <w:rPr>
          <w:sz w:val="24"/>
        </w:rPr>
        <w:sectPr>
          <w:pgSz w:w="12250" w:h="17190"/>
          <w:pgMar w:header="0" w:footer="734" w:top="1440" w:bottom="1020" w:left="1020" w:right="0"/>
        </w:sectPr>
      </w:pPr>
    </w:p>
    <w:p>
      <w:pPr>
        <w:pStyle w:val="Heading1"/>
        <w:tabs>
          <w:tab w:pos="4361" w:val="left" w:leader="none"/>
        </w:tabs>
        <w:spacing w:line="674" w:lineRule="exact"/>
        <w:ind w:left="2512"/>
      </w:pPr>
      <w:r>
        <w:rPr/>
        <w:t>第十二章</w:t>
        <w:tab/>
        <w:t>抗藥性結核病的治療</w:t>
      </w:r>
    </w:p>
    <w:p>
      <w:pPr>
        <w:pStyle w:val="BodyText"/>
        <w:spacing w:line="225" w:lineRule="auto" w:before="134"/>
        <w:ind w:left="340" w:right="1357" w:firstLine="488"/>
        <w:jc w:val="both"/>
      </w:pPr>
      <w:r>
        <w:rPr/>
        <w:t>管理抗藥性結核病通常是很複雜的。與藥物敏感結核相比，即使在最好的治療環境之下，要達到成功治療抗藥性結核病的結果還是很困難。抗藥性結核病的存在始終威脅著WHO 終結結核病的目標。因此世界衛生組織在 2011 到 2020 年間，從實證醫學角度建立抗藥性結核病的治療與照護方針。</w:t>
      </w:r>
    </w:p>
    <w:p>
      <w:pPr>
        <w:pStyle w:val="BodyText"/>
        <w:spacing w:before="14"/>
        <w:rPr>
          <w:sz w:val="18"/>
        </w:rPr>
      </w:pPr>
    </w:p>
    <w:p>
      <w:pPr>
        <w:pStyle w:val="Heading6"/>
        <w:numPr>
          <w:ilvl w:val="1"/>
          <w:numId w:val="145"/>
        </w:numPr>
        <w:tabs>
          <w:tab w:pos="976" w:val="left" w:leader="none"/>
        </w:tabs>
        <w:spacing w:line="240" w:lineRule="auto" w:before="0" w:after="0"/>
        <w:ind w:left="975" w:right="0" w:hanging="636"/>
        <w:jc w:val="both"/>
      </w:pPr>
      <w:bookmarkStart w:name="12.1 與專家諮詢會診" w:id="138"/>
      <w:bookmarkEnd w:id="138"/>
      <w:r>
        <w:rPr>
          <w:b w:val="0"/>
        </w:rPr>
      </w:r>
      <w:bookmarkStart w:name="12.1 與專家諮詢會診" w:id="139"/>
      <w:bookmarkEnd w:id="139"/>
      <w:r>
        <w:rPr>
          <w:spacing w:val="3"/>
        </w:rPr>
        <w:t>與專家諮詢會診</w:t>
      </w:r>
    </w:p>
    <w:p>
      <w:pPr>
        <w:pStyle w:val="BodyText"/>
        <w:spacing w:line="225" w:lineRule="auto" w:before="22"/>
        <w:ind w:left="968" w:right="1361" w:firstLine="487"/>
        <w:jc w:val="both"/>
      </w:pPr>
      <w:r>
        <w:rPr>
          <w:spacing w:val="12"/>
        </w:rPr>
        <w:t>治療抗藥性結核病應該由臨床專家或是與專門在管理這些困難個案的專家合</w:t>
      </w:r>
      <w:r>
        <w:rPr>
          <w:spacing w:val="-8"/>
        </w:rPr>
        <w:t>作。二線藥物治療通常是病人治癒最後的希望，若沒有適當的個案管理，容易導致治</w:t>
      </w:r>
      <w:r>
        <w:rPr>
          <w:spacing w:val="2"/>
        </w:rPr>
        <w:t>療失敗的結果。抗藥性結核病的專家們可以提供諮詢與協助：</w:t>
      </w:r>
    </w:p>
    <w:p>
      <w:pPr>
        <w:pStyle w:val="ListParagraph"/>
        <w:numPr>
          <w:ilvl w:val="2"/>
          <w:numId w:val="145"/>
        </w:numPr>
        <w:tabs>
          <w:tab w:pos="965" w:val="left" w:leader="none"/>
        </w:tabs>
        <w:spacing w:line="225" w:lineRule="auto" w:before="0" w:after="0"/>
        <w:ind w:left="964" w:right="1362" w:hanging="340"/>
        <w:jc w:val="left"/>
        <w:rPr>
          <w:sz w:val="24"/>
        </w:rPr>
      </w:pPr>
      <w:r>
        <w:rPr>
          <w:spacing w:val="-5"/>
          <w:sz w:val="24"/>
        </w:rPr>
        <w:t>在懷疑是抗藥性結核病時，協助設計治療處方；在已確診為抗藥性結核病後，則依抗</w:t>
      </w:r>
      <w:r>
        <w:rPr>
          <w:spacing w:val="3"/>
          <w:sz w:val="24"/>
        </w:rPr>
        <w:t>藥種類來協助設計治療處方。</w:t>
      </w:r>
    </w:p>
    <w:p>
      <w:pPr>
        <w:pStyle w:val="ListParagraph"/>
        <w:numPr>
          <w:ilvl w:val="2"/>
          <w:numId w:val="145"/>
        </w:numPr>
        <w:tabs>
          <w:tab w:pos="965" w:val="left" w:leader="none"/>
        </w:tabs>
        <w:spacing w:line="407" w:lineRule="exact" w:before="0" w:after="0"/>
        <w:ind w:left="964" w:right="0" w:hanging="340"/>
        <w:jc w:val="left"/>
        <w:rPr>
          <w:sz w:val="24"/>
        </w:rPr>
      </w:pPr>
      <w:r>
        <w:rPr>
          <w:spacing w:val="2"/>
          <w:sz w:val="24"/>
        </w:rPr>
        <w:t>當病人有抗藥危險因子時，協助決定藥物感受性試驗的需求與方法。</w:t>
      </w:r>
    </w:p>
    <w:p>
      <w:pPr>
        <w:pStyle w:val="ListParagraph"/>
        <w:numPr>
          <w:ilvl w:val="2"/>
          <w:numId w:val="145"/>
        </w:numPr>
        <w:tabs>
          <w:tab w:pos="965" w:val="left" w:leader="none"/>
        </w:tabs>
        <w:spacing w:line="414" w:lineRule="exact" w:before="0" w:after="0"/>
        <w:ind w:left="964" w:right="0" w:hanging="340"/>
        <w:jc w:val="left"/>
        <w:rPr>
          <w:sz w:val="24"/>
        </w:rPr>
      </w:pPr>
      <w:r>
        <w:rPr>
          <w:spacing w:val="2"/>
          <w:sz w:val="24"/>
        </w:rPr>
        <w:t>當出現不良反應時，協助監測藥物毒性與調整治療處方。</w:t>
      </w:r>
    </w:p>
    <w:p>
      <w:pPr>
        <w:pStyle w:val="ListParagraph"/>
        <w:numPr>
          <w:ilvl w:val="2"/>
          <w:numId w:val="145"/>
        </w:numPr>
        <w:tabs>
          <w:tab w:pos="965" w:val="left" w:leader="none"/>
        </w:tabs>
        <w:spacing w:line="414" w:lineRule="exact" w:before="0" w:after="0"/>
        <w:ind w:left="964" w:right="0" w:hanging="340"/>
        <w:jc w:val="left"/>
        <w:rPr>
          <w:sz w:val="24"/>
        </w:rPr>
      </w:pPr>
      <w:r>
        <w:rPr>
          <w:spacing w:val="2"/>
          <w:sz w:val="24"/>
        </w:rPr>
        <w:t>協助決定是否應改變處方，例如：停止注射藥物。</w:t>
      </w:r>
    </w:p>
    <w:p>
      <w:pPr>
        <w:pStyle w:val="ListParagraph"/>
        <w:numPr>
          <w:ilvl w:val="2"/>
          <w:numId w:val="145"/>
        </w:numPr>
        <w:tabs>
          <w:tab w:pos="965" w:val="left" w:leader="none"/>
        </w:tabs>
        <w:spacing w:line="414" w:lineRule="exact" w:before="0" w:after="0"/>
        <w:ind w:left="964" w:right="0" w:hanging="340"/>
        <w:jc w:val="left"/>
        <w:rPr>
          <w:sz w:val="24"/>
        </w:rPr>
      </w:pPr>
      <w:r>
        <w:rPr>
          <w:spacing w:val="3"/>
          <w:sz w:val="24"/>
        </w:rPr>
        <w:t>提供關於藥物不良反應的資訊。</w:t>
      </w:r>
    </w:p>
    <w:p>
      <w:pPr>
        <w:pStyle w:val="ListParagraph"/>
        <w:numPr>
          <w:ilvl w:val="2"/>
          <w:numId w:val="145"/>
        </w:numPr>
        <w:tabs>
          <w:tab w:pos="965" w:val="left" w:leader="none"/>
        </w:tabs>
        <w:spacing w:line="428" w:lineRule="exact" w:before="0" w:after="0"/>
        <w:ind w:left="964" w:right="0" w:hanging="340"/>
        <w:jc w:val="left"/>
        <w:rPr>
          <w:sz w:val="24"/>
        </w:rPr>
      </w:pPr>
      <w:r>
        <w:rPr>
          <w:spacing w:val="3"/>
          <w:sz w:val="24"/>
        </w:rPr>
        <w:t>提供管理抗藥性結核病接觸者的診治指引。</w:t>
      </w:r>
    </w:p>
    <w:p>
      <w:pPr>
        <w:pStyle w:val="BodyText"/>
        <w:spacing w:line="428" w:lineRule="exact" w:before="91"/>
        <w:ind w:left="829"/>
      </w:pPr>
      <w:r>
        <w:rPr/>
        <w:t>治療已知或可能的 Multidrug-Resistant Tuberculosis (MDR-TB)，即至少對 INH 及</w:t>
      </w:r>
    </w:p>
    <w:p>
      <w:pPr>
        <w:pStyle w:val="BodyText"/>
        <w:spacing w:line="414" w:lineRule="exact"/>
        <w:ind w:left="340"/>
      </w:pPr>
      <w:r>
        <w:rPr/>
        <w:t>RMP 兩種(含以上)抗結核藥物抗藥的個案時，應該：</w:t>
      </w:r>
    </w:p>
    <w:p>
      <w:pPr>
        <w:pStyle w:val="ListParagraph"/>
        <w:numPr>
          <w:ilvl w:val="0"/>
          <w:numId w:val="146"/>
        </w:numPr>
        <w:tabs>
          <w:tab w:pos="965" w:val="left" w:leader="none"/>
        </w:tabs>
        <w:spacing w:line="414" w:lineRule="exact" w:before="0" w:after="0"/>
        <w:ind w:left="964" w:right="0" w:hanging="340"/>
        <w:jc w:val="left"/>
        <w:rPr>
          <w:sz w:val="24"/>
        </w:rPr>
      </w:pPr>
      <w:r>
        <w:rPr>
          <w:spacing w:val="2"/>
          <w:sz w:val="24"/>
        </w:rPr>
        <w:t>會診當地或區域內的 </w:t>
      </w:r>
      <w:r>
        <w:rPr>
          <w:sz w:val="24"/>
        </w:rPr>
        <w:t>MDR-TB</w:t>
      </w:r>
      <w:r>
        <w:rPr>
          <w:spacing w:val="3"/>
          <w:sz w:val="24"/>
        </w:rPr>
        <w:t> 專家，最好以紙本記錄討論過程以及建議。</w:t>
      </w:r>
    </w:p>
    <w:p>
      <w:pPr>
        <w:pStyle w:val="ListParagraph"/>
        <w:numPr>
          <w:ilvl w:val="0"/>
          <w:numId w:val="146"/>
        </w:numPr>
        <w:tabs>
          <w:tab w:pos="965" w:val="left" w:leader="none"/>
        </w:tabs>
        <w:spacing w:line="414" w:lineRule="exact" w:before="0" w:after="0"/>
        <w:ind w:left="964" w:right="0" w:hanging="340"/>
        <w:jc w:val="left"/>
        <w:rPr>
          <w:sz w:val="24"/>
        </w:rPr>
      </w:pPr>
      <w:r>
        <w:rPr>
          <w:spacing w:val="2"/>
          <w:sz w:val="24"/>
        </w:rPr>
        <w:t>與專家保持聯絡並定期討論個案。</w:t>
      </w:r>
    </w:p>
    <w:p>
      <w:pPr>
        <w:pStyle w:val="ListParagraph"/>
        <w:numPr>
          <w:ilvl w:val="0"/>
          <w:numId w:val="146"/>
        </w:numPr>
        <w:tabs>
          <w:tab w:pos="965" w:val="left" w:leader="none"/>
        </w:tabs>
        <w:spacing w:line="414" w:lineRule="exact" w:before="0" w:after="0"/>
        <w:ind w:left="964" w:right="0" w:hanging="340"/>
        <w:jc w:val="left"/>
        <w:rPr>
          <w:sz w:val="24"/>
        </w:rPr>
      </w:pPr>
      <w:r>
        <w:rPr>
          <w:spacing w:val="3"/>
          <w:sz w:val="24"/>
        </w:rPr>
        <w:t>任何有關治療處方的改變，先與專家諮詢討論。</w:t>
      </w:r>
    </w:p>
    <w:p>
      <w:pPr>
        <w:pStyle w:val="ListParagraph"/>
        <w:numPr>
          <w:ilvl w:val="0"/>
          <w:numId w:val="146"/>
        </w:numPr>
        <w:tabs>
          <w:tab w:pos="965" w:val="left" w:leader="none"/>
        </w:tabs>
        <w:spacing w:line="428" w:lineRule="exact" w:before="0" w:after="0"/>
        <w:ind w:left="964" w:right="0" w:hanging="340"/>
        <w:jc w:val="left"/>
        <w:rPr>
          <w:sz w:val="24"/>
        </w:rPr>
      </w:pPr>
      <w:r>
        <w:rPr>
          <w:spacing w:val="3"/>
          <w:sz w:val="24"/>
        </w:rPr>
        <w:t>向專家諮詢個案的治療反應以及藥物不良反應事件。</w:t>
      </w:r>
    </w:p>
    <w:p>
      <w:pPr>
        <w:pStyle w:val="BodyText"/>
        <w:spacing w:before="4"/>
        <w:rPr>
          <w:sz w:val="16"/>
        </w:rPr>
      </w:pPr>
    </w:p>
    <w:p>
      <w:pPr>
        <w:pStyle w:val="Heading6"/>
        <w:numPr>
          <w:ilvl w:val="1"/>
          <w:numId w:val="145"/>
        </w:numPr>
        <w:tabs>
          <w:tab w:pos="976" w:val="left" w:leader="none"/>
        </w:tabs>
        <w:spacing w:line="455" w:lineRule="exact" w:before="0" w:after="0"/>
        <w:ind w:left="975" w:right="0" w:hanging="636"/>
        <w:jc w:val="both"/>
      </w:pPr>
      <w:bookmarkStart w:name="12.2 開始有經驗且廣泛的治療處方" w:id="140"/>
      <w:bookmarkEnd w:id="140"/>
      <w:r>
        <w:rPr>
          <w:b w:val="0"/>
        </w:rPr>
      </w:r>
      <w:bookmarkStart w:name="12.2 開始有經驗且廣泛的治療處方" w:id="141"/>
      <w:bookmarkEnd w:id="141"/>
      <w:r>
        <w:rPr>
          <w:spacing w:val="2"/>
        </w:rPr>
        <w:t>開始有經驗且廣泛的治療處方</w:t>
      </w:r>
    </w:p>
    <w:p>
      <w:pPr>
        <w:pStyle w:val="ListParagraph"/>
        <w:numPr>
          <w:ilvl w:val="0"/>
          <w:numId w:val="147"/>
        </w:numPr>
        <w:tabs>
          <w:tab w:pos="993" w:val="left" w:leader="none"/>
        </w:tabs>
        <w:spacing w:line="455" w:lineRule="exact" w:before="0" w:after="0"/>
        <w:ind w:left="992" w:right="0" w:hanging="367"/>
        <w:jc w:val="left"/>
        <w:rPr>
          <w:b/>
          <w:i/>
          <w:sz w:val="25"/>
        </w:rPr>
      </w:pPr>
      <w:r>
        <w:rPr>
          <w:b/>
          <w:spacing w:val="1"/>
          <w:sz w:val="24"/>
        </w:rPr>
        <w:t>單一抗藥 </w:t>
      </w:r>
      <w:r>
        <w:rPr>
          <w:b/>
          <w:i/>
          <w:spacing w:val="5"/>
          <w:sz w:val="25"/>
        </w:rPr>
        <w:t>Mycobacterium</w:t>
      </w:r>
      <w:r>
        <w:rPr>
          <w:b/>
          <w:i/>
          <w:spacing w:val="4"/>
          <w:sz w:val="25"/>
        </w:rPr>
        <w:t> Tuberculosis</w:t>
      </w:r>
    </w:p>
    <w:p>
      <w:pPr>
        <w:pStyle w:val="Heading7"/>
        <w:numPr>
          <w:ilvl w:val="1"/>
          <w:numId w:val="147"/>
        </w:numPr>
        <w:tabs>
          <w:tab w:pos="1506" w:val="left" w:leader="none"/>
        </w:tabs>
        <w:spacing w:line="426" w:lineRule="exact" w:before="4" w:after="0"/>
        <w:ind w:left="1506" w:right="0" w:hanging="473"/>
        <w:jc w:val="left"/>
      </w:pPr>
      <w:r>
        <w:rPr>
          <w:spacing w:val="54"/>
        </w:rPr>
        <w:t>對</w:t>
      </w:r>
      <w:r>
        <w:rPr/>
        <w:t>INH</w:t>
      </w:r>
      <w:r>
        <w:rPr>
          <w:spacing w:val="3"/>
        </w:rPr>
        <w:t> 單一抗藥 (</w:t>
      </w:r>
      <w:r>
        <w:rPr>
          <w:spacing w:val="-3"/>
        </w:rPr>
        <w:t>Hr-TB)</w:t>
      </w:r>
    </w:p>
    <w:p>
      <w:pPr>
        <w:pStyle w:val="BodyText"/>
        <w:spacing w:line="223" w:lineRule="auto" w:before="7"/>
        <w:ind w:left="1539" w:right="1301" w:firstLine="488"/>
        <w:jc w:val="both"/>
      </w:pPr>
      <w:r>
        <w:rPr/>
        <w:t>近幾年 WHO 建議以 rifampicin， ethambutol，pyrazinamide ± INH 構成的處方來治療 INH 單一抗藥。WHO 2020 年出版的抗藥性結核病診治指引， 基於來自 33 個資料庫、5418 位對 INH 單一抗藥的個案資料，比較不同的一線抗結核藥的用藥時間長短，以及再加上 fluoroquinolone 或是 Streptomycin 之治療成果。這些研究資料來自世界不同的地區(亞洲 26%；歐洲 33%；美洲31%；與非洲 6%)。基於分析結果，WHO 建議在治療前已知 rifampicin 敏感而 INH 單一抗藥之個案，可以考慮每天服用 rifampicin， ethambutol，</w:t>
      </w:r>
    </w:p>
    <w:p>
      <w:pPr>
        <w:spacing w:after="0" w:line="223" w:lineRule="auto"/>
        <w:jc w:val="both"/>
        <w:sectPr>
          <w:pgSz w:w="12250" w:h="17190"/>
          <w:pgMar w:header="0" w:footer="734" w:top="1340" w:bottom="1020" w:left="1020" w:right="0"/>
        </w:sectPr>
      </w:pPr>
    </w:p>
    <w:p>
      <w:pPr>
        <w:pStyle w:val="BodyText"/>
        <w:spacing w:line="223" w:lineRule="auto" w:before="45"/>
        <w:ind w:left="1539" w:right="1356"/>
        <w:jc w:val="both"/>
      </w:pPr>
      <w:r>
        <w:rPr/>
        <w:pict>
          <v:group style="position:absolute;margin-left:573pt;margin-top:.723596pt;width:39.4pt;height:177.4pt;mso-position-horizontal-relative:page;mso-position-vertical-relative:paragraph;z-index:251888640" coordorigin="11460,14" coordsize="788,3548">
            <v:shape style="position:absolute;left:11460;top:14;width:788;height:3548" coordorigin="11460,14" coordsize="788,3548" path="m12247,14l11625,14,11561,27,11508,63,11473,115,11460,180,11460,3397,11473,3461,11508,3514,11561,3549,11625,3562,12247,3562,12247,14xe" filled="true" fillcolor="#a6a6a6" stroked="false">
              <v:path arrowok="t"/>
              <v:fill type="solid"/>
            </v:shape>
            <v:shape style="position:absolute;left:11460;top:1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t>pyrazinamide，levofloxacin</w:t>
      </w:r>
      <w:r>
        <w:rPr>
          <w:spacing w:val="18"/>
        </w:rPr>
        <w:t> ± </w:t>
      </w:r>
      <w:r>
        <w:rPr/>
        <w:t>INH 6</w:t>
      </w:r>
      <w:r>
        <w:rPr>
          <w:spacing w:val="3"/>
        </w:rPr>
        <w:t> 個月，且不建議加入 </w:t>
      </w:r>
      <w:r>
        <w:rPr/>
        <w:t>Streptomycin</w:t>
      </w:r>
      <w:r>
        <w:rPr>
          <w:spacing w:val="5"/>
        </w:rPr>
        <w:t> 或</w:t>
      </w:r>
      <w:r>
        <w:rPr>
          <w:spacing w:val="2"/>
        </w:rPr>
        <w:t>是其他針劑。在開始這個治療處方前，必須確認已由 </w:t>
      </w:r>
      <w:r>
        <w:rPr/>
        <w:t>WHO</w:t>
      </w:r>
      <w:r>
        <w:rPr>
          <w:spacing w:val="7"/>
        </w:rPr>
        <w:t> 建議的 </w:t>
      </w:r>
      <w:r>
        <w:rPr/>
        <w:t>genotypic </w:t>
      </w:r>
      <w:r>
        <w:rPr>
          <w:spacing w:val="6"/>
        </w:rPr>
        <w:t>或是 </w:t>
      </w:r>
      <w:r>
        <w:rPr/>
        <w:t>phenotypic</w:t>
      </w:r>
      <w:r>
        <w:rPr>
          <w:spacing w:val="5"/>
        </w:rPr>
        <w:t> 的檢驗排除 </w:t>
      </w:r>
      <w:r>
        <w:rPr/>
        <w:t>rifampicin</w:t>
      </w:r>
      <w:r>
        <w:rPr>
          <w:spacing w:val="3"/>
        </w:rPr>
        <w:t> 抗藥。理想的狀況下，也同時排除fluoroquinolones</w:t>
      </w:r>
      <w:r>
        <w:rPr>
          <w:spacing w:val="11"/>
        </w:rPr>
        <w:t> 及 </w:t>
      </w:r>
      <w:r>
        <w:rPr/>
        <w:t>pyrazinamide</w:t>
      </w:r>
      <w:r>
        <w:rPr>
          <w:spacing w:val="6"/>
        </w:rPr>
        <w:t> 抗藥之可能。這個建議在臺灣不一定適</w:t>
      </w:r>
      <w:r>
        <w:rPr>
          <w:spacing w:val="-1"/>
        </w:rPr>
        <w:t>用，因為大多數病人在治療前沒有 </w:t>
      </w:r>
      <w:r>
        <w:rPr/>
        <w:t>DST</w:t>
      </w:r>
      <w:r>
        <w:rPr>
          <w:spacing w:val="-2"/>
        </w:rPr>
        <w:t> 結果。通常是在治療 </w:t>
      </w:r>
      <w:r>
        <w:rPr/>
        <w:t>1-2</w:t>
      </w:r>
      <w:r>
        <w:rPr>
          <w:spacing w:val="-4"/>
        </w:rPr>
        <w:t> 個月後，才知</w:t>
      </w:r>
      <w:r>
        <w:rPr>
          <w:spacing w:val="50"/>
        </w:rPr>
        <w:t>道</w:t>
      </w:r>
      <w:r>
        <w:rPr/>
        <w:t>INH</w:t>
      </w:r>
      <w:r>
        <w:rPr>
          <w:spacing w:val="-34"/>
        </w:rPr>
        <w:t> 抗藥。</w:t>
      </w:r>
      <w:r>
        <w:rPr/>
        <w:t>WHO</w:t>
      </w:r>
      <w:r>
        <w:rPr>
          <w:spacing w:val="-13"/>
        </w:rPr>
        <w:t> 建議在治療過程中，發現 </w:t>
      </w:r>
      <w:r>
        <w:rPr/>
        <w:t>INH</w:t>
      </w:r>
      <w:r>
        <w:rPr>
          <w:spacing w:val="-19"/>
        </w:rPr>
        <w:t> 抗藥，在加上 </w:t>
      </w:r>
      <w:r>
        <w:rPr/>
        <w:t>fluoroquinolone </w:t>
      </w:r>
      <w:r>
        <w:rPr>
          <w:spacing w:val="-7"/>
        </w:rPr>
        <w:t>前，必須排除 </w:t>
      </w:r>
      <w:r>
        <w:rPr/>
        <w:t>rifampicin</w:t>
      </w:r>
      <w:r>
        <w:rPr>
          <w:spacing w:val="-7"/>
        </w:rPr>
        <w:t> 抗藥。治療 </w:t>
      </w:r>
      <w:r>
        <w:rPr/>
        <w:t>1-2</w:t>
      </w:r>
      <w:r>
        <w:rPr>
          <w:spacing w:val="-9"/>
        </w:rPr>
        <w:t> 個月後，如果治療反應不佳，不能忽視</w:t>
      </w:r>
      <w:r>
        <w:rPr>
          <w:spacing w:val="-6"/>
        </w:rPr>
        <w:t>已產生 </w:t>
      </w:r>
      <w:r>
        <w:rPr/>
        <w:t>rifampicin</w:t>
      </w:r>
      <w:r>
        <w:rPr>
          <w:spacing w:val="1"/>
        </w:rPr>
        <w:t> 抗藥</w:t>
      </w:r>
      <w:r>
        <w:rPr/>
        <w:t>(acquired rifampicin resistance</w:t>
      </w:r>
      <w:r>
        <w:rPr>
          <w:spacing w:val="1"/>
        </w:rPr>
        <w:t>)變成 </w:t>
      </w:r>
      <w:r>
        <w:rPr/>
        <w:t>MDR-TB 的可能</w:t>
      </w:r>
      <w:r>
        <w:rPr>
          <w:spacing w:val="3"/>
        </w:rPr>
        <w:t>性，再加上 </w:t>
      </w:r>
      <w:r>
        <w:rPr/>
        <w:t>fluoroquinolone</w:t>
      </w:r>
      <w:r>
        <w:rPr>
          <w:spacing w:val="3"/>
        </w:rPr>
        <w:t> 有進一步導致 </w:t>
      </w:r>
      <w:r>
        <w:rPr/>
        <w:t>fluoroquinolone 抗藥的風險，而fluoroquinolone</w:t>
      </w:r>
      <w:r>
        <w:rPr>
          <w:spacing w:val="-3"/>
        </w:rPr>
        <w:t> 是治療 </w:t>
      </w:r>
      <w:r>
        <w:rPr/>
        <w:t>MDR-TB</w:t>
      </w:r>
      <w:r>
        <w:rPr>
          <w:spacing w:val="-11"/>
        </w:rPr>
        <w:t> 的重要藥物，</w:t>
      </w:r>
      <w:r>
        <w:rPr>
          <w:spacing w:val="-5"/>
        </w:rPr>
        <w:t>fluoroquinolone</w:t>
      </w:r>
      <w:r>
        <w:rPr>
          <w:spacing w:val="-3"/>
        </w:rPr>
        <w:t> 抗藥的 </w:t>
      </w:r>
      <w:r>
        <w:rPr/>
        <w:t>MDR- TB 非常難治療。因此為保護 fluoroquinolone，</w:t>
      </w:r>
      <w:r>
        <w:rPr>
          <w:spacing w:val="3"/>
        </w:rPr>
        <w:t>使用 </w:t>
      </w:r>
      <w:r>
        <w:rPr/>
        <w:t>fluoroquinolone</w:t>
      </w:r>
      <w:r>
        <w:rPr>
          <w:spacing w:val="2"/>
        </w:rPr>
        <w:t> 前必須</w:t>
      </w:r>
      <w:r>
        <w:rPr>
          <w:spacing w:val="1"/>
        </w:rPr>
        <w:t>經過專家評估，確保不產生 </w:t>
      </w:r>
      <w:r>
        <w:rPr/>
        <w:t>fluoroquinolone</w:t>
      </w:r>
      <w:r>
        <w:rPr>
          <w:spacing w:val="-1"/>
        </w:rPr>
        <w:t> 抗藥。</w:t>
      </w:r>
    </w:p>
    <w:p>
      <w:pPr>
        <w:pStyle w:val="BodyText"/>
        <w:spacing w:line="218" w:lineRule="auto"/>
        <w:ind w:left="1539" w:right="1325" w:firstLine="488"/>
        <w:jc w:val="right"/>
      </w:pPr>
      <w:r>
        <w:rPr>
          <w:spacing w:val="1"/>
        </w:rPr>
        <w:t>對 </w:t>
      </w:r>
      <w:r>
        <w:rPr/>
        <w:t>INH</w:t>
      </w:r>
      <w:r>
        <w:rPr>
          <w:spacing w:val="-5"/>
        </w:rPr>
        <w:t> 抗藥，是否繼續使用 </w:t>
      </w:r>
      <w:r>
        <w:rPr>
          <w:spacing w:val="-13"/>
        </w:rPr>
        <w:t>INH</w:t>
      </w:r>
      <w:r>
        <w:rPr>
          <w:spacing w:val="-10"/>
        </w:rPr>
        <w:t>，並無定論。</w:t>
      </w:r>
      <w:r>
        <w:rPr>
          <w:i/>
          <w:sz w:val="25"/>
        </w:rPr>
        <w:t>inhA </w:t>
      </w:r>
      <w:r>
        <w:rPr>
          <w:spacing w:val="2"/>
        </w:rPr>
        <w:t>突變引起的 </w:t>
      </w:r>
      <w:r>
        <w:rPr/>
        <w:t>INH</w:t>
      </w:r>
      <w:r>
        <w:rPr>
          <w:spacing w:val="-12"/>
        </w:rPr>
        <w:t> 抗藥，</w:t>
      </w:r>
      <w:r>
        <w:rPr>
          <w:spacing w:val="-3"/>
        </w:rPr>
        <w:t>通常是低濃度抗藥，一般劑量 </w:t>
      </w:r>
      <w:r>
        <w:rPr/>
        <w:t>300mg INH</w:t>
      </w:r>
      <w:r>
        <w:rPr>
          <w:spacing w:val="-3"/>
        </w:rPr>
        <w:t> 所達到的血中濃度，超過 </w:t>
      </w:r>
      <w:r>
        <w:rPr>
          <w:i/>
          <w:sz w:val="25"/>
        </w:rPr>
        <w:t>inhA </w:t>
      </w:r>
      <w:r>
        <w:rPr>
          <w:spacing w:val="3"/>
        </w:rPr>
        <w:t>抗藥</w:t>
      </w:r>
      <w:r>
        <w:rPr>
          <w:spacing w:val="2"/>
        </w:rPr>
        <w:t>菌種的最低抑菌濃度。研究顯示一般劑量 </w:t>
      </w:r>
      <w:r>
        <w:rPr/>
        <w:t>5mg/kg INH</w:t>
      </w:r>
      <w:r>
        <w:rPr>
          <w:spacing w:val="1"/>
        </w:rPr>
        <w:t> 對 </w:t>
      </w:r>
      <w:r>
        <w:rPr>
          <w:i/>
          <w:sz w:val="25"/>
        </w:rPr>
        <w:t>inhA</w:t>
      </w:r>
      <w:r>
        <w:rPr>
          <w:i/>
          <w:spacing w:val="59"/>
          <w:sz w:val="25"/>
        </w:rPr>
        <w:t> </w:t>
      </w:r>
      <w:r>
        <w:rPr>
          <w:spacing w:val="4"/>
        </w:rPr>
        <w:t>突變引起的 </w:t>
      </w:r>
      <w:r>
        <w:rPr/>
        <w:t>INH</w:t>
      </w:r>
      <w:r>
        <w:rPr>
          <w:spacing w:val="7"/>
        </w:rPr>
        <w:t> 抗藥有部分效果，</w:t>
      </w:r>
      <w:r>
        <w:rPr/>
        <w:t>10mg/kg INH</w:t>
      </w:r>
      <w:r>
        <w:rPr>
          <w:spacing w:val="36"/>
        </w:rPr>
        <w:t> 對 </w:t>
      </w:r>
      <w:r>
        <w:rPr>
          <w:i/>
          <w:sz w:val="25"/>
        </w:rPr>
        <w:t>inhA</w:t>
      </w:r>
      <w:r>
        <w:rPr>
          <w:i/>
          <w:spacing w:val="51"/>
          <w:sz w:val="25"/>
        </w:rPr>
        <w:t> </w:t>
      </w:r>
      <w:r>
        <w:rPr>
          <w:spacing w:val="11"/>
        </w:rPr>
        <w:t>突變引起的 </w:t>
      </w:r>
      <w:r>
        <w:rPr/>
        <w:t>INH</w:t>
      </w:r>
      <w:r>
        <w:rPr>
          <w:spacing w:val="10"/>
        </w:rPr>
        <w:t> 抗藥結核之 early </w:t>
      </w:r>
      <w:r>
        <w:rPr/>
        <w:t>bactericidal activity</w:t>
      </w:r>
      <w:r>
        <w:rPr>
          <w:spacing w:val="8"/>
        </w:rPr>
        <w:t> 等同於 </w:t>
      </w:r>
      <w:r>
        <w:rPr/>
        <w:t>5mg/kg INH</w:t>
      </w:r>
      <w:r>
        <w:rPr>
          <w:spacing w:val="8"/>
        </w:rPr>
        <w:t> 對 </w:t>
      </w:r>
      <w:r>
        <w:rPr/>
        <w:t>INH</w:t>
      </w:r>
      <w:r>
        <w:rPr>
          <w:spacing w:val="9"/>
        </w:rPr>
        <w:t> 敏感結核之 </w:t>
      </w:r>
      <w:r>
        <w:rPr/>
        <w:t>early</w:t>
      </w:r>
      <w:r>
        <w:rPr>
          <w:spacing w:val="2"/>
        </w:rPr>
        <w:t> </w:t>
      </w:r>
      <w:r>
        <w:rPr/>
        <w:t>bactericidal activity</w:t>
      </w:r>
      <w:r>
        <w:rPr>
          <w:spacing w:val="3"/>
        </w:rPr>
        <w:t>。如果病人治療反應良好，移除 </w:t>
      </w:r>
      <w:r>
        <w:rPr/>
        <w:t>INH</w:t>
      </w:r>
      <w:r>
        <w:rPr>
          <w:spacing w:val="1"/>
        </w:rPr>
        <w:t>，可能會弱化治療方</w:t>
      </w:r>
      <w:r>
        <w:rPr>
          <w:spacing w:val="4"/>
        </w:rPr>
        <w:t>案。</w:t>
      </w:r>
      <w:r>
        <w:rPr>
          <w:i/>
          <w:sz w:val="25"/>
        </w:rPr>
        <w:t>katG </w:t>
      </w:r>
      <w:r>
        <w:rPr>
          <w:spacing w:val="2"/>
        </w:rPr>
        <w:t>突變引起的 </w:t>
      </w:r>
      <w:r>
        <w:rPr/>
        <w:t>INH</w:t>
      </w:r>
      <w:r>
        <w:rPr>
          <w:spacing w:val="1"/>
        </w:rPr>
        <w:t> 抗藥，通常是高濃度抗藥，需要較高劑量的 </w:t>
      </w:r>
      <w:r>
        <w:rPr/>
        <w:t>INH。</w:t>
      </w:r>
      <w:r>
        <w:rPr>
          <w:spacing w:val="1"/>
        </w:rPr>
        <w:t>接受一線抗結核藥治療的病人，發現是 </w:t>
      </w:r>
      <w:r>
        <w:rPr/>
        <w:t>INH 抗藥後，如果考慮修改處方，</w:t>
      </w:r>
    </w:p>
    <w:p>
      <w:pPr>
        <w:pStyle w:val="BodyText"/>
        <w:spacing w:line="223" w:lineRule="auto"/>
        <w:ind w:left="1539" w:right="1358"/>
        <w:jc w:val="both"/>
      </w:pPr>
      <w:r>
        <w:rPr>
          <w:spacing w:val="-2"/>
        </w:rPr>
        <w:t>請思考以下三個問題： </w:t>
      </w:r>
      <w:r>
        <w:rPr/>
        <w:t>1)DST 結果是否正確/</w:t>
      </w:r>
      <w:r>
        <w:rPr>
          <w:spacing w:val="4"/>
        </w:rPr>
        <w:t>可靠？ </w:t>
      </w:r>
      <w:r>
        <w:rPr/>
        <w:t>2</w:t>
      </w:r>
      <w:r>
        <w:rPr>
          <w:spacing w:val="1"/>
        </w:rPr>
        <w:t>)從取痰到取得 </w:t>
      </w:r>
      <w:r>
        <w:rPr/>
        <w:t>DST</w:t>
      </w:r>
      <w:r>
        <w:rPr>
          <w:spacing w:val="2"/>
        </w:rPr>
        <w:t> 結果</w:t>
      </w:r>
      <w:r>
        <w:rPr>
          <w:spacing w:val="4"/>
        </w:rPr>
        <w:t>期間，有沒有可能因為治療而產生 </w:t>
      </w:r>
      <w:r>
        <w:rPr/>
        <w:t>rifampicin</w:t>
      </w:r>
      <w:r>
        <w:rPr>
          <w:spacing w:val="9"/>
        </w:rPr>
        <w:t> 抗藥？ </w:t>
      </w:r>
      <w:r>
        <w:rPr/>
        <w:t>3)</w:t>
      </w:r>
      <w:r>
        <w:rPr>
          <w:spacing w:val="7"/>
        </w:rPr>
        <w:t>如何降低 </w:t>
      </w:r>
      <w:r>
        <w:rPr/>
        <w:t>INH</w:t>
      </w:r>
      <w:r>
        <w:rPr>
          <w:spacing w:val="9"/>
        </w:rPr>
        <w:t> 抗藥病</w:t>
      </w:r>
      <w:r>
        <w:rPr>
          <w:spacing w:val="-4"/>
        </w:rPr>
        <w:t>人失敗或復發的風險？如果治療反應良好，痰已陰轉，延長一線藥物的治療期間</w:t>
      </w:r>
      <w:r>
        <w:rPr/>
        <w:t>至 9</w:t>
      </w:r>
      <w:r>
        <w:rPr>
          <w:spacing w:val="5"/>
        </w:rPr>
        <w:t> 個月，或許可以降低復發的風險。如果治療反應不佳考慮加藥，建議以GeneXpert</w:t>
      </w:r>
      <w:r>
        <w:rPr>
          <w:spacing w:val="4"/>
        </w:rPr>
        <w:t> 檢驗是否已有 </w:t>
      </w:r>
      <w:r>
        <w:rPr/>
        <w:t>rifampicin</w:t>
      </w:r>
      <w:r>
        <w:rPr>
          <w:spacing w:val="6"/>
        </w:rPr>
        <w:t> 抗藥。如果 </w:t>
      </w:r>
      <w:r>
        <w:rPr/>
        <w:t>GeneXpert</w:t>
      </w:r>
      <w:r>
        <w:rPr>
          <w:spacing w:val="12"/>
        </w:rPr>
        <w:t> 顯示 </w:t>
      </w:r>
      <w:r>
        <w:rPr/>
        <w:t>rifampicin </w:t>
      </w:r>
      <w:r>
        <w:rPr>
          <w:spacing w:val="2"/>
        </w:rPr>
        <w:t>抗藥，建議轉 </w:t>
      </w:r>
      <w:r>
        <w:rPr/>
        <w:t>MDR-TB</w:t>
      </w:r>
      <w:r>
        <w:rPr>
          <w:spacing w:val="1"/>
        </w:rPr>
        <w:t> 團隊治療。如果 </w:t>
      </w:r>
      <w:r>
        <w:rPr/>
        <w:t>GeneXpert</w:t>
      </w:r>
      <w:r>
        <w:rPr>
          <w:spacing w:val="5"/>
        </w:rPr>
        <w:t> 未顯示 </w:t>
      </w:r>
      <w:r>
        <w:rPr/>
        <w:t>rifampicin</w:t>
      </w:r>
      <w:r>
        <w:rPr>
          <w:spacing w:val="3"/>
        </w:rPr>
        <w:t> 抗藥， </w:t>
      </w:r>
      <w:r>
        <w:rPr>
          <w:spacing w:val="11"/>
        </w:rPr>
        <w:t>仍應考量 </w:t>
      </w:r>
      <w:r>
        <w:rPr/>
        <w:t>GeneXpert</w:t>
      </w:r>
      <w:r>
        <w:rPr>
          <w:spacing w:val="24"/>
        </w:rPr>
        <w:t> 檢驗 </w:t>
      </w:r>
      <w:r>
        <w:rPr/>
        <w:t>rifampicin</w:t>
      </w:r>
      <w:r>
        <w:rPr>
          <w:spacing w:val="7"/>
        </w:rPr>
        <w:t> 抗藥之敏感度不及 </w:t>
      </w:r>
      <w:r>
        <w:rPr/>
        <w:t>100%，如果考慮加藥，加 2-3 種藥可能是相對安全的處置。</w:t>
      </w:r>
    </w:p>
    <w:p>
      <w:pPr>
        <w:pStyle w:val="ListParagraph"/>
        <w:numPr>
          <w:ilvl w:val="2"/>
          <w:numId w:val="147"/>
        </w:numPr>
        <w:tabs>
          <w:tab w:pos="1895" w:val="left" w:leader="none"/>
        </w:tabs>
        <w:spacing w:line="404" w:lineRule="exact" w:before="0" w:after="0"/>
        <w:ind w:left="1894" w:right="0" w:hanging="367"/>
        <w:jc w:val="left"/>
        <w:rPr>
          <w:sz w:val="24"/>
        </w:rPr>
      </w:pPr>
      <w:r>
        <w:rPr>
          <w:b/>
          <w:spacing w:val="3"/>
          <w:sz w:val="24"/>
        </w:rPr>
        <w:t>選項一：</w:t>
      </w:r>
      <w:r>
        <w:rPr>
          <w:spacing w:val="2"/>
          <w:sz w:val="24"/>
        </w:rPr>
        <w:t>每天服用 </w:t>
      </w:r>
      <w:r>
        <w:rPr>
          <w:sz w:val="24"/>
        </w:rPr>
        <w:t>RMP，EMB，PZA，±INH</w:t>
      </w:r>
      <w:r>
        <w:rPr>
          <w:spacing w:val="4"/>
          <w:sz w:val="24"/>
        </w:rPr>
        <w:t> </w:t>
      </w:r>
      <w:r>
        <w:rPr>
          <w:sz w:val="24"/>
        </w:rPr>
        <w:t>6</w:t>
      </w:r>
      <w:r>
        <w:rPr>
          <w:spacing w:val="3"/>
          <w:sz w:val="24"/>
        </w:rPr>
        <w:t> 個月。</w:t>
      </w:r>
    </w:p>
    <w:p>
      <w:pPr>
        <w:pStyle w:val="BodyText"/>
        <w:spacing w:line="223" w:lineRule="auto"/>
        <w:ind w:left="1880" w:right="1301" w:firstLine="480"/>
        <w:jc w:val="both"/>
      </w:pPr>
      <w:r>
        <w:rPr>
          <w:spacing w:val="-9"/>
        </w:rPr>
        <w:t>如果一開始開立標準的四種藥物處方，卻得到藥敏結果顯示 </w:t>
      </w:r>
      <w:r>
        <w:rPr/>
        <w:t>INH</w:t>
      </w:r>
      <w:r>
        <w:rPr>
          <w:spacing w:val="-27"/>
        </w:rPr>
        <w:t> 抗藥時，</w:t>
      </w:r>
      <w:r>
        <w:rPr>
          <w:spacing w:val="-24"/>
        </w:rPr>
        <w:t>如果以微生物、臨床及影像學評估，病人反應良好，痰陰轉，則產生 </w:t>
      </w:r>
      <w:r>
        <w:rPr/>
        <w:t>rifampicin </w:t>
      </w:r>
      <w:r>
        <w:rPr>
          <w:spacing w:val="-2"/>
        </w:rPr>
        <w:t>抗藥的風險及治療失敗的風險低，且對 </w:t>
      </w:r>
      <w:r>
        <w:rPr>
          <w:spacing w:val="-3"/>
        </w:rPr>
        <w:t>INH</w:t>
      </w:r>
      <w:r>
        <w:rPr>
          <w:spacing w:val="-8"/>
        </w:rPr>
        <w:t>、</w:t>
      </w:r>
      <w:r>
        <w:rPr>
          <w:spacing w:val="-3"/>
        </w:rPr>
        <w:t>RMP、</w:t>
      </w:r>
      <w:r>
        <w:rPr/>
        <w:t>EMB</w:t>
      </w:r>
      <w:r>
        <w:rPr>
          <w:spacing w:val="-3"/>
        </w:rPr>
        <w:t>、</w:t>
      </w:r>
      <w:r>
        <w:rPr/>
        <w:t>PZA 耐受良好， </w:t>
      </w:r>
      <w:r>
        <w:rPr>
          <w:spacing w:val="3"/>
        </w:rPr>
        <w:t>可以考慮 </w:t>
      </w:r>
      <w:r>
        <w:rPr>
          <w:spacing w:val="-6"/>
        </w:rPr>
        <w:t>RMP，EMB，PZA</w:t>
      </w:r>
      <w:r>
        <w:rPr>
          <w:spacing w:val="-9"/>
        </w:rPr>
        <w:t>，± </w:t>
      </w:r>
      <w:r>
        <w:rPr/>
        <w:t>INH</w:t>
      </w:r>
      <w:r>
        <w:rPr>
          <w:spacing w:val="-11"/>
        </w:rPr>
        <w:t> </w:t>
      </w:r>
      <w:r>
        <w:rPr/>
        <w:t>6</w:t>
      </w:r>
      <w:r>
        <w:rPr>
          <w:spacing w:val="-2"/>
        </w:rPr>
        <w:t> 個月。當病人對 </w:t>
      </w:r>
      <w:r>
        <w:rPr/>
        <w:t>INH 沒有不良反應， </w:t>
      </w:r>
      <w:r>
        <w:rPr>
          <w:spacing w:val="5"/>
        </w:rPr>
        <w:t>可以繼續使用 </w:t>
      </w:r>
      <w:r>
        <w:rPr>
          <w:spacing w:val="2"/>
        </w:rPr>
        <w:t>INH</w:t>
      </w:r>
      <w:r>
        <w:rPr>
          <w:spacing w:val="6"/>
        </w:rPr>
        <w:t>。專家建議可以考慮將 </w:t>
      </w:r>
      <w:r>
        <w:rPr/>
        <w:t>INH</w:t>
      </w:r>
      <w:r>
        <w:rPr>
          <w:spacing w:val="4"/>
        </w:rPr>
        <w:t> 劑量增加 (體重</w:t>
      </w:r>
      <w:r>
        <w:rPr/>
        <w:t>&gt;50</w:t>
      </w:r>
      <w:r>
        <w:rPr>
          <w:spacing w:val="6"/>
        </w:rPr>
        <w:t> 公斤</w:t>
      </w:r>
      <w:r>
        <w:rPr>
          <w:spacing w:val="-3"/>
        </w:rPr>
        <w:t>600mg</w:t>
      </w:r>
      <w:r>
        <w:rPr/>
        <w:t>，體重≦50kg</w:t>
      </w:r>
      <w:r>
        <w:rPr>
          <w:spacing w:val="-11"/>
        </w:rPr>
        <w:t> </w:t>
      </w:r>
      <w:r>
        <w:rPr/>
        <w:t>400mg)。當病人對 INH</w:t>
      </w:r>
      <w:r>
        <w:rPr>
          <w:spacing w:val="-2"/>
        </w:rPr>
        <w:t> 有不良反應，可以停用 </w:t>
      </w:r>
      <w:r>
        <w:rPr>
          <w:spacing w:val="-4"/>
        </w:rPr>
        <w:t>INH</w:t>
      </w:r>
      <w:r>
        <w:rPr/>
        <w:t>。</w:t>
      </w:r>
    </w:p>
    <w:p>
      <w:pPr>
        <w:spacing w:after="0" w:line="223" w:lineRule="auto"/>
        <w:jc w:val="both"/>
        <w:sectPr>
          <w:pgSz w:w="12250" w:h="17190"/>
          <w:pgMar w:header="0" w:footer="734" w:top="1460" w:bottom="1020" w:left="1020" w:right="0"/>
        </w:sectPr>
      </w:pPr>
    </w:p>
    <w:p>
      <w:pPr>
        <w:pStyle w:val="ListParagraph"/>
        <w:numPr>
          <w:ilvl w:val="2"/>
          <w:numId w:val="147"/>
        </w:numPr>
        <w:tabs>
          <w:tab w:pos="1895" w:val="left" w:leader="none"/>
        </w:tabs>
        <w:spacing w:line="225" w:lineRule="auto" w:before="44" w:after="0"/>
        <w:ind w:left="1894" w:right="1301" w:hanging="366"/>
        <w:jc w:val="both"/>
        <w:rPr>
          <w:sz w:val="24"/>
        </w:rPr>
      </w:pPr>
      <w:r>
        <w:rPr>
          <w:b/>
          <w:spacing w:val="29"/>
          <w:sz w:val="24"/>
        </w:rPr>
        <w:t>選項二： </w:t>
      </w:r>
      <w:r>
        <w:rPr>
          <w:spacing w:val="42"/>
          <w:sz w:val="24"/>
        </w:rPr>
        <w:t>每天服用 </w:t>
      </w:r>
      <w:r>
        <w:rPr>
          <w:sz w:val="24"/>
        </w:rPr>
        <w:t>RMP</w:t>
      </w:r>
      <w:r>
        <w:rPr>
          <w:spacing w:val="-6"/>
          <w:sz w:val="24"/>
        </w:rPr>
        <w:t> ， </w:t>
      </w:r>
      <w:r>
        <w:rPr>
          <w:sz w:val="24"/>
        </w:rPr>
        <w:t>EMB</w:t>
      </w:r>
      <w:r>
        <w:rPr>
          <w:spacing w:val="-6"/>
          <w:sz w:val="24"/>
        </w:rPr>
        <w:t> ， </w:t>
      </w:r>
      <w:r>
        <w:rPr>
          <w:sz w:val="24"/>
        </w:rPr>
        <w:t>PZA</w:t>
      </w:r>
      <w:r>
        <w:rPr>
          <w:spacing w:val="-4"/>
          <w:sz w:val="24"/>
        </w:rPr>
        <w:t> ， ±</w:t>
      </w:r>
      <w:r>
        <w:rPr>
          <w:sz w:val="24"/>
        </w:rPr>
        <w:t>INH</w:t>
      </w:r>
      <w:r>
        <w:rPr>
          <w:spacing w:val="38"/>
          <w:sz w:val="24"/>
        </w:rPr>
        <w:t> ，加上一種近代的fluoroquinolone (FQ)( 如 moxifloxacin, levofloxacin</w:t>
      </w:r>
      <w:r>
        <w:rPr>
          <w:spacing w:val="32"/>
          <w:sz w:val="24"/>
        </w:rPr>
        <w:t>) ， 和 一 種 針 劑(amikacin/kanamycin</w:t>
      </w:r>
      <w:r>
        <w:rPr>
          <w:spacing w:val="19"/>
          <w:sz w:val="24"/>
        </w:rPr>
        <w:t>)。</w:t>
      </w:r>
      <w:r>
        <w:rPr>
          <w:sz w:val="24"/>
        </w:rPr>
        <w:t>Amikacin/kanamycin</w:t>
      </w:r>
      <w:r>
        <w:rPr>
          <w:spacing w:val="6"/>
          <w:sz w:val="24"/>
        </w:rPr>
        <w:t> 使用至痰陰轉即可考慮停</w:t>
      </w:r>
      <w:r>
        <w:rPr>
          <w:spacing w:val="-2"/>
          <w:sz w:val="24"/>
        </w:rPr>
        <w:t>用，</w:t>
      </w:r>
      <w:r>
        <w:rPr>
          <w:sz w:val="24"/>
        </w:rPr>
        <w:t>RMP，EMB，PZA，FQ</w:t>
      </w:r>
      <w:r>
        <w:rPr>
          <w:spacing w:val="-7"/>
          <w:sz w:val="24"/>
        </w:rPr>
        <w:t> ±</w:t>
      </w:r>
      <w:r>
        <w:rPr>
          <w:sz w:val="24"/>
        </w:rPr>
        <w:t>INH 繼續治療至 6-9</w:t>
      </w:r>
      <w:r>
        <w:rPr>
          <w:spacing w:val="-1"/>
          <w:sz w:val="24"/>
        </w:rPr>
        <w:t> 個月。發現是 </w:t>
      </w:r>
      <w:r>
        <w:rPr>
          <w:sz w:val="24"/>
        </w:rPr>
        <w:t>INH</w:t>
      </w:r>
      <w:r>
        <w:rPr>
          <w:spacing w:val="2"/>
          <w:sz w:val="24"/>
        </w:rPr>
        <w:t> 抗藥</w:t>
      </w:r>
      <w:r>
        <w:rPr>
          <w:spacing w:val="33"/>
          <w:sz w:val="24"/>
        </w:rPr>
        <w:t>時，治療反應不佳可考慮選項二。</w:t>
      </w:r>
      <w:r>
        <w:rPr>
          <w:sz w:val="24"/>
        </w:rPr>
        <w:t>INH</w:t>
      </w:r>
      <w:r>
        <w:rPr>
          <w:spacing w:val="33"/>
          <w:sz w:val="24"/>
        </w:rPr>
        <w:t> 抗藥結核在治療過程中產生</w:t>
      </w:r>
      <w:r>
        <w:rPr>
          <w:sz w:val="24"/>
        </w:rPr>
        <w:t>rifampicin</w:t>
      </w:r>
      <w:r>
        <w:rPr>
          <w:spacing w:val="3"/>
          <w:sz w:val="24"/>
        </w:rPr>
        <w:t> 抗藥(</w:t>
      </w:r>
      <w:r>
        <w:rPr>
          <w:sz w:val="24"/>
        </w:rPr>
        <w:t>acquired</w:t>
      </w:r>
      <w:r>
        <w:rPr>
          <w:spacing w:val="24"/>
          <w:sz w:val="24"/>
        </w:rPr>
        <w:t> </w:t>
      </w:r>
      <w:r>
        <w:rPr>
          <w:sz w:val="24"/>
        </w:rPr>
        <w:t>rifampicin</w:t>
      </w:r>
      <w:r>
        <w:rPr>
          <w:spacing w:val="25"/>
          <w:sz w:val="24"/>
        </w:rPr>
        <w:t> </w:t>
      </w:r>
      <w:r>
        <w:rPr>
          <w:sz w:val="24"/>
        </w:rPr>
        <w:t>resistance</w:t>
      </w:r>
      <w:r>
        <w:rPr>
          <w:spacing w:val="2"/>
          <w:sz w:val="24"/>
        </w:rPr>
        <w:t>)的風險，比敏感結核高。</w:t>
      </w:r>
      <w:r>
        <w:rPr>
          <w:spacing w:val="11"/>
          <w:sz w:val="24"/>
        </w:rPr>
        <w:t>加上 </w:t>
      </w:r>
      <w:r>
        <w:rPr>
          <w:sz w:val="24"/>
        </w:rPr>
        <w:t>fluoroquinolone</w:t>
      </w:r>
      <w:r>
        <w:rPr>
          <w:spacing w:val="4"/>
          <w:sz w:val="24"/>
        </w:rPr>
        <w:t> 的目的之一，是降低產生 </w:t>
      </w:r>
      <w:r>
        <w:rPr>
          <w:sz w:val="24"/>
        </w:rPr>
        <w:t>rifampicin</w:t>
      </w:r>
      <w:r>
        <w:rPr>
          <w:spacing w:val="5"/>
          <w:sz w:val="24"/>
        </w:rPr>
        <w:t> 抗藥的風險。</w:t>
      </w:r>
      <w:r>
        <w:rPr>
          <w:spacing w:val="-3"/>
          <w:sz w:val="24"/>
        </w:rPr>
        <w:t>治療初期細菌量較大，產生 </w:t>
      </w:r>
      <w:r>
        <w:rPr>
          <w:sz w:val="24"/>
        </w:rPr>
        <w:t>rifampicin</w:t>
      </w:r>
      <w:r>
        <w:rPr>
          <w:spacing w:val="-4"/>
          <w:sz w:val="24"/>
        </w:rPr>
        <w:t> 抗藥的風險較高，因此宜在治療初期</w:t>
      </w:r>
      <w:r>
        <w:rPr>
          <w:spacing w:val="2"/>
          <w:sz w:val="24"/>
        </w:rPr>
        <w:t>盡早加上 </w:t>
      </w:r>
      <w:r>
        <w:rPr>
          <w:sz w:val="24"/>
        </w:rPr>
        <w:t>fluoroquinolone</w:t>
      </w:r>
      <w:r>
        <w:rPr>
          <w:spacing w:val="-3"/>
          <w:sz w:val="24"/>
        </w:rPr>
        <w:t>。如果病灶廣泛，胸部 </w:t>
      </w:r>
      <w:r>
        <w:rPr>
          <w:sz w:val="24"/>
        </w:rPr>
        <w:t>X</w:t>
      </w:r>
      <w:r>
        <w:rPr>
          <w:spacing w:val="-2"/>
          <w:sz w:val="24"/>
        </w:rPr>
        <w:t> 光有空洞，耐酸菌染色</w:t>
      </w:r>
      <w:r>
        <w:rPr>
          <w:spacing w:val="-5"/>
          <w:sz w:val="24"/>
        </w:rPr>
        <w:t>鏡檢陽性，痰尚未陰轉，考慮加 </w:t>
      </w:r>
      <w:r>
        <w:rPr>
          <w:sz w:val="24"/>
        </w:rPr>
        <w:t>fluoroquinolone</w:t>
      </w:r>
      <w:r>
        <w:rPr>
          <w:spacing w:val="-3"/>
          <w:sz w:val="24"/>
        </w:rPr>
        <w:t> 藥物時，須評估從收痰到</w:t>
      </w:r>
      <w:r>
        <w:rPr>
          <w:spacing w:val="4"/>
          <w:sz w:val="24"/>
        </w:rPr>
        <w:t>取得 </w:t>
      </w:r>
      <w:r>
        <w:rPr>
          <w:sz w:val="24"/>
        </w:rPr>
        <w:t>DST</w:t>
      </w:r>
      <w:r>
        <w:rPr>
          <w:spacing w:val="3"/>
          <w:sz w:val="24"/>
        </w:rPr>
        <w:t> 結果期間，有沒有可能因為治療而產生 </w:t>
      </w:r>
      <w:r>
        <w:rPr>
          <w:sz w:val="24"/>
        </w:rPr>
        <w:t>rifampicin</w:t>
      </w:r>
      <w:r>
        <w:rPr>
          <w:spacing w:val="3"/>
          <w:sz w:val="24"/>
        </w:rPr>
        <w:t> 抗藥。即使GeneXpert</w:t>
      </w:r>
      <w:r>
        <w:rPr>
          <w:spacing w:val="4"/>
          <w:sz w:val="24"/>
        </w:rPr>
        <w:t> 檢驗沒有 </w:t>
      </w:r>
      <w:r>
        <w:rPr>
          <w:sz w:val="24"/>
        </w:rPr>
        <w:t>rifampicin</w:t>
      </w:r>
      <w:r>
        <w:rPr>
          <w:spacing w:val="3"/>
          <w:sz w:val="24"/>
        </w:rPr>
        <w:t> 抗藥，建議同時加上 </w:t>
      </w:r>
      <w:r>
        <w:rPr>
          <w:sz w:val="24"/>
        </w:rPr>
        <w:t>fluoroquinolone</w:t>
      </w:r>
      <w:r>
        <w:rPr>
          <w:spacing w:val="6"/>
          <w:sz w:val="24"/>
        </w:rPr>
        <w:t> 和</w:t>
      </w:r>
      <w:r>
        <w:rPr>
          <w:spacing w:val="1"/>
          <w:sz w:val="24"/>
        </w:rPr>
        <w:t>一種針劑(如 </w:t>
      </w:r>
      <w:r>
        <w:rPr>
          <w:sz w:val="24"/>
        </w:rPr>
        <w:t>amikacin</w:t>
      </w:r>
      <w:r>
        <w:rPr>
          <w:spacing w:val="4"/>
          <w:sz w:val="24"/>
        </w:rPr>
        <w:t> 或 </w:t>
      </w:r>
      <w:r>
        <w:rPr>
          <w:sz w:val="24"/>
        </w:rPr>
        <w:t>kanamycin</w:t>
      </w:r>
      <w:r>
        <w:rPr>
          <w:spacing w:val="1"/>
          <w:sz w:val="24"/>
        </w:rPr>
        <w:t>)，以保護 </w:t>
      </w:r>
      <w:r>
        <w:rPr>
          <w:sz w:val="24"/>
        </w:rPr>
        <w:t>fluroquinolone。針劑使用</w:t>
      </w:r>
      <w:r>
        <w:rPr>
          <w:spacing w:val="-7"/>
          <w:sz w:val="24"/>
        </w:rPr>
        <w:t>至痰陰轉即可考慮停用，因為產生抗藥的風險已經降低，</w:t>
      </w:r>
      <w:r>
        <w:rPr>
          <w:spacing w:val="-16"/>
          <w:sz w:val="24"/>
        </w:rPr>
        <w:t>RMP</w:t>
      </w:r>
      <w:r>
        <w:rPr>
          <w:spacing w:val="-32"/>
          <w:sz w:val="24"/>
        </w:rPr>
        <w:t>、</w:t>
      </w:r>
      <w:r>
        <w:rPr>
          <w:spacing w:val="-11"/>
          <w:sz w:val="24"/>
        </w:rPr>
        <w:t>EMB</w:t>
      </w:r>
      <w:r>
        <w:rPr>
          <w:spacing w:val="-30"/>
          <w:sz w:val="24"/>
        </w:rPr>
        <w:t>、</w:t>
      </w:r>
      <w:r>
        <w:rPr>
          <w:spacing w:val="-11"/>
          <w:sz w:val="24"/>
        </w:rPr>
        <w:t>PZA</w:t>
      </w:r>
      <w:r>
        <w:rPr>
          <w:sz w:val="24"/>
        </w:rPr>
        <w:t>、FQ</w:t>
      </w:r>
      <w:r>
        <w:rPr>
          <w:spacing w:val="2"/>
          <w:sz w:val="24"/>
        </w:rPr>
        <w:t> ±</w:t>
      </w:r>
      <w:r>
        <w:rPr>
          <w:sz w:val="24"/>
        </w:rPr>
        <w:t>INH</w:t>
      </w:r>
      <w:r>
        <w:rPr>
          <w:spacing w:val="2"/>
          <w:sz w:val="24"/>
        </w:rPr>
        <w:t> 繼續治療至 </w:t>
      </w:r>
      <w:r>
        <w:rPr>
          <w:sz w:val="24"/>
        </w:rPr>
        <w:t>6-9</w:t>
      </w:r>
      <w:r>
        <w:rPr>
          <w:spacing w:val="3"/>
          <w:sz w:val="24"/>
        </w:rPr>
        <w:t> 個月。</w:t>
      </w:r>
    </w:p>
    <w:p>
      <w:pPr>
        <w:pStyle w:val="ListParagraph"/>
        <w:numPr>
          <w:ilvl w:val="2"/>
          <w:numId w:val="147"/>
        </w:numPr>
        <w:tabs>
          <w:tab w:pos="1895" w:val="left" w:leader="none"/>
        </w:tabs>
        <w:spacing w:line="381" w:lineRule="exact" w:before="0" w:after="0"/>
        <w:ind w:left="1894" w:right="0" w:hanging="367"/>
        <w:jc w:val="left"/>
        <w:rPr>
          <w:sz w:val="24"/>
        </w:rPr>
      </w:pPr>
      <w:r>
        <w:rPr>
          <w:b/>
          <w:spacing w:val="3"/>
          <w:sz w:val="24"/>
        </w:rPr>
        <w:t>選項三：個人化治療方案。</w:t>
      </w:r>
      <w:r>
        <w:rPr>
          <w:spacing w:val="3"/>
          <w:sz w:val="24"/>
        </w:rPr>
        <w:t>病人如果無法耐受 </w:t>
      </w:r>
      <w:r>
        <w:rPr>
          <w:sz w:val="24"/>
        </w:rPr>
        <w:t>INH</w:t>
      </w:r>
      <w:r>
        <w:rPr>
          <w:spacing w:val="4"/>
          <w:sz w:val="24"/>
        </w:rPr>
        <w:t>、</w:t>
      </w:r>
      <w:r>
        <w:rPr>
          <w:sz w:val="24"/>
        </w:rPr>
        <w:t>RMP</w:t>
      </w:r>
      <w:r>
        <w:rPr>
          <w:spacing w:val="3"/>
          <w:sz w:val="24"/>
        </w:rPr>
        <w:t>、</w:t>
      </w:r>
      <w:r>
        <w:rPr>
          <w:sz w:val="24"/>
        </w:rPr>
        <w:t>EMB</w:t>
      </w:r>
      <w:r>
        <w:rPr>
          <w:spacing w:val="4"/>
          <w:sz w:val="24"/>
        </w:rPr>
        <w:t>、</w:t>
      </w:r>
      <w:r>
        <w:rPr>
          <w:sz w:val="24"/>
        </w:rPr>
        <w:t>PZA</w:t>
      </w:r>
      <w:r>
        <w:rPr>
          <w:spacing w:val="8"/>
          <w:sz w:val="24"/>
        </w:rPr>
        <w:t> 中</w:t>
      </w:r>
    </w:p>
    <w:p>
      <w:pPr>
        <w:pStyle w:val="BodyText"/>
        <w:spacing w:line="225" w:lineRule="auto" w:before="5"/>
        <w:ind w:left="1894" w:right="1356"/>
        <w:jc w:val="both"/>
      </w:pPr>
      <w:r>
        <w:rPr/>
        <w:t>的某些藥物時，宜慎重調整處方，以病人可以耐受的 4 種藥組成個人化治療方案。請謹慎使用 fluoroquinolone，務必將因使用 fluoroquinolone 而導致 fluoroquinolone 抗藥性的可能性降到趨近於零。fluoroquinolone 需經過專家評估方可使用。</w:t>
      </w:r>
    </w:p>
    <w:p>
      <w:pPr>
        <w:pStyle w:val="Heading7"/>
        <w:numPr>
          <w:ilvl w:val="1"/>
          <w:numId w:val="147"/>
        </w:numPr>
        <w:tabs>
          <w:tab w:pos="1506" w:val="left" w:leader="none"/>
        </w:tabs>
        <w:spacing w:line="428" w:lineRule="exact" w:before="94" w:after="0"/>
        <w:ind w:left="1506" w:right="0" w:hanging="473"/>
        <w:jc w:val="both"/>
      </w:pPr>
      <w:r>
        <w:rPr>
          <w:spacing w:val="54"/>
        </w:rPr>
        <w:t>對</w:t>
      </w:r>
      <w:r>
        <w:rPr/>
        <w:t>RMP</w:t>
      </w:r>
      <w:r>
        <w:rPr>
          <w:spacing w:val="-5"/>
        </w:rPr>
        <w:t> 單一抗藥</w:t>
      </w:r>
    </w:p>
    <w:p>
      <w:pPr>
        <w:pStyle w:val="BodyText"/>
        <w:spacing w:line="225" w:lineRule="auto" w:before="5"/>
        <w:ind w:left="1539" w:right="1358" w:firstLine="488"/>
        <w:jc w:val="both"/>
      </w:pPr>
      <w:r>
        <w:rPr/>
        <w:t>RMP</w:t>
      </w:r>
      <w:r>
        <w:rPr>
          <w:spacing w:val="11"/>
        </w:rPr>
        <w:t> 抗藥但是 </w:t>
      </w:r>
      <w:r>
        <w:rPr/>
        <w:t>INH</w:t>
      </w:r>
      <w:r>
        <w:rPr>
          <w:spacing w:val="3"/>
        </w:rPr>
        <w:t> 未抗藥的菌株，各國的流行情形差異不小。依世界衛</w:t>
      </w:r>
      <w:r>
        <w:rPr>
          <w:spacing w:val="-11"/>
        </w:rPr>
        <w:t>生組織的資料，</w:t>
      </w:r>
      <w:r>
        <w:rPr>
          <w:spacing w:val="-16"/>
        </w:rPr>
        <w:t>RMP</w:t>
      </w:r>
      <w:r>
        <w:rPr>
          <w:spacing w:val="1"/>
        </w:rPr>
        <w:t> 抗藥的菌株中</w:t>
      </w:r>
      <w:r>
        <w:rPr/>
        <w:t>INH</w:t>
      </w:r>
      <w:r>
        <w:rPr>
          <w:spacing w:val="1"/>
        </w:rPr>
        <w:t> 敏感的比例為</w:t>
      </w:r>
      <w:r>
        <w:rPr/>
        <w:t>8.5%</w:t>
      </w:r>
      <w:r>
        <w:rPr>
          <w:spacing w:val="-10"/>
        </w:rPr>
        <w:t> - </w:t>
      </w:r>
      <w:r>
        <w:rPr>
          <w:spacing w:val="-13"/>
        </w:rPr>
        <w:t>43.3</w:t>
      </w:r>
      <w:r>
        <w:rPr>
          <w:spacing w:val="-37"/>
        </w:rPr>
        <w:t>%。</w:t>
      </w:r>
      <w:r>
        <w:rPr/>
        <w:t>GeneXpert </w:t>
      </w:r>
      <w:r>
        <w:rPr>
          <w:spacing w:val="-1"/>
        </w:rPr>
        <w:t>只檢測 </w:t>
      </w:r>
      <w:r>
        <w:rPr/>
        <w:t>RMP</w:t>
      </w:r>
      <w:r>
        <w:rPr>
          <w:spacing w:val="-2"/>
        </w:rPr>
        <w:t> 是否抗藥，以 </w:t>
      </w:r>
      <w:r>
        <w:rPr/>
        <w:t>line probe assay</w:t>
      </w:r>
      <w:r>
        <w:rPr>
          <w:spacing w:val="-1"/>
        </w:rPr>
        <w:t> 檢驗或是傳統藥物感受性試驗才能</w:t>
      </w:r>
      <w:r>
        <w:rPr>
          <w:spacing w:val="5"/>
        </w:rPr>
        <w:t>檢測 </w:t>
      </w:r>
      <w:r>
        <w:rPr/>
        <w:t>INH</w:t>
      </w:r>
      <w:r>
        <w:rPr>
          <w:spacing w:val="6"/>
        </w:rPr>
        <w:t> 是否抗藥。如果病人接受 </w:t>
      </w:r>
      <w:r>
        <w:rPr/>
        <w:t>1-2</w:t>
      </w:r>
      <w:r>
        <w:rPr>
          <w:spacing w:val="7"/>
        </w:rPr>
        <w:t> 個月一線抗結核藥治療後，發現是rifampicin</w:t>
      </w:r>
      <w:r>
        <w:rPr>
          <w:spacing w:val="1"/>
        </w:rPr>
        <w:t> 抗藥，也要考慮從收痰到取得 </w:t>
      </w:r>
      <w:r>
        <w:rPr/>
        <w:t>DST 結果期間，有沒有可能因為治療</w:t>
      </w:r>
      <w:r>
        <w:rPr>
          <w:spacing w:val="2"/>
        </w:rPr>
        <w:t>而產生 </w:t>
      </w:r>
      <w:r>
        <w:rPr/>
        <w:t>INH</w:t>
      </w:r>
      <w:r>
        <w:rPr>
          <w:spacing w:val="2"/>
        </w:rPr>
        <w:t> 抗藥。請盡速將 </w:t>
      </w:r>
      <w:r>
        <w:rPr/>
        <w:t>rifampicin</w:t>
      </w:r>
      <w:r>
        <w:rPr>
          <w:spacing w:val="2"/>
        </w:rPr>
        <w:t> 抗藥病人轉 </w:t>
      </w:r>
      <w:r>
        <w:rPr/>
        <w:t>MDR-TB</w:t>
      </w:r>
      <w:r>
        <w:rPr>
          <w:spacing w:val="2"/>
        </w:rPr>
        <w:t> 團隊治療。</w:t>
      </w:r>
    </w:p>
    <w:p>
      <w:pPr>
        <w:pStyle w:val="BodyText"/>
        <w:spacing w:line="225" w:lineRule="auto"/>
        <w:ind w:left="1539" w:right="1358" w:firstLine="488"/>
        <w:jc w:val="both"/>
      </w:pPr>
      <w:r>
        <w:rPr/>
        <w:t>RMP</w:t>
      </w:r>
      <w:r>
        <w:rPr>
          <w:spacing w:val="26"/>
        </w:rPr>
        <w:t> 與 </w:t>
      </w:r>
      <w:r>
        <w:rPr/>
        <w:t>rifapentine</w:t>
      </w:r>
      <w:r>
        <w:rPr>
          <w:spacing w:val="4"/>
        </w:rPr>
        <w:t> 幾乎完全交叉抗藥；</w:t>
      </w:r>
      <w:r>
        <w:rPr/>
        <w:t>rifamycin</w:t>
      </w:r>
      <w:r>
        <w:rPr>
          <w:spacing w:val="4"/>
        </w:rPr>
        <w:t> 抗藥的菌株，少數對</w:t>
      </w:r>
      <w:r>
        <w:rPr/>
        <w:t>Rifabutin(RFB</w:t>
      </w:r>
      <w:r>
        <w:rPr>
          <w:spacing w:val="-7"/>
        </w:rPr>
        <w:t>)敏感。在伊斯坦堡約有 </w:t>
      </w:r>
      <w:r>
        <w:rPr/>
        <w:t>12%</w:t>
      </w:r>
      <w:r>
        <w:rPr>
          <w:spacing w:val="-9"/>
        </w:rPr>
        <w:t>的菌株，臺灣有 </w:t>
      </w:r>
      <w:r>
        <w:rPr/>
        <w:t>15 %的菌株對 RMP </w:t>
      </w:r>
      <w:r>
        <w:rPr>
          <w:spacing w:val="2"/>
        </w:rPr>
        <w:t>抗藥但是對 </w:t>
      </w:r>
      <w:r>
        <w:rPr/>
        <w:t>RFB</w:t>
      </w:r>
      <w:r>
        <w:rPr>
          <w:spacing w:val="2"/>
        </w:rPr>
        <w:t> 敏感。因此，確定藥物敏感時才宜使用 </w:t>
      </w:r>
      <w:r>
        <w:rPr/>
        <w:t>RFB。</w:t>
      </w:r>
    </w:p>
    <w:p>
      <w:pPr>
        <w:pStyle w:val="Heading7"/>
        <w:numPr>
          <w:ilvl w:val="1"/>
          <w:numId w:val="147"/>
        </w:numPr>
        <w:tabs>
          <w:tab w:pos="1522" w:val="left" w:leader="none"/>
        </w:tabs>
        <w:spacing w:line="426" w:lineRule="exact" w:before="144" w:after="0"/>
        <w:ind w:left="1521" w:right="0" w:hanging="488"/>
        <w:jc w:val="both"/>
      </w:pPr>
      <w:r>
        <w:rPr>
          <w:spacing w:val="2"/>
        </w:rPr>
        <w:t>當菌株對 </w:t>
      </w:r>
      <w:r>
        <w:rPr/>
        <w:t>EMB</w:t>
      </w:r>
      <w:r>
        <w:rPr>
          <w:spacing w:val="2"/>
        </w:rPr>
        <w:t>, </w:t>
      </w:r>
      <w:r>
        <w:rPr/>
        <w:t>PZA</w:t>
      </w:r>
      <w:r>
        <w:rPr>
          <w:spacing w:val="2"/>
        </w:rPr>
        <w:t> 抗藥(</w:t>
      </w:r>
      <w:r>
        <w:rPr/>
        <w:t>EMB</w:t>
      </w:r>
      <w:r>
        <w:rPr>
          <w:spacing w:val="2"/>
        </w:rPr>
        <w:t> 跟 </w:t>
      </w:r>
      <w:r>
        <w:rPr/>
        <w:t>PZA</w:t>
      </w:r>
      <w:r>
        <w:rPr>
          <w:spacing w:val="2"/>
        </w:rPr>
        <w:t> 的 </w:t>
      </w:r>
      <w:r>
        <w:rPr/>
        <w:t>DST</w:t>
      </w:r>
      <w:r>
        <w:rPr>
          <w:spacing w:val="1"/>
        </w:rPr>
        <w:t> 測驗可能不可靠)</w:t>
      </w:r>
    </w:p>
    <w:p>
      <w:pPr>
        <w:pStyle w:val="BodyText"/>
        <w:spacing w:line="412" w:lineRule="exact"/>
        <w:ind w:left="2028"/>
      </w:pPr>
      <w:r>
        <w:rPr/>
        <w:t>當菌株對 EMB 或是 PZA 抗藥時，會些許影響治療處方的效果。</w:t>
      </w:r>
    </w:p>
    <w:p>
      <w:pPr>
        <w:pStyle w:val="ListParagraph"/>
        <w:numPr>
          <w:ilvl w:val="2"/>
          <w:numId w:val="147"/>
        </w:numPr>
        <w:tabs>
          <w:tab w:pos="1895" w:val="left" w:leader="none"/>
        </w:tabs>
        <w:spacing w:line="413" w:lineRule="exact" w:before="0" w:after="0"/>
        <w:ind w:left="1894" w:right="0" w:hanging="367"/>
        <w:jc w:val="left"/>
        <w:rPr>
          <w:sz w:val="24"/>
        </w:rPr>
      </w:pPr>
      <w:r>
        <w:rPr>
          <w:sz w:val="24"/>
        </w:rPr>
        <w:t>EMB</w:t>
      </w:r>
      <w:r>
        <w:rPr>
          <w:spacing w:val="2"/>
          <w:sz w:val="24"/>
        </w:rPr>
        <w:t> 單一抗藥通常不會影響治療，通常不需要延長治療時間。</w:t>
      </w:r>
    </w:p>
    <w:p>
      <w:pPr>
        <w:pStyle w:val="ListParagraph"/>
        <w:numPr>
          <w:ilvl w:val="2"/>
          <w:numId w:val="147"/>
        </w:numPr>
        <w:tabs>
          <w:tab w:pos="1895" w:val="left" w:leader="none"/>
        </w:tabs>
        <w:spacing w:line="428" w:lineRule="exact" w:before="0" w:after="0"/>
        <w:ind w:left="1894" w:right="0" w:hanging="367"/>
        <w:jc w:val="left"/>
        <w:rPr>
          <w:sz w:val="24"/>
        </w:rPr>
      </w:pPr>
      <w:r>
        <w:rPr>
          <w:sz w:val="24"/>
        </w:rPr>
        <w:t>PZA</w:t>
      </w:r>
      <w:r>
        <w:rPr>
          <w:spacing w:val="2"/>
          <w:sz w:val="24"/>
        </w:rPr>
        <w:t> 單一抗藥，宜延長三個月的 </w:t>
      </w:r>
      <w:r>
        <w:rPr>
          <w:sz w:val="24"/>
        </w:rPr>
        <w:t>INH</w:t>
      </w:r>
      <w:r>
        <w:rPr>
          <w:spacing w:val="3"/>
          <w:sz w:val="24"/>
        </w:rPr>
        <w:t> 以及 </w:t>
      </w:r>
      <w:r>
        <w:rPr>
          <w:sz w:val="24"/>
        </w:rPr>
        <w:t>RMP</w:t>
      </w:r>
      <w:r>
        <w:rPr>
          <w:spacing w:val="1"/>
          <w:sz w:val="24"/>
        </w:rPr>
        <w:t>，變成共 </w:t>
      </w:r>
      <w:r>
        <w:rPr>
          <w:sz w:val="24"/>
        </w:rPr>
        <w:t>9</w:t>
      </w:r>
      <w:r>
        <w:rPr>
          <w:spacing w:val="3"/>
          <w:sz w:val="24"/>
        </w:rPr>
        <w:t> 個月的治療。</w:t>
      </w:r>
    </w:p>
    <w:p>
      <w:pPr>
        <w:spacing w:after="0" w:line="428" w:lineRule="exact"/>
        <w:jc w:val="left"/>
        <w:rPr>
          <w:sz w:val="24"/>
        </w:rPr>
        <w:sectPr>
          <w:pgSz w:w="12250" w:h="17190"/>
          <w:pgMar w:header="0" w:footer="734" w:top="1460" w:bottom="1020" w:left="1020" w:right="0"/>
        </w:sectPr>
      </w:pPr>
    </w:p>
    <w:p>
      <w:pPr>
        <w:pStyle w:val="ListParagraph"/>
        <w:numPr>
          <w:ilvl w:val="2"/>
          <w:numId w:val="147"/>
        </w:numPr>
        <w:tabs>
          <w:tab w:pos="1895" w:val="left" w:leader="none"/>
        </w:tabs>
        <w:spacing w:line="240" w:lineRule="auto" w:before="12" w:after="0"/>
        <w:ind w:left="1894" w:right="0" w:hanging="367"/>
        <w:jc w:val="both"/>
        <w:rPr>
          <w:sz w:val="24"/>
        </w:rPr>
      </w:pPr>
      <w:r>
        <w:rPr/>
        <w:pict>
          <v:group style="position:absolute;margin-left:573pt;margin-top:.735906pt;width:39.4pt;height:177.4pt;mso-position-horizontal-relative:page;mso-position-vertical-relative:paragraph;z-index:251890688" coordorigin="11460,15" coordsize="788,3548">
            <v:shape style="position:absolute;left:11460;top:14;width:788;height:3548" coordorigin="11460,15" coordsize="788,3548" path="m12247,15l11625,15,11561,28,11508,63,11473,116,11460,180,11460,3397,11473,3462,11508,3514,11561,3550,11625,3563,12247,3563,12247,15xe" filled="true" fillcolor="#a6a6a6" stroked="false">
              <v:path arrowok="t"/>
              <v:fill type="solid"/>
            </v:shape>
            <v:shape style="position:absolute;left:11460;top:1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i/>
          <w:sz w:val="25"/>
        </w:rPr>
        <w:t>M. bovis</w:t>
      </w:r>
      <w:r>
        <w:rPr>
          <w:i/>
          <w:spacing w:val="-1"/>
          <w:sz w:val="25"/>
        </w:rPr>
        <w:t> </w:t>
      </w:r>
      <w:r>
        <w:rPr>
          <w:spacing w:val="3"/>
          <w:sz w:val="24"/>
        </w:rPr>
        <w:t>通常對 </w:t>
      </w:r>
      <w:r>
        <w:rPr>
          <w:sz w:val="24"/>
        </w:rPr>
        <w:t>PZA</w:t>
      </w:r>
      <w:r>
        <w:rPr>
          <w:spacing w:val="2"/>
          <w:sz w:val="24"/>
        </w:rPr>
        <w:t> 天然抗藥。</w:t>
      </w:r>
    </w:p>
    <w:p>
      <w:pPr>
        <w:pStyle w:val="Heading7"/>
        <w:numPr>
          <w:ilvl w:val="0"/>
          <w:numId w:val="147"/>
        </w:numPr>
        <w:tabs>
          <w:tab w:pos="982" w:val="left" w:leader="none"/>
        </w:tabs>
        <w:spacing w:line="440" w:lineRule="exact" w:before="1" w:after="0"/>
        <w:ind w:left="981" w:right="0" w:hanging="367"/>
        <w:jc w:val="both"/>
      </w:pPr>
      <w:r>
        <w:rPr>
          <w:spacing w:val="3"/>
        </w:rPr>
        <w:t>多種抗藥性的結核病菌株</w:t>
      </w:r>
    </w:p>
    <w:p>
      <w:pPr>
        <w:pStyle w:val="BodyText"/>
        <w:spacing w:line="220" w:lineRule="auto" w:before="24"/>
        <w:ind w:left="979" w:right="1358" w:firstLine="487"/>
        <w:jc w:val="both"/>
      </w:pPr>
      <w:r>
        <w:rPr/>
        <w:t>對一種以上結核藥物抗藥，但是非同時對 INH 及 RMP 抗藥的結核稱作多種抗藥性結核病。雖然多種抗藥結核不只一種，但是只要不抗 RMP，通常都有不錯的治療結果。</w:t>
      </w:r>
    </w:p>
    <w:p>
      <w:pPr>
        <w:pStyle w:val="BodyText"/>
        <w:spacing w:line="220" w:lineRule="auto" w:before="6"/>
        <w:ind w:left="979" w:right="1358" w:firstLine="487"/>
        <w:jc w:val="both"/>
      </w:pPr>
      <w:r>
        <w:rPr/>
        <w:t>若考慮加上二線藥物，尤其是 fluoroquinolone，請務必先找 DR-TB 團隊專家諮詢討論。</w:t>
      </w:r>
    </w:p>
    <w:p>
      <w:pPr>
        <w:pStyle w:val="BodyText"/>
        <w:rPr>
          <w:sz w:val="19"/>
        </w:rPr>
      </w:pPr>
    </w:p>
    <w:p>
      <w:pPr>
        <w:pStyle w:val="Heading6"/>
        <w:numPr>
          <w:ilvl w:val="1"/>
          <w:numId w:val="145"/>
        </w:numPr>
        <w:tabs>
          <w:tab w:pos="976" w:val="left" w:leader="none"/>
        </w:tabs>
        <w:spacing w:line="240" w:lineRule="auto" w:before="1" w:after="0"/>
        <w:ind w:left="975" w:right="0" w:hanging="636"/>
        <w:jc w:val="both"/>
      </w:pPr>
      <w:bookmarkStart w:name="12.3 多重抗藥性結核病的治療" w:id="142"/>
      <w:bookmarkEnd w:id="142"/>
      <w:r>
        <w:rPr>
          <w:b w:val="0"/>
        </w:rPr>
      </w:r>
      <w:bookmarkStart w:name="12.3 多重抗藥性結核病的治療" w:id="143"/>
      <w:bookmarkEnd w:id="143"/>
      <w:r>
        <w:rPr>
          <w:spacing w:val="3"/>
        </w:rPr>
        <w:t>多重抗藥性結核病的治療</w:t>
      </w:r>
    </w:p>
    <w:p>
      <w:pPr>
        <w:pStyle w:val="BodyText"/>
        <w:spacing w:line="225" w:lineRule="auto" w:before="22"/>
        <w:ind w:left="968" w:right="1358" w:firstLine="487"/>
        <w:jc w:val="both"/>
      </w:pPr>
      <w:r>
        <w:rPr>
          <w:spacing w:val="3"/>
        </w:rPr>
        <w:t>多重抗藥性結核病之定義為至少對 </w:t>
      </w:r>
      <w:r>
        <w:rPr/>
        <w:t>INH</w:t>
      </w:r>
      <w:r>
        <w:rPr>
          <w:spacing w:val="20"/>
        </w:rPr>
        <w:t> 及 </w:t>
      </w:r>
      <w:r>
        <w:rPr/>
        <w:t>RMP</w:t>
      </w:r>
      <w:r>
        <w:rPr>
          <w:spacing w:val="3"/>
        </w:rPr>
        <w:t> 抗藥。治療多重抗藥性結核病</w:t>
      </w:r>
      <w:r>
        <w:rPr>
          <w:spacing w:val="-8"/>
        </w:rPr>
        <w:t>需長期服用多種藥物。然而關於用藥數量，藥物種類以及治療時間的科學證據都還很</w:t>
      </w:r>
      <w:r>
        <w:rPr>
          <w:spacing w:val="3"/>
        </w:rPr>
        <w:t>薄弱。</w:t>
      </w:r>
    </w:p>
    <w:p>
      <w:pPr>
        <w:pStyle w:val="Heading7"/>
        <w:numPr>
          <w:ilvl w:val="0"/>
          <w:numId w:val="148"/>
        </w:numPr>
        <w:tabs>
          <w:tab w:pos="999" w:val="left" w:leader="none"/>
        </w:tabs>
        <w:spacing w:line="240" w:lineRule="auto" w:before="15" w:after="0"/>
        <w:ind w:left="998" w:right="0" w:hanging="373"/>
        <w:jc w:val="both"/>
      </w:pPr>
      <w:r>
        <w:rPr>
          <w:spacing w:val="5"/>
        </w:rPr>
        <w:t>治療時間長度</w:t>
      </w:r>
    </w:p>
    <w:p>
      <w:pPr>
        <w:pStyle w:val="ListParagraph"/>
        <w:numPr>
          <w:ilvl w:val="1"/>
          <w:numId w:val="148"/>
        </w:numPr>
        <w:tabs>
          <w:tab w:pos="1503" w:val="left" w:leader="none"/>
        </w:tabs>
        <w:spacing w:line="240" w:lineRule="auto" w:before="8" w:after="0"/>
        <w:ind w:left="1502" w:right="0" w:hanging="481"/>
        <w:jc w:val="both"/>
        <w:rPr>
          <w:b/>
          <w:sz w:val="24"/>
        </w:rPr>
      </w:pPr>
      <w:r>
        <w:rPr>
          <w:b/>
          <w:color w:val="FF0000"/>
          <w:spacing w:val="-1"/>
          <w:sz w:val="24"/>
        </w:rPr>
        <w:t>短期治療處方-包含 </w:t>
      </w:r>
      <w:r>
        <w:rPr>
          <w:b/>
          <w:color w:val="FF0000"/>
          <w:sz w:val="24"/>
        </w:rPr>
        <w:t>aminoglycoside</w:t>
      </w:r>
      <w:r>
        <w:rPr>
          <w:b/>
          <w:color w:val="FF0000"/>
          <w:spacing w:val="-1"/>
          <w:sz w:val="24"/>
        </w:rPr>
        <w:t> 針劑藥物</w:t>
      </w:r>
    </w:p>
    <w:p>
      <w:pPr>
        <w:pStyle w:val="BodyText"/>
        <w:spacing w:before="12"/>
        <w:rPr>
          <w:b/>
          <w:sz w:val="7"/>
        </w:rPr>
      </w:pPr>
    </w:p>
    <w:tbl>
      <w:tblPr>
        <w:tblW w:w="0" w:type="auto"/>
        <w:jc w:val="left"/>
        <w:tblInd w:w="1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8"/>
      </w:tblGrid>
      <w:tr>
        <w:trPr>
          <w:trHeight w:val="435" w:hRule="atLeast"/>
        </w:trPr>
        <w:tc>
          <w:tcPr>
            <w:tcW w:w="8278" w:type="dxa"/>
          </w:tcPr>
          <w:p>
            <w:pPr>
              <w:pStyle w:val="TableParagraph"/>
              <w:spacing w:line="414" w:lineRule="exact" w:before="1"/>
              <w:ind w:left="2889" w:right="2399"/>
              <w:jc w:val="center"/>
              <w:rPr>
                <w:b/>
                <w:sz w:val="24"/>
              </w:rPr>
            </w:pPr>
            <w:r>
              <w:rPr>
                <w:b/>
                <w:sz w:val="24"/>
              </w:rPr>
              <w:t>WHO DR-TB 短期處方建議</w:t>
            </w:r>
          </w:p>
        </w:tc>
      </w:tr>
      <w:tr>
        <w:trPr>
          <w:trHeight w:val="1361" w:hRule="atLeast"/>
        </w:trPr>
        <w:tc>
          <w:tcPr>
            <w:tcW w:w="8278" w:type="dxa"/>
          </w:tcPr>
          <w:p>
            <w:pPr>
              <w:pStyle w:val="TableParagraph"/>
              <w:spacing w:line="422" w:lineRule="exact" w:before="61"/>
              <w:ind w:left="107"/>
              <w:rPr>
                <w:sz w:val="24"/>
              </w:rPr>
            </w:pPr>
            <w:r>
              <w:rPr>
                <w:sz w:val="24"/>
              </w:rPr>
              <w:t>9-12 個月的短期處方可以取代一般處方：</w:t>
            </w:r>
          </w:p>
          <w:p>
            <w:pPr>
              <w:pStyle w:val="TableParagraph"/>
              <w:spacing w:line="218" w:lineRule="auto" w:before="9"/>
              <w:ind w:left="107" w:right="1764"/>
              <w:rPr>
                <w:sz w:val="24"/>
              </w:rPr>
            </w:pPr>
            <w:r>
              <w:rPr>
                <w:sz w:val="24"/>
              </w:rPr>
              <w:t>1. MDR/RR-TB 個案使用短期處方中的藥物未達一個月以上; 2.或是已排除對 fluoroquinolones 抗藥的可能</w:t>
            </w:r>
          </w:p>
        </w:tc>
      </w:tr>
    </w:tbl>
    <w:p>
      <w:pPr>
        <w:pStyle w:val="BodyText"/>
        <w:spacing w:line="225" w:lineRule="auto" w:before="212"/>
        <w:ind w:left="1484" w:right="1358" w:firstLine="488"/>
        <w:jc w:val="both"/>
      </w:pPr>
      <w:r>
        <w:rPr/>
        <w:t>WHO</w:t>
      </w:r>
      <w:r>
        <w:rPr>
          <w:spacing w:val="4"/>
        </w:rPr>
        <w:t> 於 </w:t>
      </w:r>
      <w:r>
        <w:rPr/>
        <w:t>2016</w:t>
      </w:r>
      <w:r>
        <w:rPr>
          <w:spacing w:val="3"/>
        </w:rPr>
        <w:t> 年正式推薦 </w:t>
      </w:r>
      <w:r>
        <w:rPr/>
        <w:t>9-12</w:t>
      </w:r>
      <w:r>
        <w:rPr>
          <w:spacing w:val="3"/>
        </w:rPr>
        <w:t> 個月的 </w:t>
      </w:r>
      <w:r>
        <w:rPr/>
        <w:t>MDR-TB</w:t>
      </w:r>
      <w:r>
        <w:rPr>
          <w:spacing w:val="-9"/>
        </w:rPr>
        <w:t> 標準化治療處方。</w:t>
      </w:r>
      <w:r>
        <w:rPr>
          <w:b/>
          <w:spacing w:val="3"/>
        </w:rPr>
        <w:t>九個月</w:t>
      </w:r>
      <w:r>
        <w:rPr>
          <w:spacing w:val="-21"/>
        </w:rPr>
        <w:t>短期處方</w:t>
      </w:r>
      <w:r>
        <w:rPr>
          <w:spacing w:val="3"/>
        </w:rPr>
        <w:t>（</w:t>
      </w:r>
      <w:r>
        <w:rPr>
          <w:spacing w:val="6"/>
        </w:rPr>
        <w:t>表 </w:t>
      </w:r>
      <w:r>
        <w:rPr>
          <w:spacing w:val="-11"/>
        </w:rPr>
        <w:t>12-1、表 </w:t>
      </w:r>
      <w:r>
        <w:rPr>
          <w:spacing w:val="-18"/>
        </w:rPr>
        <w:t>12-2）</w:t>
      </w:r>
      <w:r>
        <w:rPr>
          <w:spacing w:val="2"/>
        </w:rPr>
        <w:t>加強期(</w:t>
      </w:r>
      <w:r>
        <w:rPr/>
        <w:t>4</w:t>
      </w:r>
      <w:r>
        <w:rPr>
          <w:spacing w:val="3"/>
        </w:rPr>
        <w:t> 個月)使用 </w:t>
      </w:r>
      <w:r>
        <w:rPr/>
        <w:t>clofazimine(CFZ)</w:t>
      </w:r>
      <w:r>
        <w:rPr>
          <w:spacing w:val="-5"/>
        </w:rPr>
        <w:t>, </w:t>
      </w:r>
      <w:r>
        <w:rPr/>
        <w:t>High</w:t>
      </w:r>
      <w:r>
        <w:rPr>
          <w:spacing w:val="-7"/>
        </w:rPr>
        <w:t> </w:t>
      </w:r>
      <w:r>
        <w:rPr/>
        <w:t>dose gatifloxacin(or </w:t>
      </w:r>
      <w:r>
        <w:rPr>
          <w:color w:val="FF0000"/>
        </w:rPr>
        <w:t>moxifloxacin</w:t>
      </w:r>
      <w:r>
        <w:rPr/>
        <w:t>), EMB, PZA, </w:t>
      </w:r>
      <w:r>
        <w:rPr>
          <w:color w:val="FF0000"/>
        </w:rPr>
        <w:t>prothionamide </w:t>
      </w:r>
      <w:r>
        <w:rPr/>
        <w:t>(PTO), KM, High </w:t>
      </w:r>
      <w:r>
        <w:rPr>
          <w:spacing w:val="2"/>
        </w:rPr>
        <w:t>dose</w:t>
      </w:r>
      <w:r>
        <w:rPr>
          <w:spacing w:val="-7"/>
        </w:rPr>
        <w:t> INH</w:t>
      </w:r>
      <w:r>
        <w:rPr>
          <w:spacing w:val="2"/>
        </w:rPr>
        <w:t>，持續期(</w:t>
      </w:r>
      <w:r>
        <w:rPr/>
        <w:t>5</w:t>
      </w:r>
      <w:r>
        <w:rPr>
          <w:spacing w:val="6"/>
        </w:rPr>
        <w:t> 個月)使用 </w:t>
      </w:r>
      <w:r>
        <w:rPr>
          <w:spacing w:val="3"/>
        </w:rPr>
        <w:t>clofazimine(CFZ)</w:t>
      </w:r>
      <w:r>
        <w:rPr>
          <w:spacing w:val="-2"/>
        </w:rPr>
        <w:t>, </w:t>
      </w:r>
      <w:r>
        <w:rPr>
          <w:spacing w:val="2"/>
        </w:rPr>
        <w:t>High</w:t>
      </w:r>
      <w:r>
        <w:rPr>
          <w:spacing w:val="-6"/>
        </w:rPr>
        <w:t> </w:t>
      </w:r>
      <w:r>
        <w:rPr>
          <w:spacing w:val="2"/>
        </w:rPr>
        <w:t>dose</w:t>
      </w:r>
      <w:r>
        <w:rPr>
          <w:spacing w:val="-6"/>
        </w:rPr>
        <w:t> </w:t>
      </w:r>
      <w:r>
        <w:rPr>
          <w:spacing w:val="3"/>
        </w:rPr>
        <w:t>gatifloxacin(or </w:t>
      </w:r>
      <w:r>
        <w:rPr/>
        <w:t>moxifloxacin</w:t>
      </w:r>
      <w:r>
        <w:rPr>
          <w:spacing w:val="15"/>
        </w:rPr>
        <w:t> 或是出現 </w:t>
      </w:r>
      <w:r>
        <w:rPr/>
        <w:t>QT</w:t>
      </w:r>
      <w:r>
        <w:rPr>
          <w:spacing w:val="42"/>
        </w:rPr>
        <w:t> </w:t>
      </w:r>
      <w:r>
        <w:rPr/>
        <w:t>prolongation</w:t>
      </w:r>
      <w:r>
        <w:rPr>
          <w:spacing w:val="9"/>
        </w:rPr>
        <w:t> 可考慮以高劑量的 </w:t>
      </w:r>
      <w:r>
        <w:rPr>
          <w:color w:val="FF0000"/>
        </w:rPr>
        <w:t>levofloxacin</w:t>
      </w:r>
      <w:r>
        <w:rPr>
          <w:color w:val="FF0000"/>
          <w:spacing w:val="41"/>
        </w:rPr>
        <w:t> </w:t>
      </w:r>
      <w:r>
        <w:rPr/>
        <w:t>替</w:t>
      </w:r>
      <w:r>
        <w:rPr>
          <w:spacing w:val="3"/>
        </w:rPr>
        <w:t>換), </w:t>
      </w:r>
      <w:r>
        <w:rPr/>
        <w:t>EMB</w:t>
      </w:r>
      <w:r>
        <w:rPr>
          <w:spacing w:val="5"/>
        </w:rPr>
        <w:t>, </w:t>
      </w:r>
      <w:r>
        <w:rPr/>
        <w:t>PZA</w:t>
      </w:r>
      <w:r>
        <w:rPr>
          <w:spacing w:val="3"/>
        </w:rPr>
        <w:t>。加強期為 </w:t>
      </w:r>
      <w:r>
        <w:rPr/>
        <w:t>4</w:t>
      </w:r>
      <w:r>
        <w:rPr>
          <w:spacing w:val="2"/>
        </w:rPr>
        <w:t> 個月，如果 </w:t>
      </w:r>
      <w:r>
        <w:rPr/>
        <w:t>4</w:t>
      </w:r>
      <w:r>
        <w:rPr>
          <w:spacing w:val="2"/>
        </w:rPr>
        <w:t> 個月末依然塗片陽性，延長加強期 </w:t>
      </w:r>
      <w:r>
        <w:rPr/>
        <w:t>1</w:t>
      </w:r>
    </w:p>
    <w:p>
      <w:pPr>
        <w:pStyle w:val="BodyText"/>
        <w:spacing w:line="410" w:lineRule="exact"/>
        <w:ind w:left="1484"/>
        <w:jc w:val="both"/>
      </w:pPr>
      <w:r>
        <w:rPr>
          <w:spacing w:val="3"/>
        </w:rPr>
        <w:t>個月，如果 </w:t>
      </w:r>
      <w:r>
        <w:rPr/>
        <w:t>5</w:t>
      </w:r>
      <w:r>
        <w:rPr>
          <w:spacing w:val="2"/>
        </w:rPr>
        <w:t> 個月末依然塗片陽性，再延長加強期 </w:t>
      </w:r>
      <w:r>
        <w:rPr/>
        <w:t>1</w:t>
      </w:r>
      <w:r>
        <w:rPr>
          <w:spacing w:val="2"/>
        </w:rPr>
        <w:t> 個月。持續期固定為 </w:t>
      </w:r>
      <w:r>
        <w:rPr/>
        <w:t>5</w:t>
      </w:r>
      <w:r>
        <w:rPr>
          <w:spacing w:val="4"/>
        </w:rPr>
        <w:t> 個</w:t>
      </w:r>
    </w:p>
    <w:p>
      <w:pPr>
        <w:pStyle w:val="BodyText"/>
        <w:spacing w:line="225" w:lineRule="auto" w:before="6"/>
        <w:ind w:left="1484" w:right="1301"/>
        <w:jc w:val="both"/>
      </w:pPr>
      <w:r>
        <w:rPr/>
        <w:t>月。如果治療滿兩個月的痰，在滿 4 個月時發現培養仍然陽性，可考慮延長加強期至少 1 個月。gatifloxacin 優於 </w:t>
      </w:r>
      <w:r>
        <w:rPr>
          <w:color w:val="FF0000"/>
        </w:rPr>
        <w:t>moxifloxacin</w:t>
      </w:r>
      <w:r>
        <w:rPr/>
        <w:t>，</w:t>
      </w:r>
      <w:r>
        <w:rPr>
          <w:color w:val="FF0000"/>
        </w:rPr>
        <w:t>可惜目前在臺灣無法購買</w:t>
      </w:r>
      <w:r>
        <w:rPr/>
        <w:t>。若是針劑無法耐受，建議可考慮以 linezolid 取代。</w:t>
      </w:r>
    </w:p>
    <w:p>
      <w:pPr>
        <w:pStyle w:val="ListParagraph"/>
        <w:numPr>
          <w:ilvl w:val="2"/>
          <w:numId w:val="148"/>
        </w:numPr>
        <w:tabs>
          <w:tab w:pos="1840" w:val="left" w:leader="none"/>
        </w:tabs>
        <w:spacing w:line="225" w:lineRule="auto" w:before="0" w:after="0"/>
        <w:ind w:left="1839" w:right="1301" w:hanging="366"/>
        <w:jc w:val="both"/>
        <w:rPr>
          <w:sz w:val="24"/>
        </w:rPr>
      </w:pPr>
      <w:r>
        <w:rPr>
          <w:sz w:val="24"/>
        </w:rPr>
        <w:t>Van</w:t>
      </w:r>
      <w:r>
        <w:rPr>
          <w:spacing w:val="38"/>
          <w:sz w:val="24"/>
        </w:rPr>
        <w:t> </w:t>
      </w:r>
      <w:r>
        <w:rPr>
          <w:sz w:val="24"/>
        </w:rPr>
        <w:t>Duen</w:t>
      </w:r>
      <w:r>
        <w:rPr>
          <w:spacing w:val="13"/>
          <w:sz w:val="24"/>
        </w:rPr>
        <w:t> 於 </w:t>
      </w:r>
      <w:r>
        <w:rPr>
          <w:sz w:val="24"/>
        </w:rPr>
        <w:t>2010</w:t>
      </w:r>
      <w:r>
        <w:rPr>
          <w:spacing w:val="3"/>
          <w:sz w:val="24"/>
        </w:rPr>
        <w:t> 的研究指出在孟加拉 </w:t>
      </w:r>
      <w:r>
        <w:rPr>
          <w:sz w:val="24"/>
        </w:rPr>
        <w:t>206</w:t>
      </w:r>
      <w:r>
        <w:rPr>
          <w:spacing w:val="13"/>
          <w:sz w:val="24"/>
        </w:rPr>
        <w:t> 位 </w:t>
      </w:r>
      <w:r>
        <w:rPr>
          <w:sz w:val="24"/>
        </w:rPr>
        <w:t>MDR-TB</w:t>
      </w:r>
      <w:r>
        <w:rPr>
          <w:spacing w:val="3"/>
          <w:sz w:val="24"/>
        </w:rPr>
        <w:t> 個案以九個月的</w:t>
      </w:r>
      <w:r>
        <w:rPr>
          <w:sz w:val="24"/>
        </w:rPr>
        <w:t>標準化處方治療，成功率達 88%。2014</w:t>
      </w:r>
      <w:r>
        <w:rPr>
          <w:spacing w:val="3"/>
          <w:sz w:val="24"/>
        </w:rPr>
        <w:t> 年 </w:t>
      </w:r>
      <w:r>
        <w:rPr>
          <w:sz w:val="24"/>
        </w:rPr>
        <w:t>Aung</w:t>
      </w:r>
      <w:r>
        <w:rPr>
          <w:spacing w:val="-11"/>
          <w:sz w:val="24"/>
        </w:rPr>
        <w:t> </w:t>
      </w:r>
      <w:r>
        <w:rPr>
          <w:sz w:val="24"/>
        </w:rPr>
        <w:t>et</w:t>
      </w:r>
      <w:r>
        <w:rPr>
          <w:spacing w:val="-11"/>
          <w:sz w:val="24"/>
        </w:rPr>
        <w:t> </w:t>
      </w:r>
      <w:r>
        <w:rPr>
          <w:sz w:val="24"/>
        </w:rPr>
        <w:t>al</w:t>
      </w:r>
      <w:r>
        <w:rPr>
          <w:spacing w:val="2"/>
          <w:sz w:val="24"/>
        </w:rPr>
        <w:t>.的研究將追蹤病人數</w:t>
      </w:r>
      <w:r>
        <w:rPr>
          <w:spacing w:val="3"/>
          <w:sz w:val="24"/>
        </w:rPr>
        <w:t>擴大到 </w:t>
      </w:r>
      <w:r>
        <w:rPr>
          <w:sz w:val="24"/>
        </w:rPr>
        <w:t>515</w:t>
      </w:r>
      <w:r>
        <w:rPr>
          <w:spacing w:val="-16"/>
          <w:sz w:val="24"/>
        </w:rPr>
        <w:t> 位，</w:t>
      </w:r>
      <w:r>
        <w:rPr>
          <w:spacing w:val="-7"/>
          <w:sz w:val="24"/>
        </w:rPr>
        <w:t>84.4</w:t>
      </w:r>
      <w:r>
        <w:rPr>
          <w:spacing w:val="-11"/>
          <w:sz w:val="24"/>
        </w:rPr>
        <w:t>%的個案治療成功。約一半的個案九個月完成治療，95% </w:t>
      </w:r>
      <w:r>
        <w:rPr>
          <w:spacing w:val="3"/>
          <w:sz w:val="24"/>
        </w:rPr>
        <w:t>的個案在 </w:t>
      </w:r>
      <w:r>
        <w:rPr>
          <w:sz w:val="24"/>
        </w:rPr>
        <w:t>12</w:t>
      </w:r>
      <w:r>
        <w:rPr>
          <w:spacing w:val="-6"/>
          <w:sz w:val="24"/>
        </w:rPr>
        <w:t> 個月內完成治療。但是對 </w:t>
      </w:r>
      <w:r>
        <w:rPr>
          <w:sz w:val="24"/>
        </w:rPr>
        <w:t>fluoroquinolone</w:t>
      </w:r>
      <w:r>
        <w:rPr>
          <w:spacing w:val="-3"/>
          <w:sz w:val="24"/>
        </w:rPr>
        <w:t> 高濃度抗藥的個案， </w:t>
      </w:r>
      <w:r>
        <w:rPr>
          <w:spacing w:val="2"/>
          <w:sz w:val="24"/>
        </w:rPr>
        <w:t>治療成功率僅約 </w:t>
      </w:r>
      <w:r>
        <w:rPr>
          <w:sz w:val="24"/>
        </w:rPr>
        <w:t>50%。</w:t>
      </w:r>
    </w:p>
    <w:p>
      <w:pPr>
        <w:spacing w:after="0" w:line="225" w:lineRule="auto"/>
        <w:jc w:val="both"/>
        <w:rPr>
          <w:sz w:val="24"/>
        </w:rPr>
        <w:sectPr>
          <w:pgSz w:w="12250" w:h="17190"/>
          <w:pgMar w:header="0" w:footer="734" w:top="1460" w:bottom="1020" w:left="1020" w:right="0"/>
        </w:sectPr>
      </w:pPr>
    </w:p>
    <w:p>
      <w:pPr>
        <w:pStyle w:val="ListParagraph"/>
        <w:numPr>
          <w:ilvl w:val="2"/>
          <w:numId w:val="148"/>
        </w:numPr>
        <w:tabs>
          <w:tab w:pos="1840" w:val="left" w:leader="none"/>
        </w:tabs>
        <w:spacing w:line="225" w:lineRule="auto" w:before="44" w:after="0"/>
        <w:ind w:left="1839" w:right="1353" w:hanging="366"/>
        <w:jc w:val="left"/>
        <w:rPr>
          <w:sz w:val="24"/>
        </w:rPr>
      </w:pPr>
      <w:r>
        <w:rPr>
          <w:sz w:val="24"/>
        </w:rPr>
        <w:t>Piubello</w:t>
      </w:r>
      <w:r>
        <w:rPr>
          <w:spacing w:val="8"/>
          <w:sz w:val="24"/>
        </w:rPr>
        <w:t> 等人在西非尼日爾的研究將孟加拉九個月的標準化治療處方略加</w:t>
      </w:r>
      <w:r>
        <w:rPr>
          <w:spacing w:val="3"/>
          <w:sz w:val="24"/>
        </w:rPr>
        <w:t>調整成 </w:t>
      </w:r>
      <w:r>
        <w:rPr>
          <w:sz w:val="24"/>
        </w:rPr>
        <w:t>12</w:t>
      </w:r>
      <w:r>
        <w:rPr>
          <w:spacing w:val="2"/>
          <w:sz w:val="24"/>
        </w:rPr>
        <w:t> 個月標準處方，治療 </w:t>
      </w:r>
      <w:r>
        <w:rPr>
          <w:sz w:val="24"/>
        </w:rPr>
        <w:t>75</w:t>
      </w:r>
      <w:r>
        <w:rPr>
          <w:spacing w:val="3"/>
          <w:sz w:val="24"/>
        </w:rPr>
        <w:t> 位 </w:t>
      </w:r>
      <w:r>
        <w:rPr>
          <w:sz w:val="24"/>
        </w:rPr>
        <w:t>MDR-TB</w:t>
      </w:r>
      <w:r>
        <w:rPr>
          <w:spacing w:val="2"/>
          <w:sz w:val="24"/>
        </w:rPr>
        <w:t> 的個案，成功率達 </w:t>
      </w:r>
      <w:r>
        <w:rPr>
          <w:sz w:val="24"/>
        </w:rPr>
        <w:t>89.2%。</w:t>
      </w:r>
    </w:p>
    <w:p>
      <w:pPr>
        <w:pStyle w:val="ListParagraph"/>
        <w:numPr>
          <w:ilvl w:val="2"/>
          <w:numId w:val="148"/>
        </w:numPr>
        <w:tabs>
          <w:tab w:pos="1840" w:val="left" w:leader="none"/>
        </w:tabs>
        <w:spacing w:line="225" w:lineRule="auto" w:before="0" w:after="0"/>
        <w:ind w:left="1839" w:right="1358" w:hanging="366"/>
        <w:jc w:val="left"/>
        <w:rPr>
          <w:sz w:val="24"/>
        </w:rPr>
      </w:pPr>
      <w:r>
        <w:rPr>
          <w:sz w:val="24"/>
        </w:rPr>
        <w:t>Kuaban</w:t>
      </w:r>
      <w:r>
        <w:rPr>
          <w:spacing w:val="14"/>
          <w:sz w:val="24"/>
        </w:rPr>
        <w:t> 等人 </w:t>
      </w:r>
      <w:r>
        <w:rPr>
          <w:sz w:val="24"/>
        </w:rPr>
        <w:t>2015</w:t>
      </w:r>
      <w:r>
        <w:rPr>
          <w:spacing w:val="2"/>
          <w:sz w:val="24"/>
        </w:rPr>
        <w:t> 年在非洲西海岸喀麥隆，以 </w:t>
      </w:r>
      <w:r>
        <w:rPr>
          <w:sz w:val="24"/>
        </w:rPr>
        <w:t>12</w:t>
      </w:r>
      <w:r>
        <w:rPr>
          <w:spacing w:val="3"/>
          <w:sz w:val="24"/>
        </w:rPr>
        <w:t> 個月標準化治療處方治療 </w:t>
      </w:r>
      <w:r>
        <w:rPr>
          <w:sz w:val="24"/>
        </w:rPr>
        <w:t>150</w:t>
      </w:r>
      <w:r>
        <w:rPr>
          <w:spacing w:val="2"/>
          <w:sz w:val="24"/>
        </w:rPr>
        <w:t> 位 </w:t>
      </w:r>
      <w:r>
        <w:rPr>
          <w:sz w:val="24"/>
        </w:rPr>
        <w:t>MDR-TB</w:t>
      </w:r>
      <w:r>
        <w:rPr>
          <w:spacing w:val="2"/>
          <w:sz w:val="24"/>
        </w:rPr>
        <w:t> 的個案，達到 </w:t>
      </w:r>
      <w:r>
        <w:rPr>
          <w:sz w:val="24"/>
        </w:rPr>
        <w:t>89</w:t>
      </w:r>
      <w:r>
        <w:rPr>
          <w:spacing w:val="1"/>
          <w:sz w:val="24"/>
        </w:rPr>
        <w:t>%治療成功率。</w:t>
      </w:r>
    </w:p>
    <w:p>
      <w:pPr>
        <w:pStyle w:val="ListParagraph"/>
        <w:numPr>
          <w:ilvl w:val="2"/>
          <w:numId w:val="148"/>
        </w:numPr>
        <w:tabs>
          <w:tab w:pos="1840" w:val="left" w:leader="none"/>
        </w:tabs>
        <w:spacing w:line="225" w:lineRule="auto" w:before="0" w:after="0"/>
        <w:ind w:left="1839" w:right="1361" w:hanging="366"/>
        <w:jc w:val="left"/>
        <w:rPr>
          <w:sz w:val="24"/>
        </w:rPr>
      </w:pPr>
      <w:r>
        <w:rPr>
          <w:sz w:val="24"/>
        </w:rPr>
        <w:t>WHO</w:t>
      </w:r>
      <w:r>
        <w:rPr>
          <w:spacing w:val="39"/>
          <w:sz w:val="24"/>
        </w:rPr>
        <w:t> </w:t>
      </w:r>
      <w:r>
        <w:rPr>
          <w:sz w:val="24"/>
        </w:rPr>
        <w:t>2018</w:t>
      </w:r>
      <w:r>
        <w:rPr>
          <w:spacing w:val="3"/>
          <w:sz w:val="24"/>
        </w:rPr>
        <w:t> 年診治指引收集 </w:t>
      </w:r>
      <w:r>
        <w:rPr>
          <w:sz w:val="24"/>
        </w:rPr>
        <w:t>2015-2017</w:t>
      </w:r>
      <w:r>
        <w:rPr>
          <w:spacing w:val="8"/>
          <w:sz w:val="24"/>
        </w:rPr>
        <w:t> 年間 </w:t>
      </w:r>
      <w:r>
        <w:rPr>
          <w:sz w:val="24"/>
        </w:rPr>
        <w:t>15</w:t>
      </w:r>
      <w:r>
        <w:rPr>
          <w:spacing w:val="3"/>
          <w:sz w:val="24"/>
        </w:rPr>
        <w:t> 個國家的短期與一般處方研究數據。研究分析發現短期處方的服藥遵從性比一般處方好。</w:t>
      </w:r>
    </w:p>
    <w:p>
      <w:pPr>
        <w:pStyle w:val="ListParagraph"/>
        <w:numPr>
          <w:ilvl w:val="2"/>
          <w:numId w:val="148"/>
        </w:numPr>
        <w:tabs>
          <w:tab w:pos="1840" w:val="left" w:leader="none"/>
        </w:tabs>
        <w:spacing w:line="225" w:lineRule="auto" w:before="0" w:after="0"/>
        <w:ind w:left="1839" w:right="1361" w:hanging="366"/>
        <w:jc w:val="left"/>
        <w:rPr>
          <w:sz w:val="24"/>
        </w:rPr>
      </w:pPr>
      <w:r>
        <w:rPr>
          <w:sz w:val="24"/>
        </w:rPr>
        <w:t>STREAM</w:t>
      </w:r>
      <w:r>
        <w:rPr>
          <w:spacing w:val="1"/>
          <w:sz w:val="24"/>
        </w:rPr>
        <w:t> </w:t>
      </w:r>
      <w:r>
        <w:rPr>
          <w:sz w:val="24"/>
        </w:rPr>
        <w:t>stage</w:t>
      </w:r>
      <w:r>
        <w:rPr>
          <w:spacing w:val="2"/>
          <w:sz w:val="24"/>
        </w:rPr>
        <w:t> </w:t>
      </w:r>
      <w:r>
        <w:rPr>
          <w:sz w:val="24"/>
        </w:rPr>
        <w:t>1</w:t>
      </w:r>
      <w:r>
        <w:rPr>
          <w:spacing w:val="2"/>
          <w:sz w:val="24"/>
        </w:rPr>
        <w:t> 報告含針劑的短期處方治療結果與 </w:t>
      </w:r>
      <w:r>
        <w:rPr>
          <w:sz w:val="24"/>
        </w:rPr>
        <w:t>WHO</w:t>
      </w:r>
      <w:r>
        <w:rPr>
          <w:spacing w:val="3"/>
          <w:sz w:val="24"/>
        </w:rPr>
        <w:t> 推薦的一般處方</w:t>
      </w:r>
      <w:r>
        <w:rPr>
          <w:spacing w:val="2"/>
          <w:sz w:val="24"/>
        </w:rPr>
        <w:t>治療結果相近。</w:t>
      </w:r>
    </w:p>
    <w:p>
      <w:pPr>
        <w:pStyle w:val="ListParagraph"/>
        <w:numPr>
          <w:ilvl w:val="1"/>
          <w:numId w:val="148"/>
        </w:numPr>
        <w:tabs>
          <w:tab w:pos="1514" w:val="left" w:leader="none"/>
        </w:tabs>
        <w:spacing w:line="240" w:lineRule="auto" w:before="22" w:after="0"/>
        <w:ind w:left="1513" w:right="0" w:hanging="481"/>
        <w:jc w:val="left"/>
        <w:rPr>
          <w:b/>
          <w:color w:val="FF0000"/>
          <w:sz w:val="24"/>
        </w:rPr>
      </w:pPr>
      <w:r>
        <w:rPr>
          <w:b/>
          <w:color w:val="FF0000"/>
          <w:spacing w:val="-1"/>
          <w:sz w:val="24"/>
        </w:rPr>
        <w:t>短期治療處方-包含 </w:t>
      </w:r>
      <w:r>
        <w:rPr>
          <w:b/>
          <w:color w:val="FF0000"/>
          <w:sz w:val="24"/>
        </w:rPr>
        <w:t>bedaquiline 的全口服藥物</w:t>
      </w:r>
    </w:p>
    <w:p>
      <w:pPr>
        <w:pStyle w:val="BodyText"/>
        <w:spacing w:line="223" w:lineRule="auto" w:before="41"/>
        <w:ind w:left="1507" w:right="1357" w:firstLine="487"/>
        <w:jc w:val="both"/>
      </w:pPr>
      <w:r>
        <w:rPr>
          <w:color w:val="FF0000"/>
        </w:rPr>
        <w:t>WHO</w:t>
      </w:r>
      <w:r>
        <w:rPr>
          <w:color w:val="FF0000"/>
          <w:spacing w:val="2"/>
        </w:rPr>
        <w:t> 於 </w:t>
      </w:r>
      <w:r>
        <w:rPr>
          <w:color w:val="FF0000"/>
        </w:rPr>
        <w:t>2020</w:t>
      </w:r>
      <w:r>
        <w:rPr>
          <w:color w:val="FF0000"/>
          <w:spacing w:val="2"/>
        </w:rPr>
        <w:t> 年推薦 </w:t>
      </w:r>
      <w:r>
        <w:rPr>
          <w:color w:val="FF0000"/>
        </w:rPr>
        <w:t>9-12</w:t>
      </w:r>
      <w:r>
        <w:rPr>
          <w:color w:val="FF0000"/>
          <w:spacing w:val="1"/>
        </w:rPr>
        <w:t> 個月全口服的短期處方，以 </w:t>
      </w:r>
      <w:r>
        <w:rPr>
          <w:color w:val="FF0000"/>
        </w:rPr>
        <w:t>bedaquiline</w:t>
      </w:r>
      <w:r>
        <w:rPr>
          <w:color w:val="FF0000"/>
          <w:spacing w:val="3"/>
        </w:rPr>
        <w:t> 取代</w:t>
      </w:r>
      <w:r>
        <w:rPr>
          <w:color w:val="FF0000"/>
          <w:spacing w:val="20"/>
        </w:rPr>
        <w:t>針劑。加強期使用 </w:t>
      </w:r>
      <w:r>
        <w:rPr>
          <w:color w:val="FF0000"/>
        </w:rPr>
        <w:t>bedaquiline(6</w:t>
      </w:r>
      <w:r>
        <w:rPr>
          <w:color w:val="FF0000"/>
          <w:spacing w:val="19"/>
        </w:rPr>
        <w:t> 個月)，加上 </w:t>
      </w:r>
      <w:r>
        <w:rPr>
          <w:color w:val="FF0000"/>
        </w:rPr>
        <w:t>4</w:t>
      </w:r>
      <w:r>
        <w:rPr>
          <w:color w:val="FF0000"/>
          <w:spacing w:val="20"/>
        </w:rPr>
        <w:t> 個月的 </w:t>
      </w:r>
      <w:r>
        <w:rPr>
          <w:color w:val="FF0000"/>
        </w:rPr>
        <w:t>levofloxacin(or moxifloxacin), ethionamide, ethambutol, high dose INH, pyrazinamide, clofazimine</w:t>
      </w:r>
      <w:r>
        <w:rPr>
          <w:color w:val="FF0000"/>
          <w:spacing w:val="3"/>
        </w:rPr>
        <w:t>(若第 </w:t>
      </w:r>
      <w:r>
        <w:rPr>
          <w:color w:val="FF0000"/>
        </w:rPr>
        <w:t>4</w:t>
      </w:r>
      <w:r>
        <w:rPr>
          <w:color w:val="FF0000"/>
          <w:spacing w:val="2"/>
        </w:rPr>
        <w:t> 個月末的痰塗片仍陽性，則加強期可延長到 </w:t>
      </w:r>
      <w:r>
        <w:rPr>
          <w:color w:val="FF0000"/>
        </w:rPr>
        <w:t>6</w:t>
      </w:r>
      <w:r>
        <w:rPr>
          <w:color w:val="FF0000"/>
          <w:spacing w:val="3"/>
        </w:rPr>
        <w:t> 個月)，持續</w:t>
      </w:r>
      <w:r>
        <w:rPr>
          <w:color w:val="FF0000"/>
          <w:spacing w:val="28"/>
        </w:rPr>
        <w:t>期 為 </w:t>
      </w:r>
      <w:r>
        <w:rPr>
          <w:color w:val="FF0000"/>
        </w:rPr>
        <w:t>5</w:t>
      </w:r>
      <w:r>
        <w:rPr>
          <w:color w:val="FF0000"/>
          <w:spacing w:val="29"/>
        </w:rPr>
        <w:t> 個 月 </w:t>
      </w:r>
      <w:r>
        <w:rPr>
          <w:color w:val="FF0000"/>
        </w:rPr>
        <w:t>levofloxacin (or moxifloxacin), clofazimine, ethambutol, pyrazinamide</w:t>
      </w:r>
      <w:r>
        <w:rPr>
          <w:color w:val="FF0000"/>
          <w:spacing w:val="3"/>
        </w:rPr>
        <w:t>。</w:t>
      </w:r>
      <w:r>
        <w:rPr>
          <w:color w:val="FF0000"/>
        </w:rPr>
        <w:t>Fluoroquinolone</w:t>
      </w:r>
      <w:r>
        <w:rPr>
          <w:color w:val="FF0000"/>
          <w:spacing w:val="6"/>
        </w:rPr>
        <w:t> 建議優先選用 </w:t>
      </w:r>
      <w:r>
        <w:rPr>
          <w:color w:val="FF0000"/>
        </w:rPr>
        <w:t>levofloxacin</w:t>
      </w:r>
      <w:r>
        <w:rPr>
          <w:color w:val="FF0000"/>
          <w:spacing w:val="2"/>
        </w:rPr>
        <w:t>。使用全口服的</w:t>
      </w:r>
      <w:r>
        <w:rPr>
          <w:color w:val="FF0000"/>
          <w:spacing w:val="10"/>
        </w:rPr>
        <w:t>短期處方，務必確定 </w:t>
      </w:r>
      <w:r>
        <w:rPr>
          <w:color w:val="FF0000"/>
        </w:rPr>
        <w:t>fluoroquinolone</w:t>
      </w:r>
      <w:r>
        <w:rPr>
          <w:color w:val="FF0000"/>
          <w:spacing w:val="9"/>
        </w:rPr>
        <w:t> 敏感 </w:t>
      </w:r>
      <w:r>
        <w:rPr>
          <w:color w:val="FF0000"/>
          <w:spacing w:val="8"/>
          <w:position w:val="11"/>
          <w:sz w:val="16"/>
        </w:rPr>
        <w:t>9</w:t>
      </w:r>
      <w:r>
        <w:rPr>
          <w:color w:val="FF0000"/>
          <w:spacing w:val="9"/>
        </w:rPr>
        <w:t>。(備註:因為 </w:t>
      </w:r>
      <w:r>
        <w:rPr>
          <w:color w:val="FF0000"/>
        </w:rPr>
        <w:t>bedaquiline</w:t>
      </w:r>
      <w:r>
        <w:rPr>
          <w:color w:val="FF0000"/>
          <w:spacing w:val="7"/>
        </w:rPr>
        <w:t> 和clofazimine</w:t>
      </w:r>
      <w:r>
        <w:rPr>
          <w:color w:val="FF0000"/>
          <w:spacing w:val="-9"/>
        </w:rPr>
        <w:t> 在治療初期幾乎無殺菌效果，建議在治療一開始可考慮加上針劑 </w:t>
      </w:r>
      <w:r>
        <w:rPr>
          <w:color w:val="FF0000"/>
        </w:rPr>
        <w:t>1-</w:t>
      </w:r>
    </w:p>
    <w:p>
      <w:pPr>
        <w:pStyle w:val="BodyText"/>
        <w:spacing w:line="412" w:lineRule="exact"/>
        <w:ind w:left="1507"/>
        <w:jc w:val="both"/>
      </w:pPr>
      <w:r>
        <w:rPr>
          <w:color w:val="FF0000"/>
        </w:rPr>
        <w:t>2 週。)</w:t>
      </w:r>
    </w:p>
    <w:p>
      <w:pPr>
        <w:pStyle w:val="Heading7"/>
        <w:spacing w:line="427" w:lineRule="exact" w:before="113"/>
        <w:ind w:left="1972"/>
        <w:jc w:val="left"/>
      </w:pPr>
      <w:r>
        <w:rPr/>
        <w:t>排除使用短期處方</w:t>
      </w:r>
      <w:r>
        <w:rPr>
          <w:b w:val="0"/>
        </w:rPr>
        <w:t>情況</w:t>
      </w:r>
      <w:r>
        <w:rPr/>
        <w:t>：</w:t>
      </w:r>
    </w:p>
    <w:p>
      <w:pPr>
        <w:pStyle w:val="ListParagraph"/>
        <w:numPr>
          <w:ilvl w:val="0"/>
          <w:numId w:val="149"/>
        </w:numPr>
        <w:tabs>
          <w:tab w:pos="1823" w:val="left" w:leader="none"/>
        </w:tabs>
        <w:spacing w:line="413" w:lineRule="exact" w:before="0" w:after="0"/>
        <w:ind w:left="1822" w:right="0" w:hanging="305"/>
        <w:jc w:val="left"/>
        <w:rPr>
          <w:sz w:val="24"/>
        </w:rPr>
      </w:pPr>
      <w:r>
        <w:rPr>
          <w:spacing w:val="2"/>
          <w:sz w:val="24"/>
        </w:rPr>
        <w:t>已知或是懷疑對 </w:t>
      </w:r>
      <w:r>
        <w:rPr>
          <w:sz w:val="24"/>
        </w:rPr>
        <w:t>fluoroquinolone</w:t>
      </w:r>
      <w:r>
        <w:rPr>
          <w:spacing w:val="2"/>
          <w:sz w:val="24"/>
        </w:rPr>
        <w:t> 或二線針劑藥物抗藥</w:t>
      </w:r>
    </w:p>
    <w:p>
      <w:pPr>
        <w:pStyle w:val="ListParagraph"/>
        <w:numPr>
          <w:ilvl w:val="0"/>
          <w:numId w:val="149"/>
        </w:numPr>
        <w:tabs>
          <w:tab w:pos="1823" w:val="left" w:leader="none"/>
        </w:tabs>
        <w:spacing w:line="414" w:lineRule="exact" w:before="0" w:after="0"/>
        <w:ind w:left="1822" w:right="0" w:hanging="305"/>
        <w:jc w:val="left"/>
        <w:rPr>
          <w:sz w:val="24"/>
        </w:rPr>
      </w:pPr>
      <w:r>
        <w:rPr>
          <w:spacing w:val="1"/>
          <w:sz w:val="24"/>
        </w:rPr>
        <w:t>無法承受任何短期處方的藥物或是可能的藥物毒性(如：藥物交互作用)</w:t>
      </w:r>
    </w:p>
    <w:p>
      <w:pPr>
        <w:pStyle w:val="ListParagraph"/>
        <w:numPr>
          <w:ilvl w:val="0"/>
          <w:numId w:val="149"/>
        </w:numPr>
        <w:tabs>
          <w:tab w:pos="1823" w:val="left" w:leader="none"/>
        </w:tabs>
        <w:spacing w:line="414" w:lineRule="exact" w:before="0" w:after="0"/>
        <w:ind w:left="1822" w:right="0" w:hanging="306"/>
        <w:jc w:val="left"/>
        <w:rPr>
          <w:sz w:val="24"/>
        </w:rPr>
      </w:pPr>
      <w:r>
        <w:rPr>
          <w:spacing w:val="3"/>
          <w:sz w:val="24"/>
        </w:rPr>
        <w:t>懷孕婦女</w:t>
      </w:r>
    </w:p>
    <w:p>
      <w:pPr>
        <w:pStyle w:val="ListParagraph"/>
        <w:numPr>
          <w:ilvl w:val="0"/>
          <w:numId w:val="149"/>
        </w:numPr>
        <w:tabs>
          <w:tab w:pos="1823" w:val="left" w:leader="none"/>
        </w:tabs>
        <w:spacing w:line="414" w:lineRule="exact" w:before="0" w:after="0"/>
        <w:ind w:left="1822" w:right="0" w:hanging="306"/>
        <w:jc w:val="left"/>
        <w:rPr>
          <w:sz w:val="24"/>
        </w:rPr>
      </w:pPr>
      <w:r>
        <w:rPr>
          <w:spacing w:val="3"/>
          <w:sz w:val="24"/>
        </w:rPr>
        <w:t>瀰漫性血管、腦膜或是中樞神經結核</w:t>
      </w:r>
    </w:p>
    <w:p>
      <w:pPr>
        <w:pStyle w:val="ListParagraph"/>
        <w:numPr>
          <w:ilvl w:val="0"/>
          <w:numId w:val="149"/>
        </w:numPr>
        <w:tabs>
          <w:tab w:pos="1823" w:val="left" w:leader="none"/>
        </w:tabs>
        <w:spacing w:line="428" w:lineRule="exact" w:before="0" w:after="0"/>
        <w:ind w:left="1822" w:right="0" w:hanging="306"/>
        <w:jc w:val="left"/>
        <w:rPr>
          <w:sz w:val="24"/>
        </w:rPr>
      </w:pPr>
      <w:r>
        <w:rPr>
          <w:spacing w:val="3"/>
          <w:sz w:val="24"/>
        </w:rPr>
        <w:t>有一種或更多其他短期處方中的藥物短缺</w:t>
      </w:r>
    </w:p>
    <w:p>
      <w:pPr>
        <w:pStyle w:val="Heading7"/>
        <w:numPr>
          <w:ilvl w:val="1"/>
          <w:numId w:val="148"/>
        </w:numPr>
        <w:tabs>
          <w:tab w:pos="1522" w:val="left" w:leader="none"/>
        </w:tabs>
        <w:spacing w:line="240" w:lineRule="auto" w:before="80" w:after="0"/>
        <w:ind w:left="1521" w:right="0" w:hanging="488"/>
        <w:jc w:val="left"/>
      </w:pPr>
      <w:r>
        <w:rPr>
          <w:spacing w:val="2"/>
        </w:rPr>
        <w:t>給特定族群 </w:t>
      </w:r>
      <w:r>
        <w:rPr/>
        <w:t>MDR-TB</w:t>
      </w:r>
      <w:r>
        <w:rPr>
          <w:spacing w:val="2"/>
        </w:rPr>
        <w:t> 抗藥型態之短期治療處方建議</w:t>
      </w:r>
    </w:p>
    <w:p>
      <w:pPr>
        <w:pStyle w:val="ListParagraph"/>
        <w:numPr>
          <w:ilvl w:val="0"/>
          <w:numId w:val="150"/>
        </w:numPr>
        <w:tabs>
          <w:tab w:pos="1851" w:val="left" w:leader="none"/>
        </w:tabs>
        <w:spacing w:line="428" w:lineRule="exact" w:before="21" w:after="0"/>
        <w:ind w:left="1850" w:right="0" w:hanging="333"/>
        <w:jc w:val="both"/>
        <w:rPr>
          <w:b/>
          <w:sz w:val="24"/>
        </w:rPr>
      </w:pPr>
      <w:r>
        <w:rPr>
          <w:b/>
          <w:sz w:val="24"/>
        </w:rPr>
        <w:t>RR-TB</w:t>
      </w:r>
      <w:r>
        <w:rPr>
          <w:b/>
          <w:spacing w:val="2"/>
          <w:sz w:val="24"/>
        </w:rPr>
        <w:t> 但不是 </w:t>
      </w:r>
      <w:r>
        <w:rPr>
          <w:b/>
          <w:sz w:val="24"/>
        </w:rPr>
        <w:t>MDR-TB</w:t>
      </w:r>
    </w:p>
    <w:p>
      <w:pPr>
        <w:pStyle w:val="BodyText"/>
        <w:spacing w:line="225" w:lineRule="auto" w:before="6"/>
        <w:ind w:left="1803" w:right="1361" w:firstLine="488"/>
        <w:jc w:val="both"/>
      </w:pPr>
      <w:r>
        <w:rPr/>
        <w:t>所有 RR-TB 個案不論是大人或是孩童族群，若還沒確認 INH 抗藥可以先以短期 MDR-TB 處方治療(表 12-1)。</w:t>
      </w:r>
    </w:p>
    <w:p>
      <w:pPr>
        <w:pStyle w:val="Heading7"/>
        <w:numPr>
          <w:ilvl w:val="0"/>
          <w:numId w:val="150"/>
        </w:numPr>
        <w:tabs>
          <w:tab w:pos="1851" w:val="left" w:leader="none"/>
        </w:tabs>
        <w:spacing w:line="407" w:lineRule="exact" w:before="0" w:after="0"/>
        <w:ind w:left="1850" w:right="0" w:hanging="333"/>
        <w:jc w:val="both"/>
      </w:pPr>
      <w:r>
        <w:rPr/>
        <w:t>HIV</w:t>
      </w:r>
      <w:r>
        <w:rPr>
          <w:spacing w:val="2"/>
        </w:rPr>
        <w:t> 個案</w:t>
      </w:r>
    </w:p>
    <w:p>
      <w:pPr>
        <w:pStyle w:val="BodyText"/>
        <w:spacing w:line="225" w:lineRule="auto" w:before="5"/>
        <w:ind w:left="1803" w:right="1357" w:firstLine="488"/>
        <w:jc w:val="both"/>
      </w:pPr>
      <w:r>
        <w:rPr/>
        <w:t>對於給予 HIV 個案短期 MDR-TB 治療處方時，考量因素與一般 HIV 陰性的病人一樣。當接受短期處方治療時，也可能需要給予伺機性感染的預防性投藥、藥物遵從性的支持以及持續觀察並追蹤病情。</w:t>
      </w:r>
    </w:p>
    <w:p>
      <w:pPr>
        <w:pStyle w:val="Heading7"/>
        <w:numPr>
          <w:ilvl w:val="0"/>
          <w:numId w:val="150"/>
        </w:numPr>
        <w:tabs>
          <w:tab w:pos="1818" w:val="left" w:leader="none"/>
        </w:tabs>
        <w:spacing w:line="420" w:lineRule="exact" w:before="0" w:after="0"/>
        <w:ind w:left="1818" w:right="0" w:hanging="334"/>
        <w:jc w:val="both"/>
      </w:pPr>
      <w:r>
        <w:rPr>
          <w:spacing w:val="3"/>
        </w:rPr>
        <w:t>孩童</w:t>
      </w:r>
    </w:p>
    <w:p>
      <w:pPr>
        <w:spacing w:after="0" w:line="420" w:lineRule="exact"/>
        <w:jc w:val="both"/>
        <w:sectPr>
          <w:pgSz w:w="12250" w:h="17190"/>
          <w:pgMar w:header="0" w:footer="734" w:top="1460" w:bottom="1020" w:left="1020" w:right="0"/>
        </w:sectPr>
      </w:pPr>
    </w:p>
    <w:p>
      <w:pPr>
        <w:pStyle w:val="BodyText"/>
        <w:spacing w:line="225" w:lineRule="auto" w:before="44"/>
        <w:ind w:left="1803" w:right="1361" w:firstLine="488"/>
        <w:jc w:val="both"/>
      </w:pPr>
      <w:r>
        <w:rPr/>
        <w:pict>
          <v:group style="position:absolute;margin-left:573pt;margin-top:.713211pt;width:39.4pt;height:177.4pt;mso-position-horizontal-relative:page;mso-position-vertical-relative:paragraph;z-index:251892736" coordorigin="11460,14" coordsize="788,3548">
            <v:shape style="position:absolute;left:11460;top:14;width:788;height:3548" coordorigin="11460,14" coordsize="788,3548" path="m12247,14l11625,14,11561,27,11508,63,11473,115,11460,180,11460,3397,11473,3461,11508,3514,11561,3549,11625,3562,12247,3562,12247,14xe" filled="true" fillcolor="#a6a6a6" stroked="false">
              <v:path arrowok="t"/>
              <v:fill type="solid"/>
            </v:shape>
            <v:shape style="position:absolute;left:11460;top:1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t>一般來說，MDR-TB 短期治療處方的臨床研究上都把孩童排除。但是並沒有生物學因素顯示短期治療處方作用在孩童身上的功效比大人還少。</w:t>
      </w:r>
    </w:p>
    <w:p>
      <w:pPr>
        <w:pStyle w:val="Heading7"/>
        <w:numPr>
          <w:ilvl w:val="0"/>
          <w:numId w:val="150"/>
        </w:numPr>
        <w:tabs>
          <w:tab w:pos="1818" w:val="left" w:leader="none"/>
        </w:tabs>
        <w:spacing w:line="407" w:lineRule="exact" w:before="0" w:after="0"/>
        <w:ind w:left="1818" w:right="0" w:hanging="334"/>
        <w:jc w:val="both"/>
      </w:pPr>
      <w:r>
        <w:rPr>
          <w:spacing w:val="2"/>
        </w:rPr>
        <w:t>懷孕婦女</w:t>
      </w:r>
    </w:p>
    <w:p>
      <w:pPr>
        <w:pStyle w:val="BodyText"/>
        <w:spacing w:line="225" w:lineRule="auto" w:before="6"/>
        <w:ind w:left="1803" w:right="1357" w:firstLine="488"/>
        <w:jc w:val="both"/>
      </w:pPr>
      <w:r>
        <w:rPr/>
        <w:t>懷孕是短期治療處方的排除因素之一。短期治療處方中的兩種主要核心藥物：注射藥物以及 ethionamide 或是 prothionamide 通常較不適用於懷孕婦女。而不給這兩種藥物可能會影響這個短期處方的效果。因此懷孕婦女的處方須個人特製化，通常建議使用一般處方並會選用 4 種以上有效且較沒有畸胎副作用的藥物。</w:t>
      </w:r>
    </w:p>
    <w:p>
      <w:pPr>
        <w:pStyle w:val="Heading7"/>
        <w:numPr>
          <w:ilvl w:val="0"/>
          <w:numId w:val="150"/>
        </w:numPr>
        <w:tabs>
          <w:tab w:pos="1818" w:val="left" w:leader="none"/>
        </w:tabs>
        <w:spacing w:line="404" w:lineRule="exact" w:before="0" w:after="0"/>
        <w:ind w:left="1818" w:right="0" w:hanging="334"/>
        <w:jc w:val="both"/>
      </w:pPr>
      <w:r>
        <w:rPr>
          <w:spacing w:val="2"/>
        </w:rPr>
        <w:t>肺外個案</w:t>
      </w:r>
    </w:p>
    <w:p>
      <w:pPr>
        <w:pStyle w:val="BodyText"/>
        <w:spacing w:line="225" w:lineRule="auto" w:before="5"/>
        <w:ind w:left="1803" w:right="1361" w:firstLine="488"/>
        <w:jc w:val="both"/>
      </w:pPr>
      <w:r>
        <w:rPr/>
        <w:t>以短期 MDR-TB 處方治療肺外結核病人的研究仍然有限，因此，目前缺乏證據建議肺外病人使用短期治療處方。</w:t>
      </w:r>
    </w:p>
    <w:p>
      <w:pPr>
        <w:pStyle w:val="Heading7"/>
        <w:numPr>
          <w:ilvl w:val="0"/>
          <w:numId w:val="150"/>
        </w:numPr>
        <w:tabs>
          <w:tab w:pos="1818" w:val="left" w:leader="none"/>
        </w:tabs>
        <w:spacing w:line="407" w:lineRule="exact" w:before="0" w:after="0"/>
        <w:ind w:left="1818" w:right="0" w:hanging="334"/>
        <w:jc w:val="both"/>
      </w:pPr>
      <w:r>
        <w:rPr>
          <w:spacing w:val="3"/>
        </w:rPr>
        <w:t>糖尿病個案</w:t>
      </w:r>
    </w:p>
    <w:p>
      <w:pPr>
        <w:pStyle w:val="BodyText"/>
        <w:spacing w:line="225" w:lineRule="auto" w:before="6"/>
        <w:ind w:left="1803" w:right="1363" w:firstLine="488"/>
      </w:pPr>
      <w:r>
        <w:rPr/>
        <w:t>目前並無探討糖尿病個案使用短期治療處方之文獻資料。建議跟治療其他個案時的考量因素一樣。</w:t>
      </w:r>
    </w:p>
    <w:p>
      <w:pPr>
        <w:pStyle w:val="Heading7"/>
        <w:numPr>
          <w:ilvl w:val="1"/>
          <w:numId w:val="148"/>
        </w:numPr>
        <w:tabs>
          <w:tab w:pos="1500" w:val="left" w:leader="none"/>
        </w:tabs>
        <w:spacing w:line="240" w:lineRule="auto" w:before="135" w:after="57"/>
        <w:ind w:left="1500" w:right="0" w:hanging="489"/>
        <w:jc w:val="left"/>
      </w:pPr>
      <w:r>
        <w:rPr>
          <w:spacing w:val="3"/>
        </w:rPr>
        <w:t>一般治療處方</w:t>
      </w:r>
    </w:p>
    <w:tbl>
      <w:tblPr>
        <w:tblW w:w="0" w:type="auto"/>
        <w:jc w:val="left"/>
        <w:tblInd w:w="16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06"/>
      </w:tblGrid>
      <w:tr>
        <w:trPr>
          <w:trHeight w:val="467" w:hRule="atLeast"/>
        </w:trPr>
        <w:tc>
          <w:tcPr>
            <w:tcW w:w="8206" w:type="dxa"/>
          </w:tcPr>
          <w:p>
            <w:pPr>
              <w:pStyle w:val="TableParagraph"/>
              <w:spacing w:line="412" w:lineRule="exact" w:before="35"/>
              <w:ind w:left="108"/>
              <w:rPr>
                <w:b/>
                <w:sz w:val="24"/>
              </w:rPr>
            </w:pPr>
            <w:r>
              <w:rPr>
                <w:b/>
                <w:sz w:val="24"/>
              </w:rPr>
              <w:t>WHO 2020 MDR/RR-TB 一般處方建議</w:t>
            </w:r>
          </w:p>
        </w:tc>
      </w:tr>
      <w:tr>
        <w:trPr>
          <w:trHeight w:val="467" w:hRule="atLeast"/>
        </w:trPr>
        <w:tc>
          <w:tcPr>
            <w:tcW w:w="8206" w:type="dxa"/>
            <w:tcBorders>
              <w:left w:val="single" w:sz="4" w:space="0" w:color="000000"/>
              <w:bottom w:val="single" w:sz="4" w:space="0" w:color="000000"/>
              <w:right w:val="single" w:sz="4" w:space="0" w:color="000000"/>
            </w:tcBorders>
          </w:tcPr>
          <w:p>
            <w:pPr>
              <w:pStyle w:val="TableParagraph"/>
              <w:numPr>
                <w:ilvl w:val="0"/>
                <w:numId w:val="151"/>
              </w:numPr>
              <w:tabs>
                <w:tab w:pos="355" w:val="left" w:leader="none"/>
              </w:tabs>
              <w:spacing w:line="427" w:lineRule="exact" w:before="0" w:after="0"/>
              <w:ind w:left="355" w:right="0" w:hanging="244"/>
              <w:jc w:val="left"/>
              <w:rPr>
                <w:sz w:val="24"/>
              </w:rPr>
            </w:pPr>
            <w:r>
              <w:rPr>
                <w:color w:val="FF0000"/>
                <w:sz w:val="24"/>
              </w:rPr>
              <w:t>Bedaquiline</w:t>
            </w:r>
            <w:r>
              <w:rPr>
                <w:color w:val="FF0000"/>
                <w:spacing w:val="-7"/>
                <w:sz w:val="24"/>
              </w:rPr>
              <w:t> </w:t>
            </w:r>
            <w:r>
              <w:rPr>
                <w:sz w:val="24"/>
              </w:rPr>
              <w:t>(BDQ</w:t>
            </w:r>
            <w:r>
              <w:rPr>
                <w:spacing w:val="2"/>
                <w:sz w:val="24"/>
              </w:rPr>
              <w:t>)適用於 </w:t>
            </w:r>
            <w:r>
              <w:rPr>
                <w:sz w:val="24"/>
              </w:rPr>
              <w:t>6</w:t>
            </w:r>
            <w:r>
              <w:rPr>
                <w:spacing w:val="2"/>
                <w:sz w:val="24"/>
              </w:rPr>
              <w:t> 歲以上；</w:t>
            </w:r>
            <w:r>
              <w:rPr>
                <w:color w:val="FF0000"/>
                <w:sz w:val="24"/>
              </w:rPr>
              <w:t>delamanid</w:t>
            </w:r>
            <w:r>
              <w:rPr>
                <w:color w:val="FF0000"/>
                <w:spacing w:val="-6"/>
                <w:sz w:val="24"/>
              </w:rPr>
              <w:t> </w:t>
            </w:r>
            <w:r>
              <w:rPr>
                <w:sz w:val="24"/>
              </w:rPr>
              <w:t>(DLM</w:t>
            </w:r>
            <w:r>
              <w:rPr>
                <w:spacing w:val="2"/>
                <w:sz w:val="24"/>
              </w:rPr>
              <w:t>)適用於 </w:t>
            </w:r>
            <w:r>
              <w:rPr>
                <w:sz w:val="24"/>
              </w:rPr>
              <w:t>3</w:t>
            </w:r>
            <w:r>
              <w:rPr>
                <w:spacing w:val="3"/>
                <w:sz w:val="24"/>
              </w:rPr>
              <w:t> 歲以上</w:t>
            </w:r>
          </w:p>
        </w:tc>
      </w:tr>
      <w:tr>
        <w:trPr>
          <w:trHeight w:val="843" w:hRule="atLeast"/>
        </w:trPr>
        <w:tc>
          <w:tcPr>
            <w:tcW w:w="8206" w:type="dxa"/>
            <w:tcBorders>
              <w:top w:val="single" w:sz="4" w:space="0" w:color="000000"/>
              <w:left w:val="single" w:sz="4" w:space="0" w:color="000000"/>
              <w:bottom w:val="single" w:sz="4" w:space="0" w:color="000000"/>
              <w:right w:val="single" w:sz="4" w:space="0" w:color="000000"/>
            </w:tcBorders>
          </w:tcPr>
          <w:p>
            <w:pPr>
              <w:pStyle w:val="TableParagraph"/>
              <w:numPr>
                <w:ilvl w:val="0"/>
                <w:numId w:val="152"/>
              </w:numPr>
              <w:tabs>
                <w:tab w:pos="355" w:val="left" w:leader="none"/>
              </w:tabs>
              <w:spacing w:line="380" w:lineRule="exact" w:before="36" w:after="0"/>
              <w:ind w:left="355" w:right="94" w:hanging="244"/>
              <w:jc w:val="left"/>
              <w:rPr>
                <w:sz w:val="24"/>
              </w:rPr>
            </w:pPr>
            <w:r>
              <w:rPr>
                <w:spacing w:val="3"/>
                <w:sz w:val="24"/>
              </w:rPr>
              <w:t>治療時間 </w:t>
            </w:r>
            <w:r>
              <w:rPr>
                <w:sz w:val="24"/>
              </w:rPr>
              <w:t>18-20</w:t>
            </w:r>
            <w:r>
              <w:rPr>
                <w:spacing w:val="-1"/>
                <w:sz w:val="24"/>
              </w:rPr>
              <w:t> 個月，痰陰轉後繼續治療 </w:t>
            </w:r>
            <w:r>
              <w:rPr>
                <w:sz w:val="24"/>
              </w:rPr>
              <w:t>15-17</w:t>
            </w:r>
            <w:r>
              <w:rPr>
                <w:spacing w:val="3"/>
                <w:sz w:val="24"/>
              </w:rPr>
              <w:t> 個月(治療時間長短以個</w:t>
            </w:r>
            <w:r>
              <w:rPr>
                <w:spacing w:val="2"/>
                <w:sz w:val="24"/>
              </w:rPr>
              <w:t>案對於治療的反應來調整)</w:t>
            </w:r>
          </w:p>
        </w:tc>
      </w:tr>
      <w:tr>
        <w:trPr>
          <w:trHeight w:val="454" w:hRule="atLeast"/>
        </w:trPr>
        <w:tc>
          <w:tcPr>
            <w:tcW w:w="8206" w:type="dxa"/>
            <w:tcBorders>
              <w:top w:val="single" w:sz="4" w:space="0" w:color="000000"/>
              <w:left w:val="single" w:sz="4" w:space="0" w:color="000000"/>
              <w:bottom w:val="single" w:sz="4" w:space="0" w:color="000000"/>
              <w:right w:val="single" w:sz="4" w:space="0" w:color="000000"/>
            </w:tcBorders>
          </w:tcPr>
          <w:p>
            <w:pPr>
              <w:pStyle w:val="TableParagraph"/>
              <w:numPr>
                <w:ilvl w:val="0"/>
                <w:numId w:val="153"/>
              </w:numPr>
              <w:tabs>
                <w:tab w:pos="355" w:val="left" w:leader="none"/>
              </w:tabs>
              <w:spacing w:line="432" w:lineRule="exact" w:before="2" w:after="0"/>
              <w:ind w:left="355" w:right="0" w:hanging="244"/>
              <w:jc w:val="left"/>
              <w:rPr>
                <w:sz w:val="24"/>
              </w:rPr>
            </w:pPr>
            <w:r>
              <w:rPr>
                <w:spacing w:val="3"/>
                <w:sz w:val="24"/>
              </w:rPr>
              <w:t>處方含 </w:t>
            </w:r>
            <w:r>
              <w:rPr>
                <w:sz w:val="24"/>
              </w:rPr>
              <w:t>amikacin</w:t>
            </w:r>
            <w:r>
              <w:rPr>
                <w:spacing w:val="4"/>
                <w:sz w:val="24"/>
              </w:rPr>
              <w:t> 或是 </w:t>
            </w:r>
            <w:r>
              <w:rPr>
                <w:sz w:val="24"/>
              </w:rPr>
              <w:t>Streptomycin</w:t>
            </w:r>
            <w:r>
              <w:rPr>
                <w:spacing w:val="2"/>
                <w:sz w:val="24"/>
              </w:rPr>
              <w:t> 者，建議加強期為 </w:t>
            </w:r>
            <w:r>
              <w:rPr>
                <w:sz w:val="24"/>
              </w:rPr>
              <w:t>6-7</w:t>
            </w:r>
            <w:r>
              <w:rPr>
                <w:spacing w:val="4"/>
                <w:sz w:val="24"/>
              </w:rPr>
              <w:t> 個月</w:t>
            </w:r>
          </w:p>
        </w:tc>
      </w:tr>
      <w:tr>
        <w:trPr>
          <w:trHeight w:val="454" w:hRule="atLeast"/>
        </w:trPr>
        <w:tc>
          <w:tcPr>
            <w:tcW w:w="8206" w:type="dxa"/>
            <w:tcBorders>
              <w:top w:val="single" w:sz="4" w:space="0" w:color="000000"/>
              <w:left w:val="single" w:sz="4" w:space="0" w:color="000000"/>
              <w:bottom w:val="single" w:sz="4" w:space="0" w:color="000000"/>
              <w:right w:val="single" w:sz="4" w:space="0" w:color="000000"/>
            </w:tcBorders>
          </w:tcPr>
          <w:p>
            <w:pPr>
              <w:pStyle w:val="TableParagraph"/>
              <w:numPr>
                <w:ilvl w:val="0"/>
                <w:numId w:val="154"/>
              </w:numPr>
              <w:tabs>
                <w:tab w:pos="355" w:val="left" w:leader="none"/>
              </w:tabs>
              <w:spacing w:line="433" w:lineRule="exact" w:before="1" w:after="0"/>
              <w:ind w:left="355" w:right="0" w:hanging="244"/>
              <w:jc w:val="left"/>
              <w:rPr>
                <w:sz w:val="24"/>
              </w:rPr>
            </w:pPr>
            <w:r>
              <w:rPr>
                <w:spacing w:val="3"/>
                <w:sz w:val="24"/>
              </w:rPr>
              <w:t>主動監測藥物</w:t>
            </w:r>
            <w:r>
              <w:rPr>
                <w:color w:val="FF0000"/>
                <w:spacing w:val="3"/>
                <w:sz w:val="24"/>
              </w:rPr>
              <w:t>不良</w:t>
            </w:r>
            <w:r>
              <w:rPr>
                <w:spacing w:val="3"/>
                <w:sz w:val="24"/>
              </w:rPr>
              <w:t>反應及用藥安全性</w:t>
            </w:r>
          </w:p>
        </w:tc>
      </w:tr>
    </w:tbl>
    <w:p>
      <w:pPr>
        <w:pStyle w:val="BodyText"/>
        <w:spacing w:line="220" w:lineRule="auto" w:before="272"/>
        <w:ind w:left="1517" w:right="1343" w:firstLine="488"/>
        <w:jc w:val="both"/>
      </w:pPr>
      <w:r>
        <w:rPr/>
        <w:t>WHO</w:t>
      </w:r>
      <w:r>
        <w:rPr>
          <w:spacing w:val="3"/>
        </w:rPr>
        <w:t> 根據研究結果建議，為確保使用有效的 </w:t>
      </w:r>
      <w:r>
        <w:rPr/>
        <w:t>MDR/RR-TB</w:t>
      </w:r>
      <w:r>
        <w:rPr>
          <w:spacing w:val="5"/>
        </w:rPr>
        <w:t> 的一般處方， </w:t>
      </w:r>
      <w:r>
        <w:rPr>
          <w:spacing w:val="-1"/>
        </w:rPr>
        <w:t>開始治療時需使用 </w:t>
      </w:r>
      <w:r>
        <w:rPr/>
        <w:t>4</w:t>
      </w:r>
      <w:r>
        <w:rPr>
          <w:spacing w:val="4"/>
        </w:rPr>
        <w:t> 種有效藥物，建議使用</w:t>
      </w:r>
      <w:r>
        <w:rPr/>
        <w:t>Group</w:t>
      </w:r>
      <w:r>
        <w:rPr>
          <w:spacing w:val="-17"/>
        </w:rPr>
        <w:t> </w:t>
      </w:r>
      <w:r>
        <w:rPr/>
        <w:t>A</w:t>
      </w:r>
      <w:r>
        <w:rPr>
          <w:spacing w:val="18"/>
        </w:rPr>
        <w:t> 的 </w:t>
      </w:r>
      <w:r>
        <w:rPr/>
        <w:t>3</w:t>
      </w:r>
      <w:r>
        <w:rPr>
          <w:spacing w:val="8"/>
        </w:rPr>
        <w:t> 種用藥以及</w:t>
      </w:r>
      <w:r>
        <w:rPr/>
        <w:t>Group</w:t>
      </w:r>
      <w:r>
        <w:rPr>
          <w:spacing w:val="-16"/>
        </w:rPr>
        <w:t> </w:t>
      </w:r>
      <w:r>
        <w:rPr/>
        <w:t>B </w:t>
      </w:r>
      <w:r>
        <w:rPr>
          <w:spacing w:val="8"/>
        </w:rPr>
        <w:t>中至少 </w:t>
      </w:r>
      <w:r>
        <w:rPr/>
        <w:t>1</w:t>
      </w:r>
      <w:r>
        <w:rPr>
          <w:spacing w:val="8"/>
        </w:rPr>
        <w:t> 種藥物，如 </w:t>
      </w:r>
      <w:r>
        <w:rPr>
          <w:spacing w:val="2"/>
        </w:rPr>
        <w:t>fluoroquinolone</w:t>
      </w:r>
      <w:r>
        <w:rPr>
          <w:spacing w:val="20"/>
        </w:rPr>
        <w:t>, </w:t>
      </w:r>
      <w:r>
        <w:rPr>
          <w:spacing w:val="2"/>
        </w:rPr>
        <w:t>bedaquiline</w:t>
      </w:r>
      <w:r>
        <w:rPr>
          <w:spacing w:val="20"/>
        </w:rPr>
        <w:t>, </w:t>
      </w:r>
      <w:r>
        <w:rPr>
          <w:spacing w:val="2"/>
        </w:rPr>
        <w:t>linezolid</w:t>
      </w:r>
      <w:r>
        <w:rPr>
          <w:spacing w:val="20"/>
        </w:rPr>
        <w:t>, </w:t>
      </w:r>
      <w:r>
        <w:rPr>
          <w:spacing w:val="2"/>
        </w:rPr>
        <w:t>clofazimine </w:t>
      </w:r>
      <w:r>
        <w:rPr>
          <w:spacing w:val="-1"/>
        </w:rPr>
        <w:t>(表 </w:t>
      </w:r>
      <w:r>
        <w:rPr/>
        <w:t>12-3)。WHO</w:t>
      </w:r>
      <w:r>
        <w:rPr>
          <w:spacing w:val="-3"/>
        </w:rPr>
        <w:t> 的建議是基於每一種藥物的使用與治療結果的統合分析，而不</w:t>
      </w:r>
      <w:r>
        <w:rPr>
          <w:spacing w:val="-4"/>
        </w:rPr>
        <w:t>是處方與治療結果的統合分析，因此有其侷限。最近一篇南非的研究報告 </w:t>
      </w:r>
      <w:r>
        <w:rPr>
          <w:position w:val="11"/>
          <w:sz w:val="16"/>
        </w:rPr>
        <w:t>43</w:t>
      </w:r>
      <w:r>
        <w:rPr>
          <w:spacing w:val="38"/>
          <w:position w:val="11"/>
          <w:sz w:val="16"/>
        </w:rPr>
        <w:t> </w:t>
      </w:r>
      <w:r>
        <w:rPr/>
        <w:t>指</w:t>
      </w:r>
      <w:r>
        <w:rPr>
          <w:spacing w:val="11"/>
        </w:rPr>
        <w:t>出 </w:t>
      </w:r>
      <w:r>
        <w:rPr/>
        <w:t>5.4%</w:t>
      </w:r>
      <w:r>
        <w:rPr>
          <w:spacing w:val="19"/>
        </w:rPr>
        <w:t> 的病人感染的結核菌在治療前已經有 </w:t>
      </w:r>
      <w:r>
        <w:rPr/>
        <w:t>bedaquiline</w:t>
      </w:r>
      <w:r>
        <w:rPr>
          <w:spacing w:val="26"/>
        </w:rPr>
        <w:t> 抗藥</w:t>
      </w:r>
      <w:r>
        <w:rPr/>
        <w:t>(primary bedaquiline</w:t>
      </w:r>
      <w:r>
        <w:rPr>
          <w:spacing w:val="39"/>
        </w:rPr>
        <w:t> </w:t>
      </w:r>
      <w:r>
        <w:rPr/>
        <w:t>resistance</w:t>
      </w:r>
      <w:r>
        <w:rPr>
          <w:spacing w:val="4"/>
        </w:rPr>
        <w:t>)。有 </w:t>
      </w:r>
      <w:r>
        <w:rPr>
          <w:spacing w:val="2"/>
        </w:rPr>
        <w:t>5.7</w:t>
      </w:r>
      <w:r>
        <w:rPr>
          <w:spacing w:val="9"/>
        </w:rPr>
        <w:t>%的病人感染的結核菌在治療過程中新產生</w:t>
      </w:r>
      <w:r>
        <w:rPr/>
        <w:t>bedaquiline</w:t>
      </w:r>
      <w:r>
        <w:rPr>
          <w:spacing w:val="14"/>
        </w:rPr>
        <w:t> 抗藥</w:t>
      </w:r>
      <w:r>
        <w:rPr/>
        <w:t>(acquired</w:t>
      </w:r>
      <w:r>
        <w:rPr>
          <w:spacing w:val="25"/>
        </w:rPr>
        <w:t> </w:t>
      </w:r>
      <w:r>
        <w:rPr/>
        <w:t>bedaquiline</w:t>
      </w:r>
      <w:r>
        <w:rPr>
          <w:spacing w:val="26"/>
        </w:rPr>
        <w:t> </w:t>
      </w:r>
      <w:r>
        <w:rPr/>
        <w:t>resistance)。這些在治療過程中產生bedaquiline</w:t>
      </w:r>
      <w:r>
        <w:rPr>
          <w:spacing w:val="-9"/>
        </w:rPr>
        <w:t> 抗藥的病人，大多接受 </w:t>
      </w:r>
      <w:r>
        <w:rPr>
          <w:spacing w:val="-3"/>
        </w:rPr>
        <w:t>fluoroquinolone</w:t>
      </w:r>
      <w:r>
        <w:rPr>
          <w:spacing w:val="8"/>
        </w:rPr>
        <w:t>， </w:t>
      </w:r>
      <w:r>
        <w:rPr/>
        <w:t>bedaquiline,</w:t>
      </w:r>
      <w:r>
        <w:rPr>
          <w:spacing w:val="-16"/>
        </w:rPr>
        <w:t> </w:t>
      </w:r>
      <w:r>
        <w:rPr/>
        <w:t>linezolid, clofazimine</w:t>
      </w:r>
      <w:r>
        <w:rPr>
          <w:spacing w:val="-2"/>
        </w:rPr>
        <w:t> 以及其他藥物治療，但在治療前就有 </w:t>
      </w:r>
      <w:r>
        <w:rPr/>
        <w:t>fluoroquinolone</w:t>
      </w:r>
      <w:r>
        <w:rPr>
          <w:spacing w:val="-1"/>
        </w:rPr>
        <w:t> 抗藥。此研</w:t>
      </w:r>
      <w:r>
        <w:rPr>
          <w:spacing w:val="5"/>
        </w:rPr>
        <w:t>究警惕我們 </w:t>
      </w:r>
      <w:r>
        <w:rPr/>
        <w:t>bedaquiline 似乎較容易產生抗藥。其次，bedaquiline,</w:t>
      </w:r>
      <w:r>
        <w:rPr>
          <w:spacing w:val="26"/>
        </w:rPr>
        <w:t> </w:t>
      </w:r>
      <w:r>
        <w:rPr/>
        <w:t>linezolid, clofazimine</w:t>
      </w:r>
      <w:r>
        <w:rPr>
          <w:spacing w:val="10"/>
        </w:rPr>
        <w:t> 加上其他藥物治療，似乎無法完全避免產生 </w:t>
      </w:r>
      <w:r>
        <w:rPr/>
        <w:t>bedaquiline</w:t>
      </w:r>
      <w:r>
        <w:rPr>
          <w:spacing w:val="13"/>
        </w:rPr>
        <w:t> 抗藥</w:t>
      </w:r>
    </w:p>
    <w:p>
      <w:pPr>
        <w:spacing w:after="0" w:line="220" w:lineRule="auto"/>
        <w:jc w:val="both"/>
        <w:sectPr>
          <w:pgSz w:w="12250" w:h="17190"/>
          <w:pgMar w:header="0" w:footer="734" w:top="1460" w:bottom="1020" w:left="1020" w:right="0"/>
        </w:sectPr>
      </w:pPr>
    </w:p>
    <w:p>
      <w:pPr>
        <w:pStyle w:val="BodyText"/>
        <w:spacing w:line="220" w:lineRule="auto" w:before="46"/>
        <w:ind w:left="1517" w:right="1357"/>
        <w:jc w:val="both"/>
      </w:pPr>
      <w:r>
        <w:rPr/>
        <w:t>(acquired bedaquiline resistance)，令人懷疑 linezolid 在避免產生抗藥的能力似乎不及二線針劑。關於二線針劑， WHO 建議使用 amikacin 或Streptomycin。使用二線針劑，必須每月監測聽力。另外，治療 MDR/RR-TB 時，使用的藥物不一定有藥物感受性試驗，因此，要確保至少 4 種有效藥物，</w:t>
      </w:r>
    </w:p>
    <w:p>
      <w:pPr>
        <w:pStyle w:val="BodyText"/>
        <w:spacing w:line="420" w:lineRule="exact"/>
        <w:ind w:left="1517"/>
        <w:jc w:val="both"/>
      </w:pPr>
      <w:r>
        <w:rPr/>
        <w:t>經常須使用超過 4 種藥物。</w:t>
      </w:r>
    </w:p>
    <w:p>
      <w:pPr>
        <w:pStyle w:val="Heading7"/>
        <w:numPr>
          <w:ilvl w:val="1"/>
          <w:numId w:val="148"/>
        </w:numPr>
        <w:tabs>
          <w:tab w:pos="1522" w:val="left" w:leader="none"/>
        </w:tabs>
        <w:spacing w:line="240" w:lineRule="auto" w:before="73" w:after="0"/>
        <w:ind w:left="1521" w:right="0" w:hanging="488"/>
        <w:jc w:val="both"/>
      </w:pPr>
      <w:r>
        <w:rPr>
          <w:spacing w:val="2"/>
        </w:rPr>
        <w:t>給特定族群 </w:t>
      </w:r>
      <w:r>
        <w:rPr/>
        <w:t>MDR-TB</w:t>
      </w:r>
      <w:r>
        <w:rPr>
          <w:spacing w:val="2"/>
        </w:rPr>
        <w:t> 抗藥型態之一般治療處方建議</w:t>
      </w:r>
    </w:p>
    <w:p>
      <w:pPr>
        <w:pStyle w:val="ListParagraph"/>
        <w:numPr>
          <w:ilvl w:val="0"/>
          <w:numId w:val="155"/>
        </w:numPr>
        <w:tabs>
          <w:tab w:pos="1862" w:val="left" w:leader="none"/>
        </w:tabs>
        <w:spacing w:line="425" w:lineRule="exact" w:before="38" w:after="0"/>
        <w:ind w:left="1861" w:right="0" w:hanging="334"/>
        <w:jc w:val="both"/>
        <w:rPr>
          <w:sz w:val="24"/>
        </w:rPr>
      </w:pPr>
      <w:r>
        <w:rPr>
          <w:sz w:val="24"/>
        </w:rPr>
        <w:t>MDR/RR-TB</w:t>
      </w:r>
      <w:r>
        <w:rPr>
          <w:spacing w:val="3"/>
          <w:sz w:val="24"/>
        </w:rPr>
        <w:t> 或有其他抗藥</w:t>
      </w:r>
    </w:p>
    <w:p>
      <w:pPr>
        <w:pStyle w:val="BodyText"/>
        <w:spacing w:line="220" w:lineRule="auto" w:before="8"/>
        <w:ind w:left="1869" w:right="1358" w:firstLine="488"/>
        <w:jc w:val="both"/>
      </w:pPr>
      <w:r>
        <w:rPr/>
        <w:t>一般處方若是依照可靠的藥物感受性試驗結果所構成則會更有效益。為MDR/RR-TB 合併其他抗藥(含 XDR-TB)</w:t>
      </w:r>
      <w:r>
        <w:rPr>
          <w:spacing w:val="2"/>
        </w:rPr>
        <w:t>之處方設計概念與設計 </w:t>
      </w:r>
      <w:r>
        <w:rPr/>
        <w:t>MDR/RR- TB</w:t>
      </w:r>
      <w:r>
        <w:rPr>
          <w:spacing w:val="-1"/>
        </w:rPr>
        <w:t> 個案之處方類似。在理想的狀況下，所有的 </w:t>
      </w:r>
      <w:r>
        <w:rPr/>
        <w:t>MDR-TB</w:t>
      </w:r>
      <w:r>
        <w:rPr>
          <w:spacing w:val="3"/>
        </w:rPr>
        <w:t> 個案在開始 </w:t>
      </w:r>
      <w:r>
        <w:rPr/>
        <w:t>MDR- TB</w:t>
      </w:r>
      <w:r>
        <w:rPr>
          <w:spacing w:val="2"/>
        </w:rPr>
        <w:t> 治療前至少須檢驗是否對 </w:t>
      </w:r>
      <w:r>
        <w:rPr/>
        <w:t>fluoroquinolones</w:t>
      </w:r>
      <w:r>
        <w:rPr>
          <w:spacing w:val="-4"/>
        </w:rPr>
        <w:t> 抗藥。若有考慮短期處方或</w:t>
      </w:r>
      <w:r>
        <w:rPr/>
        <w:t>是 amikacin</w:t>
      </w:r>
      <w:r>
        <w:rPr>
          <w:spacing w:val="-8"/>
        </w:rPr>
        <w:t> 則須對二線藥物的針劑進行快速檢驗。進行對其他藥物的藥敏檢</w:t>
      </w:r>
      <w:r>
        <w:rPr>
          <w:spacing w:val="11"/>
        </w:rPr>
        <w:t>驗如 </w:t>
      </w:r>
      <w:r>
        <w:rPr/>
        <w:t>bedaquiline</w:t>
      </w:r>
      <w:r>
        <w:rPr>
          <w:spacing w:val="22"/>
        </w:rPr>
        <w:t>, </w:t>
      </w:r>
      <w:r>
        <w:rPr/>
        <w:t>delamanid</w:t>
      </w:r>
      <w:r>
        <w:rPr>
          <w:spacing w:val="22"/>
        </w:rPr>
        <w:t>, </w:t>
      </w:r>
      <w:r>
        <w:rPr/>
        <w:t>linezolid</w:t>
      </w:r>
      <w:r>
        <w:rPr>
          <w:spacing w:val="21"/>
        </w:rPr>
        <w:t>, </w:t>
      </w:r>
      <w:r>
        <w:rPr/>
        <w:t>pyrazinamide</w:t>
      </w:r>
      <w:r>
        <w:rPr>
          <w:spacing w:val="9"/>
        </w:rPr>
        <w:t> 以及常見的 </w:t>
      </w:r>
      <w:r>
        <w:rPr/>
        <w:t>INH, ethinamide/prothionamide</w:t>
      </w:r>
      <w:r>
        <w:rPr>
          <w:spacing w:val="3"/>
        </w:rPr>
        <w:t> 抗藥有關的型態可以幫助藥物種類的選擇。</w:t>
      </w:r>
    </w:p>
    <w:p>
      <w:pPr>
        <w:pStyle w:val="ListParagraph"/>
        <w:numPr>
          <w:ilvl w:val="0"/>
          <w:numId w:val="155"/>
        </w:numPr>
        <w:tabs>
          <w:tab w:pos="1862" w:val="left" w:leader="none"/>
        </w:tabs>
        <w:spacing w:line="405" w:lineRule="exact" w:before="0" w:after="0"/>
        <w:ind w:left="1861" w:right="0" w:hanging="334"/>
        <w:jc w:val="both"/>
        <w:rPr>
          <w:sz w:val="24"/>
        </w:rPr>
      </w:pPr>
      <w:r>
        <w:rPr>
          <w:sz w:val="24"/>
        </w:rPr>
        <w:t>RR-TB</w:t>
      </w:r>
      <w:r>
        <w:rPr>
          <w:spacing w:val="2"/>
          <w:sz w:val="24"/>
        </w:rPr>
        <w:t> 但不是 </w:t>
      </w:r>
      <w:r>
        <w:rPr>
          <w:sz w:val="24"/>
        </w:rPr>
        <w:t>MDR-TB</w:t>
      </w:r>
    </w:p>
    <w:p>
      <w:pPr>
        <w:pStyle w:val="BodyText"/>
        <w:spacing w:line="220" w:lineRule="auto" w:before="9"/>
        <w:ind w:left="1869" w:right="1355" w:firstLine="488"/>
        <w:jc w:val="both"/>
      </w:pPr>
      <w:r>
        <w:rPr/>
        <w:t>沒有 INH 抗藥的個案建議以 MDR-TB 處方治療：可以使用加上 INH 之MDR-TB 一般處方或是短期處方孩童大部分的 MDR-TB 一般處方用藥已普遍使用多年且適用於孩童，惟 bedaquiline(BDQ)建議適用於 6 歲以上； delamanid (DLM)適用於 3 歲以上，請參考本指引第 13 章。</w:t>
      </w:r>
    </w:p>
    <w:p>
      <w:pPr>
        <w:pStyle w:val="ListParagraph"/>
        <w:numPr>
          <w:ilvl w:val="0"/>
          <w:numId w:val="155"/>
        </w:numPr>
        <w:tabs>
          <w:tab w:pos="1862" w:val="left" w:leader="none"/>
        </w:tabs>
        <w:spacing w:line="420" w:lineRule="exact" w:before="0" w:after="0"/>
        <w:ind w:left="1861" w:right="0" w:hanging="334"/>
        <w:jc w:val="both"/>
        <w:rPr>
          <w:sz w:val="24"/>
        </w:rPr>
      </w:pPr>
      <w:r>
        <w:rPr>
          <w:color w:val="FF0000"/>
          <w:spacing w:val="3"/>
          <w:sz w:val="24"/>
        </w:rPr>
        <w:t>孩童</w:t>
      </w:r>
    </w:p>
    <w:p>
      <w:pPr>
        <w:pStyle w:val="BodyText"/>
        <w:spacing w:line="220" w:lineRule="auto"/>
        <w:ind w:left="1869" w:right="1361" w:firstLine="488"/>
        <w:jc w:val="both"/>
      </w:pPr>
      <w:r>
        <w:rPr>
          <w:color w:val="FF0000"/>
        </w:rPr>
        <w:t>孩童大部分的 MDR-TB 一般處方用藥已普遍使用多年且適用於孩童， 惟 bedaquiline(BDQ)建議適用於 6 歲以上；delamanid (DLM)適用於 3 歲以上，請參考本指引第 13 章。</w:t>
      </w:r>
    </w:p>
    <w:p>
      <w:pPr>
        <w:pStyle w:val="ListParagraph"/>
        <w:numPr>
          <w:ilvl w:val="0"/>
          <w:numId w:val="155"/>
        </w:numPr>
        <w:tabs>
          <w:tab w:pos="1862" w:val="left" w:leader="none"/>
        </w:tabs>
        <w:spacing w:line="401" w:lineRule="exact" w:before="0" w:after="0"/>
        <w:ind w:left="1861" w:right="0" w:hanging="334"/>
        <w:jc w:val="both"/>
        <w:rPr>
          <w:sz w:val="24"/>
        </w:rPr>
      </w:pPr>
      <w:r>
        <w:rPr>
          <w:spacing w:val="2"/>
          <w:sz w:val="24"/>
        </w:rPr>
        <w:t>肺外 </w:t>
      </w:r>
      <w:r>
        <w:rPr>
          <w:sz w:val="24"/>
        </w:rPr>
        <w:t>TB</w:t>
      </w:r>
      <w:r>
        <w:rPr>
          <w:spacing w:val="2"/>
          <w:sz w:val="24"/>
        </w:rPr>
        <w:t> 與 </w:t>
      </w:r>
      <w:r>
        <w:rPr>
          <w:sz w:val="24"/>
        </w:rPr>
        <w:t>TB</w:t>
      </w:r>
      <w:r>
        <w:rPr>
          <w:spacing w:val="2"/>
          <w:sz w:val="24"/>
        </w:rPr>
        <w:t> 腦膜炎：</w:t>
      </w:r>
    </w:p>
    <w:p>
      <w:pPr>
        <w:pStyle w:val="BodyText"/>
        <w:spacing w:line="220" w:lineRule="auto"/>
        <w:ind w:left="1869" w:right="1358" w:firstLine="488"/>
        <w:jc w:val="both"/>
      </w:pPr>
      <w:r>
        <w:rPr/>
        <w:t>WHO 建議肺外 TB 也適用 MDR-TB 一般處方，但需視疾病部位調整用藥。MDR/RR-TB 腦膜炎的治療則需搭配菌株的藥敏結果與可通過血腦障壁的 TB 藥物特性。Levofloxacin 與 moxifloxacin 可很好的穿透中央神經系統(CNS)，ethionamide/prothinamide,cycloserine/terizidone,linezolid 以及 imipenem-cilastatin 也可以。</w:t>
      </w:r>
    </w:p>
    <w:p>
      <w:pPr>
        <w:pStyle w:val="ListParagraph"/>
        <w:numPr>
          <w:ilvl w:val="0"/>
          <w:numId w:val="155"/>
        </w:numPr>
        <w:tabs>
          <w:tab w:pos="1862" w:val="left" w:leader="none"/>
        </w:tabs>
        <w:spacing w:line="404" w:lineRule="exact" w:before="0" w:after="0"/>
        <w:ind w:left="1861" w:right="0" w:hanging="334"/>
        <w:jc w:val="both"/>
        <w:rPr>
          <w:sz w:val="24"/>
        </w:rPr>
      </w:pPr>
      <w:r>
        <w:rPr>
          <w:spacing w:val="2"/>
          <w:sz w:val="24"/>
        </w:rPr>
        <w:t>懷孕婦女</w:t>
      </w:r>
    </w:p>
    <w:p>
      <w:pPr>
        <w:pStyle w:val="BodyText"/>
        <w:spacing w:line="220" w:lineRule="auto" w:before="7"/>
        <w:ind w:left="1869" w:right="1357" w:firstLine="488"/>
        <w:jc w:val="both"/>
      </w:pPr>
      <w:r>
        <w:rPr/>
        <w:t>amikacin, streptomycin, prothionamide，以及 ethionamide 皆為孕期的禁忌用藥。對於在孕期與哺乳期間使用 bedaquiline 以及 delamanid 的安全性仍不清楚。因此建議對於這一族群的一般處方應個別化設計並使用成分較安全的藥物。</w:t>
      </w:r>
    </w:p>
    <w:p>
      <w:pPr>
        <w:pStyle w:val="ListParagraph"/>
        <w:numPr>
          <w:ilvl w:val="0"/>
          <w:numId w:val="155"/>
        </w:numPr>
        <w:tabs>
          <w:tab w:pos="1862" w:val="left" w:leader="none"/>
        </w:tabs>
        <w:spacing w:line="420" w:lineRule="exact" w:before="0" w:after="0"/>
        <w:ind w:left="1861" w:right="0" w:hanging="334"/>
        <w:jc w:val="both"/>
        <w:rPr>
          <w:sz w:val="24"/>
        </w:rPr>
      </w:pPr>
      <w:r>
        <w:rPr>
          <w:sz w:val="24"/>
        </w:rPr>
        <w:t>HIV</w:t>
      </w:r>
      <w:r>
        <w:rPr>
          <w:spacing w:val="2"/>
          <w:sz w:val="24"/>
        </w:rPr>
        <w:t> 個 案</w:t>
      </w:r>
    </w:p>
    <w:p>
      <w:pPr>
        <w:spacing w:after="0" w:line="420" w:lineRule="exact"/>
        <w:jc w:val="both"/>
        <w:rPr>
          <w:sz w:val="24"/>
        </w:rPr>
        <w:sectPr>
          <w:pgSz w:w="12250" w:h="17190"/>
          <w:pgMar w:header="0" w:footer="734" w:top="1460" w:bottom="1020" w:left="1020" w:right="0"/>
        </w:sectPr>
      </w:pPr>
    </w:p>
    <w:p>
      <w:pPr>
        <w:pStyle w:val="BodyText"/>
        <w:spacing w:line="220" w:lineRule="auto" w:before="46"/>
        <w:ind w:left="1869" w:right="1363" w:firstLine="488"/>
      </w:pPr>
      <w:r>
        <w:rPr/>
        <w:pict>
          <v:group style="position:absolute;margin-left:573pt;margin-top:.733982pt;width:39.4pt;height:177.4pt;mso-position-horizontal-relative:page;mso-position-vertical-relative:paragraph;z-index:251894784" coordorigin="11460,15" coordsize="788,3548">
            <v:shape style="position:absolute;left:11460;top:14;width:788;height:3548" coordorigin="11460,15" coordsize="788,3548" path="m12247,15l11625,15,11561,28,11508,63,11473,116,11460,180,11460,3397,11473,3462,11508,3514,11561,3550,11625,3563,12247,3563,12247,15xe" filled="true" fillcolor="#a6a6a6" stroked="false">
              <v:path arrowok="t"/>
              <v:fill type="solid"/>
            </v:shape>
            <v:shape style="position:absolute;left:11460;top:1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t>對於給予 HIV 個案一般 MDR-TB 治療處方時，考量因素與一般 HIV 陰性的病人一樣。須注意幾種藥物交互作用，如 bedaquiline 與 efavirenz。</w:t>
      </w:r>
    </w:p>
    <w:p>
      <w:pPr>
        <w:pStyle w:val="Heading6"/>
        <w:numPr>
          <w:ilvl w:val="1"/>
          <w:numId w:val="145"/>
        </w:numPr>
        <w:tabs>
          <w:tab w:pos="976" w:val="left" w:leader="none"/>
        </w:tabs>
        <w:spacing w:line="240" w:lineRule="auto" w:before="129" w:after="0"/>
        <w:ind w:left="975" w:right="0" w:hanging="636"/>
        <w:jc w:val="left"/>
      </w:pPr>
      <w:bookmarkStart w:name="12.4 藥物種類與劑量的選擇：建構MDR-TB治療處方時的考量" w:id="144"/>
      <w:bookmarkEnd w:id="144"/>
      <w:r>
        <w:rPr>
          <w:b w:val="0"/>
        </w:rPr>
      </w:r>
      <w:bookmarkStart w:name="12.4 藥物種類與劑量的選擇：建構MDR-TB治療處方時的考量" w:id="145"/>
      <w:bookmarkEnd w:id="145"/>
      <w:r>
        <w:rPr>
          <w:spacing w:val="2"/>
        </w:rPr>
        <w:t>藥物種類與劑量的選擇：建構 </w:t>
      </w:r>
      <w:r>
        <w:rPr/>
        <w:t>MDR-TB</w:t>
      </w:r>
      <w:r>
        <w:rPr>
          <w:spacing w:val="2"/>
        </w:rPr>
        <w:t> 治療處方時的考量</w:t>
      </w:r>
    </w:p>
    <w:p>
      <w:pPr>
        <w:pStyle w:val="BodyText"/>
        <w:spacing w:line="225" w:lineRule="auto" w:before="24"/>
        <w:ind w:left="968" w:right="1301" w:firstLine="487"/>
      </w:pPr>
      <w:r>
        <w:rPr>
          <w:spacing w:val="-9"/>
        </w:rPr>
        <w:t>設計治療處方，需要把許多因素納入考量。設計治療處方時請考慮藥物感受性試</w:t>
      </w:r>
      <w:r>
        <w:rPr>
          <w:spacing w:val="-16"/>
        </w:rPr>
        <w:t>驗結果、交叉抗藥、之前是否有接受藥物治療、藥毒性重疊的可能或是忍受度的問題。</w:t>
      </w:r>
    </w:p>
    <w:p>
      <w:pPr>
        <w:pStyle w:val="Heading7"/>
        <w:numPr>
          <w:ilvl w:val="0"/>
          <w:numId w:val="156"/>
        </w:numPr>
        <w:tabs>
          <w:tab w:pos="958" w:val="left" w:leader="none"/>
        </w:tabs>
        <w:spacing w:line="429" w:lineRule="exact" w:before="15" w:after="0"/>
        <w:ind w:left="957" w:right="0" w:hanging="343"/>
        <w:jc w:val="left"/>
      </w:pPr>
      <w:r>
        <w:rPr>
          <w:spacing w:val="3"/>
        </w:rPr>
        <w:t>交叉抗藥</w:t>
      </w:r>
    </w:p>
    <w:p>
      <w:pPr>
        <w:pStyle w:val="ListParagraph"/>
        <w:numPr>
          <w:ilvl w:val="1"/>
          <w:numId w:val="156"/>
        </w:numPr>
        <w:tabs>
          <w:tab w:pos="1490" w:val="left" w:leader="none"/>
        </w:tabs>
        <w:spacing w:line="417" w:lineRule="exact" w:before="0" w:after="0"/>
        <w:ind w:left="1489" w:right="0" w:hanging="490"/>
        <w:jc w:val="left"/>
        <w:rPr>
          <w:sz w:val="24"/>
        </w:rPr>
      </w:pPr>
      <w:r>
        <w:rPr>
          <w:spacing w:val="2"/>
          <w:sz w:val="24"/>
        </w:rPr>
        <w:t>以藥物感受性試驗結果為設計個人化的處方時，要注意交叉抗藥的可能。</w:t>
      </w:r>
    </w:p>
    <w:p>
      <w:pPr>
        <w:pStyle w:val="ListParagraph"/>
        <w:numPr>
          <w:ilvl w:val="1"/>
          <w:numId w:val="156"/>
        </w:numPr>
        <w:tabs>
          <w:tab w:pos="1490" w:val="left" w:leader="none"/>
        </w:tabs>
        <w:spacing w:line="429" w:lineRule="exact" w:before="0" w:after="0"/>
        <w:ind w:left="1489" w:right="0" w:hanging="490"/>
        <w:jc w:val="left"/>
        <w:rPr>
          <w:sz w:val="24"/>
        </w:rPr>
      </w:pPr>
      <w:r>
        <w:rPr>
          <w:spacing w:val="3"/>
          <w:sz w:val="24"/>
        </w:rPr>
        <w:t>要把病人之前使用過的抗結核病藥物納入考量。</w:t>
      </w:r>
    </w:p>
    <w:p>
      <w:pPr>
        <w:pStyle w:val="Heading7"/>
        <w:numPr>
          <w:ilvl w:val="0"/>
          <w:numId w:val="156"/>
        </w:numPr>
        <w:tabs>
          <w:tab w:pos="958" w:val="left" w:leader="none"/>
        </w:tabs>
        <w:spacing w:line="430" w:lineRule="exact" w:before="29" w:after="0"/>
        <w:ind w:left="957" w:right="0" w:hanging="343"/>
        <w:jc w:val="left"/>
      </w:pPr>
      <w:r>
        <w:rPr>
          <w:spacing w:val="2"/>
        </w:rPr>
        <w:t>之前已經使用過的 </w:t>
      </w:r>
      <w:r>
        <w:rPr/>
        <w:t>TB</w:t>
      </w:r>
      <w:r>
        <w:rPr>
          <w:spacing w:val="3"/>
        </w:rPr>
        <w:t> 藥物</w:t>
      </w:r>
    </w:p>
    <w:p>
      <w:pPr>
        <w:pStyle w:val="BodyText"/>
        <w:spacing w:line="225" w:lineRule="auto" w:before="8"/>
        <w:ind w:left="979" w:right="1361" w:firstLine="487"/>
        <w:jc w:val="both"/>
      </w:pPr>
      <w:r>
        <w:rPr>
          <w:spacing w:val="-5"/>
        </w:rPr>
        <w:t>個案過去服用某藥物超過一個月，即使該藥物感受性試驗顯示敏感，此藥物的效</w:t>
      </w:r>
      <w:r>
        <w:rPr>
          <w:spacing w:val="-9"/>
        </w:rPr>
        <w:t>果可能會減少。大多數的專家建議，可將敏感的一線藥物加入治療處方中，但是不把</w:t>
      </w:r>
      <w:r>
        <w:rPr>
          <w:spacing w:val="2"/>
        </w:rPr>
        <w:t>之前使用過的藥物算在有效藥物的其中一種。</w:t>
      </w:r>
    </w:p>
    <w:p>
      <w:pPr>
        <w:pStyle w:val="Heading7"/>
        <w:numPr>
          <w:ilvl w:val="0"/>
          <w:numId w:val="156"/>
        </w:numPr>
        <w:tabs>
          <w:tab w:pos="958" w:val="left" w:leader="none"/>
        </w:tabs>
        <w:spacing w:line="430" w:lineRule="exact" w:before="34" w:after="0"/>
        <w:ind w:left="957" w:right="0" w:hanging="343"/>
        <w:jc w:val="both"/>
      </w:pPr>
      <w:r>
        <w:rPr>
          <w:spacing w:val="3"/>
        </w:rPr>
        <w:t>藥物種類選擇時需考慮副作用</w:t>
      </w:r>
    </w:p>
    <w:p>
      <w:pPr>
        <w:pStyle w:val="BodyText"/>
        <w:spacing w:line="225" w:lineRule="auto" w:before="8"/>
        <w:ind w:left="979" w:right="1362" w:firstLine="487"/>
        <w:jc w:val="both"/>
      </w:pPr>
      <w:r>
        <w:rPr/>
        <w:t>如果還有其他選擇，有憂鬱症的病人宜避免 CS</w:t>
      </w:r>
      <w:r>
        <w:rPr>
          <w:spacing w:val="1"/>
        </w:rPr>
        <w:t>。盡量避免使用有相同毒性的藥</w:t>
      </w:r>
      <w:r>
        <w:rPr>
          <w:spacing w:val="6"/>
        </w:rPr>
        <w:t>物。比如：</w:t>
      </w:r>
      <w:r>
        <w:rPr>
          <w:spacing w:val="3"/>
        </w:rPr>
        <w:t>PAS</w:t>
      </w:r>
      <w:r>
        <w:rPr>
          <w:spacing w:val="20"/>
        </w:rPr>
        <w:t> 與 </w:t>
      </w:r>
      <w:r>
        <w:rPr>
          <w:spacing w:val="2"/>
        </w:rPr>
        <w:t>PTO</w:t>
      </w:r>
      <w:r>
        <w:rPr>
          <w:spacing w:val="6"/>
        </w:rPr>
        <w:t> 合併使用，會增加甲狀腺功能低下的危險以及腸胃道的毒</w:t>
      </w:r>
      <w:r>
        <w:rPr>
          <w:spacing w:val="-9"/>
        </w:rPr>
        <w:t>性。但是部分病人並沒有其他選擇，因為僅存有效藥物有限，所幸甲狀腺功能低下可</w:t>
      </w:r>
      <w:r>
        <w:rPr>
          <w:spacing w:val="2"/>
        </w:rPr>
        <w:t>以給予甲狀腺替代藥物直到治療完成。</w:t>
      </w:r>
    </w:p>
    <w:p>
      <w:pPr>
        <w:pStyle w:val="BodyText"/>
        <w:spacing w:line="225" w:lineRule="auto"/>
        <w:ind w:left="979" w:right="1361" w:firstLine="487"/>
      </w:pPr>
      <w:r>
        <w:rPr>
          <w:spacing w:val="-7"/>
        </w:rPr>
        <w:t>有腎臟或是肝炎疾病的個案，使用某些藥物也許比較安全。選擇治療處方藥物是</w:t>
      </w:r>
      <w:r>
        <w:rPr>
          <w:spacing w:val="3"/>
        </w:rPr>
        <w:t>以安全以及有效為原則。</w:t>
      </w:r>
    </w:p>
    <w:p>
      <w:pPr>
        <w:pStyle w:val="ListParagraph"/>
        <w:numPr>
          <w:ilvl w:val="1"/>
          <w:numId w:val="157"/>
        </w:numPr>
        <w:tabs>
          <w:tab w:pos="1490" w:val="left" w:leader="none"/>
        </w:tabs>
        <w:spacing w:line="409" w:lineRule="exact" w:before="0" w:after="0"/>
        <w:ind w:left="1489" w:right="0" w:hanging="490"/>
        <w:jc w:val="left"/>
        <w:rPr>
          <w:sz w:val="24"/>
        </w:rPr>
      </w:pPr>
      <w:r>
        <w:rPr>
          <w:spacing w:val="3"/>
          <w:sz w:val="24"/>
        </w:rPr>
        <w:t>個案對於某一種藥物無法忍受並不代表對於同一類的其他藥不能忍受。</w:t>
      </w:r>
    </w:p>
    <w:p>
      <w:pPr>
        <w:pStyle w:val="ListParagraph"/>
        <w:numPr>
          <w:ilvl w:val="1"/>
          <w:numId w:val="157"/>
        </w:numPr>
        <w:tabs>
          <w:tab w:pos="1490" w:val="left" w:leader="none"/>
        </w:tabs>
        <w:spacing w:line="228" w:lineRule="auto" w:before="0" w:after="0"/>
        <w:ind w:left="1489" w:right="1363" w:hanging="489"/>
        <w:jc w:val="left"/>
        <w:rPr>
          <w:sz w:val="24"/>
        </w:rPr>
      </w:pPr>
      <w:r>
        <w:rPr>
          <w:spacing w:val="5"/>
          <w:sz w:val="24"/>
        </w:rPr>
        <w:t>就算只有少數幾種藥物可以選擇，也要盡全力處理藥物不良反應，並維持一個</w:t>
      </w:r>
      <w:r>
        <w:rPr>
          <w:spacing w:val="3"/>
          <w:sz w:val="24"/>
        </w:rPr>
        <w:t>有效的治療處方。</w:t>
      </w:r>
    </w:p>
    <w:p>
      <w:pPr>
        <w:pStyle w:val="Heading7"/>
        <w:numPr>
          <w:ilvl w:val="0"/>
          <w:numId w:val="156"/>
        </w:numPr>
        <w:tabs>
          <w:tab w:pos="958" w:val="left" w:leader="none"/>
        </w:tabs>
        <w:spacing w:line="431" w:lineRule="exact" w:before="30" w:after="0"/>
        <w:ind w:left="957" w:right="0" w:hanging="343"/>
        <w:jc w:val="left"/>
      </w:pPr>
      <w:r>
        <w:rPr>
          <w:spacing w:val="3"/>
        </w:rPr>
        <w:t>治療處方及選擇藥物的建議：</w:t>
      </w:r>
    </w:p>
    <w:p>
      <w:pPr>
        <w:pStyle w:val="ListParagraph"/>
        <w:numPr>
          <w:ilvl w:val="1"/>
          <w:numId w:val="158"/>
        </w:numPr>
        <w:tabs>
          <w:tab w:pos="1490" w:val="left" w:leader="none"/>
        </w:tabs>
        <w:spacing w:line="225" w:lineRule="auto" w:before="9" w:after="0"/>
        <w:ind w:left="1489" w:right="1358" w:hanging="489"/>
        <w:jc w:val="both"/>
        <w:rPr>
          <w:sz w:val="24"/>
        </w:rPr>
      </w:pPr>
      <w:r>
        <w:rPr>
          <w:sz w:val="24"/>
        </w:rPr>
        <w:t>WHO</w:t>
      </w:r>
      <w:r>
        <w:rPr>
          <w:spacing w:val="39"/>
          <w:sz w:val="24"/>
        </w:rPr>
        <w:t> </w:t>
      </w:r>
      <w:r>
        <w:rPr>
          <w:sz w:val="24"/>
        </w:rPr>
        <w:t>2020</w:t>
      </w:r>
      <w:r>
        <w:rPr>
          <w:spacing w:val="1"/>
          <w:sz w:val="24"/>
        </w:rPr>
        <w:t> 建議當成年個案是 </w:t>
      </w:r>
      <w:r>
        <w:rPr>
          <w:sz w:val="24"/>
        </w:rPr>
        <w:t>RR-TB/MDR-TB</w:t>
      </w:r>
      <w:r>
        <w:rPr>
          <w:spacing w:val="1"/>
          <w:sz w:val="24"/>
        </w:rPr>
        <w:t>，強化期要有至少 </w:t>
      </w:r>
      <w:r>
        <w:rPr>
          <w:sz w:val="24"/>
        </w:rPr>
        <w:t>4</w:t>
      </w:r>
      <w:r>
        <w:rPr>
          <w:spacing w:val="3"/>
          <w:sz w:val="24"/>
        </w:rPr>
        <w:t> 種有效 </w:t>
      </w:r>
      <w:r>
        <w:rPr>
          <w:sz w:val="24"/>
        </w:rPr>
        <w:t>TB 藥物，包含：Group</w:t>
      </w:r>
      <w:r>
        <w:rPr>
          <w:spacing w:val="34"/>
          <w:sz w:val="24"/>
        </w:rPr>
        <w:t> </w:t>
      </w:r>
      <w:r>
        <w:rPr>
          <w:sz w:val="24"/>
        </w:rPr>
        <w:t>A</w:t>
      </w:r>
      <w:r>
        <w:rPr>
          <w:spacing w:val="34"/>
          <w:sz w:val="24"/>
        </w:rPr>
        <w:t> </w:t>
      </w:r>
      <w:r>
        <w:rPr>
          <w:sz w:val="24"/>
        </w:rPr>
        <w:t>3</w:t>
      </w:r>
      <w:r>
        <w:rPr>
          <w:spacing w:val="2"/>
          <w:sz w:val="24"/>
        </w:rPr>
        <w:t> 種與 </w:t>
      </w:r>
      <w:r>
        <w:rPr>
          <w:sz w:val="24"/>
        </w:rPr>
        <w:t>Group</w:t>
      </w:r>
      <w:r>
        <w:rPr>
          <w:spacing w:val="34"/>
          <w:sz w:val="24"/>
        </w:rPr>
        <w:t> </w:t>
      </w:r>
      <w:r>
        <w:rPr>
          <w:sz w:val="24"/>
        </w:rPr>
        <w:t>B</w:t>
      </w:r>
      <w:r>
        <w:rPr>
          <w:spacing w:val="36"/>
          <w:sz w:val="24"/>
        </w:rPr>
        <w:t> </w:t>
      </w:r>
      <w:r>
        <w:rPr>
          <w:sz w:val="24"/>
        </w:rPr>
        <w:t>1 種用藥。WHO</w:t>
      </w:r>
      <w:r>
        <w:rPr>
          <w:spacing w:val="3"/>
          <w:sz w:val="24"/>
        </w:rPr>
        <w:t> 建議 </w:t>
      </w:r>
      <w:r>
        <w:rPr>
          <w:sz w:val="24"/>
        </w:rPr>
        <w:t>bedaquiline</w:t>
      </w:r>
      <w:r>
        <w:rPr>
          <w:spacing w:val="2"/>
          <w:sz w:val="24"/>
        </w:rPr>
        <w:t> 使</w:t>
      </w:r>
      <w:r>
        <w:rPr>
          <w:spacing w:val="13"/>
          <w:sz w:val="24"/>
        </w:rPr>
        <w:t>用 </w:t>
      </w:r>
      <w:r>
        <w:rPr>
          <w:sz w:val="24"/>
        </w:rPr>
        <w:t>6</w:t>
      </w:r>
      <w:r>
        <w:rPr>
          <w:spacing w:val="2"/>
          <w:sz w:val="24"/>
        </w:rPr>
        <w:t> 個月，是因為過去 </w:t>
      </w:r>
      <w:r>
        <w:rPr>
          <w:sz w:val="24"/>
        </w:rPr>
        <w:t>bedaquiline</w:t>
      </w:r>
      <w:r>
        <w:rPr>
          <w:spacing w:val="1"/>
          <w:sz w:val="24"/>
        </w:rPr>
        <w:t> 藥效與安全性不明，通常只使用 </w:t>
      </w:r>
      <w:r>
        <w:rPr>
          <w:sz w:val="24"/>
        </w:rPr>
        <w:t>6</w:t>
      </w:r>
      <w:r>
        <w:rPr>
          <w:spacing w:val="6"/>
          <w:sz w:val="24"/>
        </w:rPr>
        <w:t> 個月。近來的報告顯示，bedaquiline</w:t>
      </w:r>
      <w:r>
        <w:rPr>
          <w:spacing w:val="3"/>
          <w:sz w:val="24"/>
        </w:rPr>
        <w:t> 使用超過 </w:t>
      </w:r>
      <w:r>
        <w:rPr>
          <w:sz w:val="24"/>
        </w:rPr>
        <w:t>6 個月，並無顯著的安全性方面的疑</w:t>
      </w:r>
      <w:r>
        <w:rPr>
          <w:spacing w:val="-5"/>
          <w:sz w:val="24"/>
        </w:rPr>
        <w:t>慮。如果只有一到兩種 </w:t>
      </w:r>
      <w:r>
        <w:rPr>
          <w:sz w:val="24"/>
        </w:rPr>
        <w:t>Group</w:t>
      </w:r>
      <w:r>
        <w:rPr>
          <w:spacing w:val="-10"/>
          <w:sz w:val="24"/>
        </w:rPr>
        <w:t> </w:t>
      </w:r>
      <w:r>
        <w:rPr>
          <w:sz w:val="24"/>
        </w:rPr>
        <w:t>A</w:t>
      </w:r>
      <w:r>
        <w:rPr>
          <w:spacing w:val="-4"/>
          <w:sz w:val="24"/>
        </w:rPr>
        <w:t> 藥物可以使用，則建議用上所有 </w:t>
      </w:r>
      <w:r>
        <w:rPr>
          <w:sz w:val="24"/>
        </w:rPr>
        <w:t>Group</w:t>
      </w:r>
      <w:r>
        <w:rPr>
          <w:spacing w:val="-11"/>
          <w:sz w:val="24"/>
        </w:rPr>
        <w:t> </w:t>
      </w:r>
      <w:r>
        <w:rPr>
          <w:sz w:val="24"/>
        </w:rPr>
        <w:t>B</w:t>
      </w:r>
      <w:r>
        <w:rPr>
          <w:spacing w:val="2"/>
          <w:sz w:val="24"/>
        </w:rPr>
        <w:t> 的藥</w:t>
      </w:r>
      <w:r>
        <w:rPr>
          <w:spacing w:val="-10"/>
          <w:sz w:val="24"/>
        </w:rPr>
        <w:t>物。如果 </w:t>
      </w:r>
      <w:r>
        <w:rPr>
          <w:sz w:val="24"/>
        </w:rPr>
        <w:t>Group</w:t>
      </w:r>
      <w:r>
        <w:rPr>
          <w:spacing w:val="-11"/>
          <w:sz w:val="24"/>
        </w:rPr>
        <w:t> </w:t>
      </w:r>
      <w:r>
        <w:rPr>
          <w:sz w:val="24"/>
        </w:rPr>
        <w:t>A</w:t>
      </w:r>
      <w:r>
        <w:rPr>
          <w:spacing w:val="5"/>
          <w:sz w:val="24"/>
        </w:rPr>
        <w:t> 和 </w:t>
      </w:r>
      <w:r>
        <w:rPr>
          <w:sz w:val="24"/>
        </w:rPr>
        <w:t>B</w:t>
      </w:r>
      <w:r>
        <w:rPr>
          <w:spacing w:val="-4"/>
          <w:sz w:val="24"/>
        </w:rPr>
        <w:t> 的藥物都仍無法設計完整治療處方，則加入 </w:t>
      </w:r>
      <w:r>
        <w:rPr>
          <w:sz w:val="24"/>
        </w:rPr>
        <w:t>Group</w:t>
      </w:r>
      <w:r>
        <w:rPr>
          <w:spacing w:val="-11"/>
          <w:sz w:val="24"/>
        </w:rPr>
        <w:t> </w:t>
      </w:r>
      <w:r>
        <w:rPr>
          <w:sz w:val="24"/>
        </w:rPr>
        <w:t>C</w:t>
      </w:r>
      <w:r>
        <w:rPr>
          <w:spacing w:val="2"/>
          <w:sz w:val="24"/>
        </w:rPr>
        <w:t> 的藥物。</w:t>
      </w:r>
    </w:p>
    <w:p>
      <w:pPr>
        <w:pStyle w:val="ListParagraph"/>
        <w:numPr>
          <w:ilvl w:val="1"/>
          <w:numId w:val="158"/>
        </w:numPr>
        <w:tabs>
          <w:tab w:pos="1490" w:val="left" w:leader="none"/>
        </w:tabs>
        <w:spacing w:line="225" w:lineRule="auto" w:before="15" w:after="0"/>
        <w:ind w:left="1489" w:right="1363" w:hanging="489"/>
        <w:jc w:val="both"/>
        <w:rPr>
          <w:sz w:val="24"/>
        </w:rPr>
      </w:pPr>
      <w:r>
        <w:rPr>
          <w:spacing w:val="4"/>
          <w:sz w:val="24"/>
        </w:rPr>
        <w:t>當成年個案是 </w:t>
      </w:r>
      <w:r>
        <w:rPr>
          <w:sz w:val="24"/>
        </w:rPr>
        <w:t>RR-TB/MDR-TB</w:t>
      </w:r>
      <w:r>
        <w:rPr>
          <w:spacing w:val="2"/>
          <w:sz w:val="24"/>
        </w:rPr>
        <w:t>，建議用上高劑量的 </w:t>
      </w:r>
      <w:r>
        <w:rPr>
          <w:sz w:val="24"/>
        </w:rPr>
        <w:t>INH</w:t>
      </w:r>
      <w:r>
        <w:rPr>
          <w:spacing w:val="5"/>
          <w:sz w:val="24"/>
        </w:rPr>
        <w:t> 及(或</w:t>
      </w:r>
      <w:r>
        <w:rPr>
          <w:sz w:val="24"/>
        </w:rPr>
        <w:t>)ethambutol</w:t>
      </w:r>
      <w:r>
        <w:rPr>
          <w:spacing w:val="8"/>
          <w:sz w:val="24"/>
        </w:rPr>
        <w:t> 可</w:t>
      </w:r>
      <w:r>
        <w:rPr>
          <w:spacing w:val="3"/>
          <w:sz w:val="24"/>
        </w:rPr>
        <w:t>補足治療處方強度。</w:t>
      </w:r>
    </w:p>
    <w:p>
      <w:pPr>
        <w:pStyle w:val="BodyText"/>
        <w:spacing w:before="1"/>
        <w:rPr>
          <w:sz w:val="17"/>
        </w:rPr>
      </w:pPr>
    </w:p>
    <w:p>
      <w:pPr>
        <w:pStyle w:val="Heading6"/>
        <w:numPr>
          <w:ilvl w:val="1"/>
          <w:numId w:val="145"/>
        </w:numPr>
        <w:tabs>
          <w:tab w:pos="976" w:val="left" w:leader="none"/>
        </w:tabs>
        <w:spacing w:line="240" w:lineRule="auto" w:before="1" w:after="0"/>
        <w:ind w:left="975" w:right="0" w:hanging="636"/>
        <w:jc w:val="left"/>
      </w:pPr>
      <w:bookmarkStart w:name="12.5 特定的Pre-XDR-TB 抗藥型態之治療處方" w:id="146"/>
      <w:bookmarkEnd w:id="146"/>
      <w:r>
        <w:rPr>
          <w:b w:val="0"/>
        </w:rPr>
      </w:r>
      <w:bookmarkStart w:name="12.5 特定的Pre-XDR-TB 抗藥型態之治療處方" w:id="147"/>
      <w:bookmarkEnd w:id="147"/>
      <w:r>
        <w:rPr>
          <w:spacing w:val="3"/>
        </w:rPr>
        <w:t>特定的 </w:t>
      </w:r>
      <w:r>
        <w:rPr/>
        <w:t>Pre-XDR-TB</w:t>
      </w:r>
      <w:r>
        <w:rPr>
          <w:spacing w:val="2"/>
        </w:rPr>
        <w:t> 抗藥型態之治療處方</w:t>
      </w:r>
    </w:p>
    <w:p>
      <w:pPr>
        <w:spacing w:after="0" w:line="240" w:lineRule="auto"/>
        <w:jc w:val="left"/>
        <w:sectPr>
          <w:pgSz w:w="12250" w:h="17190"/>
          <w:pgMar w:header="0" w:footer="734" w:top="1460" w:bottom="1020" w:left="1020" w:right="0"/>
        </w:sectPr>
      </w:pPr>
    </w:p>
    <w:p>
      <w:pPr>
        <w:pStyle w:val="ListParagraph"/>
        <w:numPr>
          <w:ilvl w:val="0"/>
          <w:numId w:val="159"/>
        </w:numPr>
        <w:tabs>
          <w:tab w:pos="970" w:val="left" w:leader="none"/>
        </w:tabs>
        <w:spacing w:line="240" w:lineRule="auto" w:before="26" w:after="0"/>
        <w:ind w:left="969" w:right="0" w:hanging="355"/>
        <w:jc w:val="both"/>
        <w:rPr>
          <w:b/>
          <w:sz w:val="24"/>
        </w:rPr>
      </w:pPr>
      <w:r>
        <w:rPr>
          <w:b/>
          <w:color w:val="FF0000"/>
          <w:sz w:val="24"/>
        </w:rPr>
        <w:t>Pre-XDR</w:t>
      </w:r>
      <w:r>
        <w:rPr>
          <w:b/>
          <w:color w:val="FF0000"/>
          <w:spacing w:val="3"/>
          <w:sz w:val="24"/>
        </w:rPr>
        <w:t> </w:t>
      </w:r>
      <w:r>
        <w:rPr>
          <w:b/>
          <w:color w:val="FF0000"/>
          <w:spacing w:val="2"/>
          <w:sz w:val="24"/>
        </w:rPr>
        <w:t>TB</w:t>
      </w:r>
      <w:r>
        <w:rPr>
          <w:b/>
          <w:color w:val="FF0000"/>
          <w:spacing w:val="3"/>
          <w:sz w:val="24"/>
        </w:rPr>
        <w:t>：對 </w:t>
      </w:r>
      <w:r>
        <w:rPr>
          <w:b/>
          <w:color w:val="FF0000"/>
          <w:sz w:val="24"/>
        </w:rPr>
        <w:t>isoniazid,</w:t>
      </w:r>
      <w:r>
        <w:rPr>
          <w:b/>
          <w:color w:val="FF0000"/>
          <w:spacing w:val="3"/>
          <w:sz w:val="24"/>
        </w:rPr>
        <w:t> </w:t>
      </w:r>
      <w:r>
        <w:rPr>
          <w:b/>
          <w:color w:val="FF0000"/>
          <w:sz w:val="24"/>
        </w:rPr>
        <w:t>rifampicin</w:t>
      </w:r>
      <w:r>
        <w:rPr>
          <w:b/>
          <w:color w:val="FF0000"/>
          <w:spacing w:val="2"/>
          <w:sz w:val="24"/>
        </w:rPr>
        <w:t> 和 </w:t>
      </w:r>
      <w:r>
        <w:rPr>
          <w:b/>
          <w:color w:val="FF0000"/>
          <w:sz w:val="24"/>
        </w:rPr>
        <w:t>FQ</w:t>
      </w:r>
      <w:r>
        <w:rPr>
          <w:b/>
          <w:color w:val="FF0000"/>
          <w:spacing w:val="2"/>
          <w:sz w:val="24"/>
        </w:rPr>
        <w:t> 類藥物抗藥</w:t>
      </w:r>
    </w:p>
    <w:p>
      <w:pPr>
        <w:pStyle w:val="ListParagraph"/>
        <w:numPr>
          <w:ilvl w:val="1"/>
          <w:numId w:val="159"/>
        </w:numPr>
        <w:tabs>
          <w:tab w:pos="1490" w:val="left" w:leader="none"/>
        </w:tabs>
        <w:spacing w:line="431" w:lineRule="exact" w:before="36" w:after="0"/>
        <w:ind w:left="1489" w:right="0" w:hanging="490"/>
        <w:jc w:val="both"/>
        <w:rPr>
          <w:b/>
          <w:sz w:val="24"/>
        </w:rPr>
      </w:pPr>
      <w:r>
        <w:rPr>
          <w:b/>
          <w:spacing w:val="3"/>
          <w:sz w:val="24"/>
        </w:rPr>
        <w:t>對 </w:t>
      </w:r>
      <w:r>
        <w:rPr>
          <w:b/>
          <w:sz w:val="24"/>
        </w:rPr>
        <w:t>FQ</w:t>
      </w:r>
      <w:r>
        <w:rPr>
          <w:b/>
          <w:spacing w:val="1"/>
          <w:sz w:val="24"/>
        </w:rPr>
        <w:t> 類抗藥型態之治療處方(全口服)：</w:t>
      </w:r>
    </w:p>
    <w:p>
      <w:pPr>
        <w:spacing w:line="431" w:lineRule="exact" w:before="0"/>
        <w:ind w:left="584" w:right="0" w:firstLine="0"/>
        <w:jc w:val="both"/>
        <w:rPr>
          <w:b/>
          <w:sz w:val="24"/>
        </w:rPr>
      </w:pPr>
      <w:r>
        <w:rPr>
          <w:b/>
          <w:sz w:val="24"/>
        </w:rPr>
        <w:t>Bedaquline-Pretomanid-Linezolid(BPaL)(表 12-4)</w:t>
      </w:r>
    </w:p>
    <w:p>
      <w:pPr>
        <w:pStyle w:val="ListParagraph"/>
        <w:numPr>
          <w:ilvl w:val="0"/>
          <w:numId w:val="160"/>
        </w:numPr>
        <w:tabs>
          <w:tab w:pos="982" w:val="left" w:leader="none"/>
        </w:tabs>
        <w:spacing w:line="225" w:lineRule="auto" w:before="41" w:after="0"/>
        <w:ind w:left="981" w:right="1361" w:hanging="366"/>
        <w:jc w:val="both"/>
        <w:rPr>
          <w:sz w:val="24"/>
        </w:rPr>
      </w:pPr>
      <w:r>
        <w:rPr>
          <w:sz w:val="24"/>
        </w:rPr>
        <w:t>Bedaquline</w:t>
      </w:r>
      <w:r>
        <w:rPr>
          <w:spacing w:val="7"/>
          <w:sz w:val="24"/>
        </w:rPr>
        <w:t>(請詳見 </w:t>
      </w:r>
      <w:r>
        <w:rPr>
          <w:sz w:val="24"/>
        </w:rPr>
        <w:t>12.7</w:t>
      </w:r>
      <w:r>
        <w:rPr>
          <w:spacing w:val="8"/>
          <w:sz w:val="24"/>
        </w:rPr>
        <w:t> 藥物說明 </w:t>
      </w:r>
      <w:r>
        <w:rPr>
          <w:sz w:val="24"/>
        </w:rPr>
        <w:t>Group</w:t>
      </w:r>
      <w:r>
        <w:rPr>
          <w:spacing w:val="37"/>
          <w:sz w:val="24"/>
        </w:rPr>
        <w:t> </w:t>
      </w:r>
      <w:r>
        <w:rPr>
          <w:sz w:val="24"/>
        </w:rPr>
        <w:t>A)</w:t>
      </w:r>
      <w:r>
        <w:rPr>
          <w:spacing w:val="16"/>
          <w:sz w:val="24"/>
        </w:rPr>
        <w:t>在 </w:t>
      </w:r>
      <w:r>
        <w:rPr>
          <w:sz w:val="24"/>
        </w:rPr>
        <w:t>BPaL</w:t>
      </w:r>
      <w:r>
        <w:rPr>
          <w:spacing w:val="12"/>
          <w:sz w:val="24"/>
        </w:rPr>
        <w:t> 處方的前 </w:t>
      </w:r>
      <w:r>
        <w:rPr>
          <w:sz w:val="24"/>
        </w:rPr>
        <w:t>2</w:t>
      </w:r>
      <w:r>
        <w:rPr>
          <w:spacing w:val="4"/>
          <w:sz w:val="24"/>
        </w:rPr>
        <w:t> 週需每天口服一</w:t>
      </w:r>
      <w:r>
        <w:rPr>
          <w:spacing w:val="5"/>
          <w:sz w:val="24"/>
        </w:rPr>
        <w:t>次，單次劑量 </w:t>
      </w:r>
      <w:r>
        <w:rPr>
          <w:sz w:val="24"/>
        </w:rPr>
        <w:t>400mg</w:t>
      </w:r>
      <w:r>
        <w:rPr>
          <w:spacing w:val="2"/>
          <w:sz w:val="24"/>
        </w:rPr>
        <w:t>；兩週後則改為每週口服 </w:t>
      </w:r>
      <w:r>
        <w:rPr>
          <w:sz w:val="24"/>
        </w:rPr>
        <w:t>3</w:t>
      </w:r>
      <w:r>
        <w:rPr>
          <w:spacing w:val="5"/>
          <w:sz w:val="24"/>
        </w:rPr>
        <w:t> 次，單次劑量為 </w:t>
      </w:r>
      <w:r>
        <w:rPr>
          <w:sz w:val="24"/>
        </w:rPr>
        <w:t>200mg</w:t>
      </w:r>
      <w:r>
        <w:rPr>
          <w:spacing w:val="1"/>
          <w:sz w:val="24"/>
        </w:rPr>
        <w:t>，兩次服</w:t>
      </w:r>
      <w:r>
        <w:rPr>
          <w:spacing w:val="2"/>
          <w:sz w:val="24"/>
        </w:rPr>
        <w:t>藥期間需間隔 </w:t>
      </w:r>
      <w:r>
        <w:rPr>
          <w:sz w:val="24"/>
        </w:rPr>
        <w:t>48</w:t>
      </w:r>
      <w:r>
        <w:rPr>
          <w:spacing w:val="2"/>
          <w:sz w:val="24"/>
        </w:rPr>
        <w:t> 小時，持續 </w:t>
      </w:r>
      <w:r>
        <w:rPr>
          <w:sz w:val="24"/>
        </w:rPr>
        <w:t>24</w:t>
      </w:r>
      <w:r>
        <w:rPr>
          <w:spacing w:val="3"/>
          <w:sz w:val="24"/>
        </w:rPr>
        <w:t> 週。</w:t>
      </w:r>
    </w:p>
    <w:p>
      <w:pPr>
        <w:pStyle w:val="ListParagraph"/>
        <w:numPr>
          <w:ilvl w:val="0"/>
          <w:numId w:val="160"/>
        </w:numPr>
        <w:tabs>
          <w:tab w:pos="982" w:val="left" w:leader="none"/>
        </w:tabs>
        <w:spacing w:line="225" w:lineRule="auto" w:before="83" w:after="0"/>
        <w:ind w:left="981" w:right="1357" w:hanging="366"/>
        <w:jc w:val="both"/>
        <w:rPr>
          <w:sz w:val="24"/>
        </w:rPr>
      </w:pPr>
      <w:r>
        <w:rPr>
          <w:sz w:val="24"/>
        </w:rPr>
        <w:t>Pretomanid</w:t>
      </w:r>
      <w:r>
        <w:rPr>
          <w:position w:val="11"/>
          <w:sz w:val="16"/>
        </w:rPr>
        <w:t>10</w:t>
      </w:r>
      <w:r>
        <w:rPr>
          <w:sz w:val="24"/>
        </w:rPr>
        <w:t>(Pa</w:t>
      </w:r>
      <w:r>
        <w:rPr>
          <w:spacing w:val="5"/>
          <w:sz w:val="24"/>
        </w:rPr>
        <w:t>)是最近經美國食品藥物管理局</w:t>
      </w:r>
      <w:r>
        <w:rPr>
          <w:spacing w:val="4"/>
          <w:sz w:val="24"/>
        </w:rPr>
        <w:t>（FDA）</w:t>
      </w:r>
      <w:r>
        <w:rPr>
          <w:spacing w:val="6"/>
          <w:sz w:val="24"/>
        </w:rPr>
        <w:t>批准的抗細菌和抗真菌藥</w:t>
      </w:r>
      <w:r>
        <w:rPr>
          <w:spacing w:val="11"/>
          <w:sz w:val="24"/>
        </w:rPr>
        <w:t>物，與 </w:t>
      </w:r>
      <w:r>
        <w:rPr>
          <w:sz w:val="24"/>
        </w:rPr>
        <w:t>BDQ</w:t>
      </w:r>
      <w:r>
        <w:rPr>
          <w:spacing w:val="25"/>
          <w:sz w:val="24"/>
        </w:rPr>
        <w:t> 和 </w:t>
      </w:r>
      <w:r>
        <w:rPr>
          <w:sz w:val="24"/>
        </w:rPr>
        <w:t>LZD</w:t>
      </w:r>
      <w:r>
        <w:rPr>
          <w:spacing w:val="5"/>
          <w:sz w:val="24"/>
        </w:rPr>
        <w:t> 列在同一處方中，</w:t>
      </w:r>
      <w:r>
        <w:rPr>
          <w:sz w:val="24"/>
        </w:rPr>
        <w:t>Pretomanid</w:t>
      </w:r>
      <w:r>
        <w:rPr>
          <w:spacing w:val="2"/>
          <w:sz w:val="24"/>
        </w:rPr>
        <w:t> 也只可在此處方使用並用於治</w:t>
      </w:r>
      <w:r>
        <w:rPr>
          <w:spacing w:val="11"/>
          <w:sz w:val="24"/>
        </w:rPr>
        <w:t>療 </w:t>
      </w:r>
      <w:r>
        <w:rPr>
          <w:sz w:val="24"/>
        </w:rPr>
        <w:t>XDR</w:t>
      </w:r>
      <w:r>
        <w:rPr>
          <w:spacing w:val="3"/>
          <w:sz w:val="24"/>
        </w:rPr>
        <w:t>、</w:t>
      </w:r>
      <w:r>
        <w:rPr>
          <w:sz w:val="24"/>
        </w:rPr>
        <w:t>MDR-TB</w:t>
      </w:r>
      <w:r>
        <w:rPr>
          <w:spacing w:val="3"/>
          <w:sz w:val="24"/>
        </w:rPr>
        <w:t>。</w:t>
      </w:r>
      <w:r>
        <w:rPr>
          <w:sz w:val="24"/>
        </w:rPr>
        <w:t>Pretomanid</w:t>
      </w:r>
      <w:r>
        <w:rPr>
          <w:spacing w:val="6"/>
          <w:sz w:val="24"/>
        </w:rPr>
        <w:t> 單顆劑量為 </w:t>
      </w:r>
      <w:r>
        <w:rPr>
          <w:sz w:val="24"/>
        </w:rPr>
        <w:t>200mg</w:t>
      </w:r>
      <w:r>
        <w:rPr>
          <w:spacing w:val="6"/>
          <w:sz w:val="24"/>
        </w:rPr>
        <w:t>，在 </w:t>
      </w:r>
      <w:r>
        <w:rPr>
          <w:sz w:val="24"/>
        </w:rPr>
        <w:t>BPaL</w:t>
      </w:r>
      <w:r>
        <w:rPr>
          <w:spacing w:val="3"/>
          <w:sz w:val="24"/>
        </w:rPr>
        <w:t> 處方中，需每天口服一顆並持續 </w:t>
      </w:r>
      <w:r>
        <w:rPr>
          <w:sz w:val="24"/>
        </w:rPr>
        <w:t>26</w:t>
      </w:r>
      <w:r>
        <w:rPr>
          <w:spacing w:val="-5"/>
          <w:sz w:val="24"/>
        </w:rPr>
        <w:t> 週。</w:t>
      </w:r>
      <w:r>
        <w:rPr>
          <w:sz w:val="24"/>
        </w:rPr>
        <w:t>Pretomanid</w:t>
      </w:r>
      <w:r>
        <w:rPr>
          <w:spacing w:val="4"/>
          <w:sz w:val="24"/>
        </w:rPr>
        <w:t> 可抑制 </w:t>
      </w:r>
      <w:r>
        <w:rPr>
          <w:sz w:val="24"/>
        </w:rPr>
        <w:t>mycolic</w:t>
      </w:r>
      <w:r>
        <w:rPr>
          <w:spacing w:val="-8"/>
          <w:sz w:val="24"/>
        </w:rPr>
        <w:t> </w:t>
      </w:r>
      <w:r>
        <w:rPr>
          <w:sz w:val="24"/>
        </w:rPr>
        <w:t>acid</w:t>
      </w:r>
      <w:r>
        <w:rPr>
          <w:spacing w:val="-2"/>
          <w:sz w:val="24"/>
        </w:rPr>
        <w:t> 的生物合成，從而阻止分枝</w:t>
      </w:r>
      <w:r>
        <w:rPr>
          <w:spacing w:val="-10"/>
          <w:sz w:val="24"/>
        </w:rPr>
        <w:t>桿菌細胞壁的產生，在無氧條件下釋放一氧化氮後，也可作為呼吸道毒物抵抗非複製</w:t>
      </w:r>
      <w:r>
        <w:rPr>
          <w:spacing w:val="3"/>
          <w:sz w:val="24"/>
        </w:rPr>
        <w:t>型細菌。常見副作用為周邊神經病變、粉刺、貧血、噁心、嘔吐、頭痛等。</w:t>
      </w:r>
    </w:p>
    <w:p>
      <w:pPr>
        <w:pStyle w:val="ListParagraph"/>
        <w:numPr>
          <w:ilvl w:val="0"/>
          <w:numId w:val="160"/>
        </w:numPr>
        <w:tabs>
          <w:tab w:pos="982" w:val="left" w:leader="none"/>
        </w:tabs>
        <w:spacing w:line="225" w:lineRule="auto" w:before="91" w:after="0"/>
        <w:ind w:left="981" w:right="1358" w:hanging="366"/>
        <w:jc w:val="both"/>
        <w:rPr>
          <w:sz w:val="24"/>
        </w:rPr>
      </w:pPr>
      <w:r>
        <w:rPr>
          <w:sz w:val="24"/>
        </w:rPr>
        <w:t>Linezolid</w:t>
      </w:r>
      <w:r>
        <w:rPr>
          <w:spacing w:val="12"/>
          <w:sz w:val="24"/>
        </w:rPr>
        <w:t> (請詳見 </w:t>
      </w:r>
      <w:r>
        <w:rPr>
          <w:sz w:val="24"/>
        </w:rPr>
        <w:t>12.7</w:t>
      </w:r>
      <w:r>
        <w:rPr>
          <w:spacing w:val="9"/>
          <w:sz w:val="24"/>
        </w:rPr>
        <w:t> 藥物說明 </w:t>
      </w:r>
      <w:r>
        <w:rPr>
          <w:sz w:val="24"/>
        </w:rPr>
        <w:t>Group</w:t>
      </w:r>
      <w:r>
        <w:rPr>
          <w:spacing w:val="38"/>
          <w:sz w:val="24"/>
        </w:rPr>
        <w:t> </w:t>
      </w:r>
      <w:r>
        <w:rPr>
          <w:sz w:val="24"/>
        </w:rPr>
        <w:t>A</w:t>
      </w:r>
      <w:r>
        <w:rPr>
          <w:spacing w:val="10"/>
          <w:sz w:val="24"/>
        </w:rPr>
        <w:t>) 在 </w:t>
      </w:r>
      <w:r>
        <w:rPr>
          <w:sz w:val="24"/>
        </w:rPr>
        <w:t>BPaL</w:t>
      </w:r>
      <w:r>
        <w:rPr>
          <w:spacing w:val="6"/>
          <w:sz w:val="24"/>
        </w:rPr>
        <w:t> 的劑量為每天口服 </w:t>
      </w:r>
      <w:r>
        <w:rPr>
          <w:sz w:val="24"/>
        </w:rPr>
        <w:t>1,200mg </w:t>
      </w:r>
      <w:r>
        <w:rPr>
          <w:spacing w:val="2"/>
          <w:sz w:val="24"/>
        </w:rPr>
        <w:t>一次並持續 </w:t>
      </w:r>
      <w:r>
        <w:rPr>
          <w:sz w:val="24"/>
        </w:rPr>
        <w:t>26</w:t>
      </w:r>
      <w:r>
        <w:rPr>
          <w:spacing w:val="-5"/>
          <w:sz w:val="24"/>
        </w:rPr>
        <w:t> 週，且需依個案對藥物的反應適時調整，如：密切觀察追蹤個案的狀</w:t>
      </w:r>
      <w:r>
        <w:rPr>
          <w:spacing w:val="6"/>
          <w:sz w:val="24"/>
        </w:rPr>
        <w:t>況與聽力 (</w:t>
      </w:r>
      <w:r>
        <w:rPr>
          <w:spacing w:val="3"/>
          <w:sz w:val="24"/>
        </w:rPr>
        <w:t>aDSM</w:t>
      </w:r>
      <w:r>
        <w:rPr>
          <w:spacing w:val="8"/>
          <w:sz w:val="24"/>
        </w:rPr>
        <w:t>)。如果 </w:t>
      </w:r>
      <w:r>
        <w:rPr>
          <w:spacing w:val="2"/>
          <w:sz w:val="24"/>
        </w:rPr>
        <w:t>BDQ</w:t>
      </w:r>
      <w:r>
        <w:rPr>
          <w:spacing w:val="14"/>
          <w:sz w:val="24"/>
        </w:rPr>
        <w:t> 或是 </w:t>
      </w:r>
      <w:r>
        <w:rPr>
          <w:spacing w:val="3"/>
          <w:sz w:val="24"/>
        </w:rPr>
        <w:t>pretomanid</w:t>
      </w:r>
      <w:r>
        <w:rPr>
          <w:spacing w:val="9"/>
          <w:sz w:val="24"/>
        </w:rPr>
        <w:t> 有停藥則整個 </w:t>
      </w:r>
      <w:r>
        <w:rPr>
          <w:spacing w:val="3"/>
          <w:sz w:val="24"/>
        </w:rPr>
        <w:t>BPaL</w:t>
      </w:r>
      <w:r>
        <w:rPr>
          <w:spacing w:val="9"/>
          <w:sz w:val="24"/>
        </w:rPr>
        <w:t> 處方也要停</w:t>
      </w:r>
      <w:r>
        <w:rPr>
          <w:spacing w:val="7"/>
          <w:sz w:val="24"/>
        </w:rPr>
        <w:t>止。</w:t>
      </w:r>
    </w:p>
    <w:p>
      <w:pPr>
        <w:pStyle w:val="BodyText"/>
        <w:spacing w:line="428" w:lineRule="exact" w:before="34"/>
        <w:ind w:right="1362"/>
        <w:jc w:val="right"/>
      </w:pPr>
      <w:r>
        <w:rPr/>
        <w:t>BPaL</w:t>
      </w:r>
      <w:r>
        <w:rPr>
          <w:spacing w:val="5"/>
        </w:rPr>
        <w:t> 處方在 </w:t>
      </w:r>
      <w:r>
        <w:rPr/>
        <w:t>Nix-TB</w:t>
      </w:r>
      <w:r>
        <w:rPr>
          <w:spacing w:val="2"/>
        </w:rPr>
        <w:t> 研究中使用，</w:t>
      </w:r>
      <w:r>
        <w:rPr/>
        <w:t>Nix-TB 是第三期單組研究的開放性試驗，於</w:t>
      </w:r>
    </w:p>
    <w:p>
      <w:pPr>
        <w:pStyle w:val="BodyText"/>
        <w:spacing w:line="416" w:lineRule="exact"/>
        <w:ind w:right="1363"/>
        <w:jc w:val="right"/>
      </w:pPr>
      <w:r>
        <w:rPr/>
        <w:t>2014-2019</w:t>
      </w:r>
      <w:r>
        <w:rPr>
          <w:spacing w:val="-6"/>
        </w:rPr>
        <w:t> 年在南非進行三種口服藥物</w:t>
      </w:r>
      <w:r>
        <w:rPr/>
        <w:t>（Bedaquline-Pretomanid-Linezolid）</w:t>
      </w:r>
      <w:r>
        <w:rPr>
          <w:spacing w:val="1"/>
        </w:rPr>
        <w:t>治療</w:t>
      </w:r>
    </w:p>
    <w:p>
      <w:pPr>
        <w:pStyle w:val="BodyText"/>
        <w:spacing w:line="225" w:lineRule="auto" w:before="7"/>
        <w:ind w:left="945" w:right="1357"/>
        <w:jc w:val="both"/>
      </w:pPr>
      <w:r>
        <w:rPr>
          <w:spacing w:val="-12"/>
        </w:rPr>
        <w:t>的追蹤研究，這些藥物對結核病具有殺菌活性，而且幾乎沒有抗藥性。研究對象為 </w:t>
      </w:r>
      <w:r>
        <w:rPr>
          <w:spacing w:val="3"/>
        </w:rPr>
        <w:t>14 </w:t>
      </w:r>
      <w:r>
        <w:rPr>
          <w:spacing w:val="6"/>
        </w:rPr>
        <w:t>歲以上，臨床肺結核狀況為 </w:t>
      </w:r>
      <w:r>
        <w:rPr>
          <w:spacing w:val="3"/>
        </w:rPr>
        <w:t>1</w:t>
      </w:r>
      <w:r>
        <w:rPr>
          <w:spacing w:val="4"/>
        </w:rPr>
        <w:t>.對 </w:t>
      </w:r>
      <w:r>
        <w:rPr>
          <w:spacing w:val="3"/>
        </w:rPr>
        <w:t>isoniazid</w:t>
      </w:r>
      <w:r>
        <w:rPr>
          <w:spacing w:val="14"/>
        </w:rPr>
        <w:t>, </w:t>
      </w:r>
      <w:r>
        <w:rPr>
          <w:spacing w:val="3"/>
        </w:rPr>
        <w:t>rifamycins</w:t>
      </w:r>
      <w:r>
        <w:rPr>
          <w:spacing w:val="5"/>
        </w:rPr>
        <w:t>, 一種 </w:t>
      </w:r>
      <w:r>
        <w:rPr>
          <w:spacing w:val="3"/>
        </w:rPr>
        <w:t>fluoroquinolone</w:t>
      </w:r>
      <w:r>
        <w:rPr>
          <w:spacing w:val="5"/>
        </w:rPr>
        <w:t> 以</w:t>
      </w:r>
      <w:r>
        <w:rPr>
          <w:spacing w:val="8"/>
        </w:rPr>
        <w:t>及一種針劑抗藥 </w:t>
      </w:r>
      <w:r>
        <w:rPr/>
        <w:t>2.MDR-TB</w:t>
      </w:r>
      <w:r>
        <w:rPr>
          <w:spacing w:val="8"/>
        </w:rPr>
        <w:t> 病人規則接受好的處方治療六個月以上但反應不佳、3.MDR-TB</w:t>
      </w:r>
      <w:r>
        <w:rPr>
          <w:spacing w:val="-2"/>
        </w:rPr>
        <w:t> 病人因藥物不良反應無法繼續服用二線藥物，如：</w:t>
      </w:r>
      <w:r>
        <w:rPr/>
        <w:t>p-aminosalicylic acid, ethionamide</w:t>
      </w:r>
      <w:r>
        <w:rPr>
          <w:spacing w:val="2"/>
        </w:rPr>
        <w:t>, </w:t>
      </w:r>
      <w:r>
        <w:rPr/>
        <w:t>aminoglycosides or fluoroquinolones。</w:t>
      </w:r>
    </w:p>
    <w:p>
      <w:pPr>
        <w:pStyle w:val="BodyText"/>
        <w:spacing w:line="225" w:lineRule="auto" w:before="17"/>
        <w:ind w:left="945" w:right="1358" w:firstLine="488"/>
        <w:jc w:val="both"/>
      </w:pPr>
      <w:r>
        <w:rPr>
          <w:spacing w:val="1"/>
        </w:rPr>
        <w:t>研究對象接受以下口服治療: </w:t>
      </w:r>
      <w:r>
        <w:rPr/>
        <w:t>BDQ</w:t>
      </w:r>
      <w:r>
        <w:rPr>
          <w:spacing w:val="24"/>
        </w:rPr>
        <w:t> 前</w:t>
      </w:r>
      <w:r>
        <w:rPr/>
        <w:t>2</w:t>
      </w:r>
      <w:r>
        <w:rPr>
          <w:spacing w:val="5"/>
        </w:rPr>
        <w:t> 週劑量為</w:t>
      </w:r>
      <w:r>
        <w:rPr/>
        <w:t>400 mg</w:t>
      </w:r>
      <w:r>
        <w:rPr>
          <w:spacing w:val="7"/>
        </w:rPr>
        <w:t> 每天</w:t>
      </w:r>
      <w:r>
        <w:rPr/>
        <w:t>1</w:t>
      </w:r>
      <w:r>
        <w:rPr>
          <w:spacing w:val="-20"/>
        </w:rPr>
        <w:t> 次，然後</w:t>
      </w:r>
      <w:r>
        <w:rPr/>
        <w:t>200mg </w:t>
      </w:r>
      <w:r>
        <w:rPr>
          <w:spacing w:val="3"/>
        </w:rPr>
        <w:t>每週 </w:t>
      </w:r>
      <w:r>
        <w:rPr/>
        <w:t>3</w:t>
      </w:r>
      <w:r>
        <w:rPr>
          <w:spacing w:val="2"/>
        </w:rPr>
        <w:t> 次，持續 </w:t>
      </w:r>
      <w:r>
        <w:rPr/>
        <w:t>24</w:t>
      </w:r>
      <w:r>
        <w:rPr>
          <w:spacing w:val="3"/>
        </w:rPr>
        <w:t> 週，以及 </w:t>
      </w:r>
      <w:r>
        <w:rPr/>
        <w:t>Pretomanid 200 mg</w:t>
      </w:r>
      <w:r>
        <w:rPr>
          <w:spacing w:val="4"/>
        </w:rPr>
        <w:t> 與 </w:t>
      </w:r>
      <w:r>
        <w:rPr/>
        <w:t>Linezolid 1200mg</w:t>
      </w:r>
      <w:r>
        <w:rPr>
          <w:spacing w:val="3"/>
        </w:rPr>
        <w:t> 每天 </w:t>
      </w:r>
      <w:r>
        <w:rPr/>
        <w:t>1</w:t>
      </w:r>
      <w:r>
        <w:rPr>
          <w:spacing w:val="2"/>
        </w:rPr>
        <w:t> 次維持 </w:t>
      </w:r>
      <w:r>
        <w:rPr/>
        <w:t>26</w:t>
      </w:r>
      <w:r>
        <w:rPr>
          <w:spacing w:val="-22"/>
        </w:rPr>
        <w:t> 週</w:t>
      </w:r>
      <w:r>
        <w:rPr>
          <w:spacing w:val="3"/>
        </w:rPr>
        <w:t>（依藥物血中濃度調整劑量</w:t>
      </w:r>
      <w:r>
        <w:rPr>
          <w:spacing w:val="-70"/>
        </w:rPr>
        <w:t>）</w:t>
      </w:r>
      <w:r>
        <w:rPr>
          <w:spacing w:val="3"/>
        </w:rPr>
        <w:t>。 極高比例的高度抗藥性肺結核個案在六個月治療結束後獲得良好的結果。</w:t>
      </w:r>
    </w:p>
    <w:p>
      <w:pPr>
        <w:pStyle w:val="BodyText"/>
        <w:spacing w:line="225" w:lineRule="auto" w:before="17"/>
        <w:ind w:left="945" w:right="1357" w:firstLine="488"/>
        <w:jc w:val="both"/>
      </w:pPr>
      <w:r>
        <w:rPr/>
        <w:t>在 Nix-TB 研究中，個案在 8 個月內完成 6 個月的處方；延長處方的個案則需在 12 個月內完成 9 個月的處方。個案若是持續痰陽或是在第 4 跟第 6 個月出現痰</w:t>
      </w:r>
    </w:p>
    <w:p>
      <w:pPr>
        <w:pStyle w:val="BodyText"/>
        <w:spacing w:line="418" w:lineRule="exact"/>
        <w:ind w:left="945"/>
        <w:jc w:val="both"/>
      </w:pPr>
      <w:r>
        <w:rPr/>
        <w:t>陽或持續有肺結核感染的臨床反應則需延長治療為 9 個月。</w:t>
      </w:r>
    </w:p>
    <w:p>
      <w:pPr>
        <w:pStyle w:val="BodyText"/>
        <w:spacing w:line="225" w:lineRule="auto" w:before="13"/>
        <w:ind w:left="945" w:right="1357" w:firstLine="488"/>
        <w:jc w:val="both"/>
      </w:pPr>
      <w:r>
        <w:rPr/>
        <w:t>WHO</w:t>
      </w:r>
      <w:r>
        <w:rPr>
          <w:spacing w:val="-4"/>
        </w:rPr>
        <w:t> 在 </w:t>
      </w:r>
      <w:r>
        <w:rPr/>
        <w:t>2020</w:t>
      </w:r>
      <w:r>
        <w:rPr>
          <w:spacing w:val="-9"/>
        </w:rPr>
        <w:t> 年的診治指引中已列出此處方。不過使用此處方應在 </w:t>
      </w:r>
      <w:r>
        <w:rPr/>
        <w:t>operational research</w:t>
      </w:r>
      <w:r>
        <w:rPr>
          <w:spacing w:val="3"/>
        </w:rPr>
        <w:t> 下使用，並注意個案之前須從未使用過 </w:t>
      </w:r>
      <w:r>
        <w:rPr/>
        <w:t>BDQ</w:t>
      </w:r>
      <w:r>
        <w:rPr>
          <w:spacing w:val="13"/>
        </w:rPr>
        <w:t> 及 </w:t>
      </w:r>
      <w:r>
        <w:rPr/>
        <w:t>LZD</w:t>
      </w:r>
      <w:r>
        <w:rPr>
          <w:spacing w:val="3"/>
        </w:rPr>
        <w:t> 或是使用期間不超過</w:t>
      </w:r>
      <w:r>
        <w:rPr>
          <w:spacing w:val="-5"/>
        </w:rPr>
        <w:t>兩個星期。此處方需排除之對象包含懷孕婦女、哺乳中婦女及孩童。雖然 </w:t>
      </w:r>
      <w:r>
        <w:rPr/>
        <w:t>BPaL</w:t>
      </w:r>
      <w:r>
        <w:rPr>
          <w:spacing w:val="3"/>
        </w:rPr>
        <w:t> 之安</w:t>
      </w:r>
    </w:p>
    <w:p>
      <w:pPr>
        <w:spacing w:after="0" w:line="225" w:lineRule="auto"/>
        <w:jc w:val="both"/>
        <w:sectPr>
          <w:pgSz w:w="12250" w:h="17190"/>
          <w:pgMar w:header="0" w:footer="734" w:top="1480" w:bottom="1020" w:left="1020" w:right="0"/>
        </w:sectPr>
      </w:pPr>
    </w:p>
    <w:p>
      <w:pPr>
        <w:pStyle w:val="BodyText"/>
        <w:spacing w:line="225" w:lineRule="auto" w:before="46"/>
        <w:ind w:left="945" w:right="1358"/>
        <w:jc w:val="both"/>
      </w:pPr>
      <w:r>
        <w:rPr/>
        <w:pict>
          <v:group style="position:absolute;margin-left:573pt;margin-top:.693154pt;width:39.4pt;height:177.4pt;mso-position-horizontal-relative:page;mso-position-vertical-relative:paragraph;z-index:251896832" coordorigin="11460,14" coordsize="788,3548">
            <v:shape style="position:absolute;left:11460;top:13;width:788;height:3548" coordorigin="11460,14" coordsize="788,3548" path="m12247,14l11625,14,11561,27,11508,62,11473,115,11460,179,11460,3397,11473,3461,11508,3513,11561,3549,11625,3562,12247,3562,12247,14xe" filled="true" fillcolor="#a6a6a6" stroked="false">
              <v:path arrowok="t"/>
              <v:fill type="solid"/>
            </v:shape>
            <v:shape style="position:absolute;left:11460;top:13;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t>全性與效果實證仍相當薄弱且尚不建議常規使用，但若已無法從 WHO 建議之藥物中開出有效治療處方，也許可以考慮用 BPaL 處方當作是最後一線選擇 </w:t>
      </w:r>
      <w:r>
        <w:rPr>
          <w:position w:val="11"/>
          <w:sz w:val="16"/>
        </w:rPr>
        <w:t>6</w:t>
      </w:r>
      <w:r>
        <w:rPr/>
        <w:t>。</w:t>
      </w:r>
    </w:p>
    <w:p>
      <w:pPr>
        <w:pStyle w:val="Heading7"/>
        <w:numPr>
          <w:ilvl w:val="1"/>
          <w:numId w:val="159"/>
        </w:numPr>
        <w:tabs>
          <w:tab w:pos="1503" w:val="left" w:leader="none"/>
        </w:tabs>
        <w:spacing w:line="240" w:lineRule="auto" w:before="101" w:after="0"/>
        <w:ind w:left="1502" w:right="0" w:hanging="522"/>
        <w:jc w:val="both"/>
      </w:pPr>
      <w:r>
        <w:rPr>
          <w:spacing w:val="2"/>
        </w:rPr>
        <w:t>對 </w:t>
      </w:r>
      <w:r>
        <w:rPr/>
        <w:t>FQ</w:t>
      </w:r>
      <w:r>
        <w:rPr>
          <w:spacing w:val="1"/>
        </w:rPr>
        <w:t> 類抗藥型態之治療處方(含針劑)：</w:t>
      </w:r>
    </w:p>
    <w:p>
      <w:pPr>
        <w:pStyle w:val="BodyText"/>
        <w:spacing w:line="228" w:lineRule="auto" w:before="16"/>
        <w:ind w:left="1496" w:right="1357" w:firstLine="487"/>
        <w:jc w:val="both"/>
      </w:pPr>
      <w:r>
        <w:rPr/>
        <w:t>對針劑敏感則建議處方以有效針劑加上 4-5 種有效口服藥物(應盡量用上Group A)。建議使用針劑 </w:t>
      </w:r>
      <w:r>
        <w:rPr>
          <w:color w:val="FF0000"/>
        </w:rPr>
        <w:t>5-7 </w:t>
      </w:r>
      <w:r>
        <w:rPr/>
        <w:t>個月，</w:t>
      </w:r>
      <w:r>
        <w:rPr>
          <w:color w:val="FF0000"/>
        </w:rPr>
        <w:t>少數病人或許需要延長針劑的療程</w:t>
      </w:r>
      <w:r>
        <w:rPr/>
        <w:t>。如果存在空洞，考慮外科手術治療。</w:t>
      </w:r>
    </w:p>
    <w:p>
      <w:pPr>
        <w:pStyle w:val="Heading7"/>
        <w:numPr>
          <w:ilvl w:val="0"/>
          <w:numId w:val="159"/>
        </w:numPr>
        <w:tabs>
          <w:tab w:pos="982" w:val="left" w:leader="none"/>
        </w:tabs>
        <w:spacing w:line="440" w:lineRule="exact" w:before="27" w:after="0"/>
        <w:ind w:left="981" w:right="0" w:hanging="367"/>
        <w:jc w:val="both"/>
      </w:pPr>
      <w:r>
        <w:rPr>
          <w:spacing w:val="2"/>
        </w:rPr>
        <w:t>對所有一線藥物和注射劑抗藥：</w:t>
      </w:r>
    </w:p>
    <w:p>
      <w:pPr>
        <w:pStyle w:val="BodyText"/>
        <w:spacing w:line="220" w:lineRule="auto" w:before="24"/>
        <w:ind w:left="1000" w:right="1361" w:firstLine="488"/>
        <w:jc w:val="both"/>
      </w:pPr>
      <w:r>
        <w:rPr/>
        <w:t>MFX 或是高劑量的 levofloxacin [LFX, 750-1000mg] 加上至少 4-5 種口服藥物。若有機會應盡量用 Group A。</w:t>
      </w:r>
    </w:p>
    <w:p>
      <w:pPr>
        <w:pStyle w:val="ListParagraph"/>
        <w:numPr>
          <w:ilvl w:val="1"/>
          <w:numId w:val="145"/>
        </w:numPr>
        <w:tabs>
          <w:tab w:pos="976" w:val="left" w:leader="none"/>
        </w:tabs>
        <w:spacing w:line="240" w:lineRule="auto" w:before="231" w:after="0"/>
        <w:ind w:left="975" w:right="0" w:hanging="636"/>
        <w:jc w:val="left"/>
        <w:rPr>
          <w:b/>
          <w:sz w:val="24"/>
        </w:rPr>
      </w:pPr>
      <w:bookmarkStart w:name="12.6 廣泛抗藥結核（XDR-TB）" w:id="148"/>
      <w:bookmarkEnd w:id="148"/>
      <w:r>
        <w:rPr/>
      </w:r>
      <w:bookmarkStart w:name="12.6 廣泛抗藥結核（XDR-TB）" w:id="149"/>
      <w:bookmarkEnd w:id="149"/>
      <w:r>
        <w:rPr>
          <w:b/>
          <w:spacing w:val="3"/>
          <w:sz w:val="25"/>
        </w:rPr>
        <w:t>廣泛抗</w:t>
      </w:r>
      <w:r>
        <w:rPr>
          <w:b/>
          <w:spacing w:val="3"/>
          <w:sz w:val="24"/>
        </w:rPr>
        <w:t>藥結核</w:t>
      </w:r>
      <w:r>
        <w:rPr>
          <w:b/>
          <w:sz w:val="24"/>
        </w:rPr>
        <w:t>（XDR-TB）</w:t>
      </w:r>
    </w:p>
    <w:p>
      <w:pPr>
        <w:pStyle w:val="BodyText"/>
        <w:spacing w:line="223" w:lineRule="auto" w:before="28"/>
        <w:ind w:left="945" w:right="1352" w:firstLine="488"/>
        <w:jc w:val="both"/>
      </w:pPr>
      <w:r>
        <w:rPr/>
        <w:t>2021 年 WHO 新定義 XDR-TB 為 MDR/RR-TB 且對任一種 fluoroquinolone 抗藥之外，再加上對 Group A(表 12-3)中任一種藥抗藥。而治療新定義的 XDR- TB，主要藥物是 group B，group C，尤其是針劑以及仍敏感的 group A。治療XDR-TB 面臨的挑戰包括缺乏有效的抗結核藥物、高頻率的不良反應，以及不好的治療結果(表 12-4)。XDR-TB 病人宜評估是否需考慮外科治療。</w:t>
      </w:r>
    </w:p>
    <w:p>
      <w:pPr>
        <w:pStyle w:val="Heading7"/>
        <w:spacing w:line="430" w:lineRule="exact" w:before="138"/>
        <w:ind w:left="340"/>
        <w:jc w:val="left"/>
      </w:pPr>
      <w:r>
        <w:rPr/>
        <w:t>總結：</w:t>
      </w:r>
    </w:p>
    <w:p>
      <w:pPr>
        <w:pStyle w:val="ListParagraph"/>
        <w:numPr>
          <w:ilvl w:val="2"/>
          <w:numId w:val="145"/>
        </w:numPr>
        <w:tabs>
          <w:tab w:pos="852" w:val="left" w:leader="none"/>
        </w:tabs>
        <w:spacing w:line="422" w:lineRule="exact" w:before="0" w:after="0"/>
        <w:ind w:left="852" w:right="0" w:hanging="285"/>
        <w:jc w:val="left"/>
        <w:rPr>
          <w:sz w:val="24"/>
        </w:rPr>
      </w:pPr>
      <w:r>
        <w:rPr>
          <w:spacing w:val="2"/>
          <w:sz w:val="24"/>
        </w:rPr>
        <w:t>根據以上這些研究，治療 </w:t>
      </w:r>
      <w:r>
        <w:rPr>
          <w:sz w:val="24"/>
        </w:rPr>
        <w:t>XDR-TB</w:t>
      </w:r>
      <w:r>
        <w:rPr>
          <w:spacing w:val="3"/>
          <w:sz w:val="24"/>
        </w:rPr>
        <w:t> 個案</w:t>
      </w:r>
    </w:p>
    <w:p>
      <w:pPr>
        <w:pStyle w:val="ListParagraph"/>
        <w:numPr>
          <w:ilvl w:val="3"/>
          <w:numId w:val="145"/>
        </w:numPr>
        <w:tabs>
          <w:tab w:pos="1379" w:val="left" w:leader="none"/>
        </w:tabs>
        <w:spacing w:line="425" w:lineRule="exact" w:before="0" w:after="0"/>
        <w:ind w:left="1378" w:right="0" w:hanging="489"/>
        <w:jc w:val="left"/>
        <w:rPr>
          <w:sz w:val="24"/>
        </w:rPr>
      </w:pPr>
      <w:r>
        <w:rPr>
          <w:spacing w:val="2"/>
          <w:sz w:val="24"/>
        </w:rPr>
        <w:t>強烈建議考慮用上新藥如：</w:t>
      </w:r>
      <w:r>
        <w:rPr>
          <w:sz w:val="24"/>
        </w:rPr>
        <w:t>Pretomanid/DLM+CFZ</w:t>
      </w:r>
      <w:r>
        <w:rPr>
          <w:spacing w:val="1"/>
          <w:sz w:val="24"/>
        </w:rPr>
        <w:t> 為核心藥物。</w:t>
      </w:r>
    </w:p>
    <w:p>
      <w:pPr>
        <w:pStyle w:val="ListParagraph"/>
        <w:numPr>
          <w:ilvl w:val="3"/>
          <w:numId w:val="145"/>
        </w:numPr>
        <w:tabs>
          <w:tab w:pos="1379" w:val="left" w:leader="none"/>
        </w:tabs>
        <w:spacing w:line="426" w:lineRule="exact" w:before="0" w:after="0"/>
        <w:ind w:left="1378" w:right="0" w:hanging="489"/>
        <w:jc w:val="left"/>
        <w:rPr>
          <w:sz w:val="24"/>
        </w:rPr>
      </w:pPr>
      <w:r>
        <w:rPr>
          <w:spacing w:val="2"/>
          <w:sz w:val="24"/>
        </w:rPr>
        <w:t>使用有效的針劑，如 </w:t>
      </w:r>
      <w:r>
        <w:rPr>
          <w:sz w:val="24"/>
        </w:rPr>
        <w:t>amikacin</w:t>
      </w:r>
      <w:r>
        <w:rPr>
          <w:spacing w:val="3"/>
          <w:sz w:val="24"/>
        </w:rPr>
        <w:t> 或 </w:t>
      </w:r>
      <w:r>
        <w:rPr>
          <w:sz w:val="24"/>
        </w:rPr>
        <w:t>Streptomycin</w:t>
      </w:r>
    </w:p>
    <w:p>
      <w:pPr>
        <w:pStyle w:val="ListParagraph"/>
        <w:numPr>
          <w:ilvl w:val="3"/>
          <w:numId w:val="145"/>
        </w:numPr>
        <w:tabs>
          <w:tab w:pos="1379" w:val="left" w:leader="none"/>
        </w:tabs>
        <w:spacing w:line="426" w:lineRule="exact" w:before="0" w:after="0"/>
        <w:ind w:left="1378" w:right="0" w:hanging="489"/>
        <w:jc w:val="left"/>
        <w:rPr>
          <w:sz w:val="24"/>
        </w:rPr>
      </w:pPr>
      <w:r>
        <w:rPr>
          <w:spacing w:val="2"/>
          <w:sz w:val="24"/>
        </w:rPr>
        <w:t>考慮使用高劑量的 </w:t>
      </w:r>
      <w:r>
        <w:rPr>
          <w:sz w:val="24"/>
        </w:rPr>
        <w:t>MFX，</w:t>
      </w:r>
      <w:r>
        <w:rPr>
          <w:spacing w:val="2"/>
          <w:sz w:val="24"/>
        </w:rPr>
        <w:t>除非個案對於 </w:t>
      </w:r>
      <w:r>
        <w:rPr>
          <w:sz w:val="24"/>
        </w:rPr>
        <w:t>MFX</w:t>
      </w:r>
      <w:r>
        <w:rPr>
          <w:spacing w:val="3"/>
          <w:sz w:val="24"/>
        </w:rPr>
        <w:t> 有高濃度抗藥。</w:t>
      </w:r>
    </w:p>
    <w:p>
      <w:pPr>
        <w:pStyle w:val="ListParagraph"/>
        <w:numPr>
          <w:ilvl w:val="3"/>
          <w:numId w:val="145"/>
        </w:numPr>
        <w:tabs>
          <w:tab w:pos="1379" w:val="left" w:leader="none"/>
        </w:tabs>
        <w:spacing w:line="426" w:lineRule="exact" w:before="0" w:after="0"/>
        <w:ind w:left="1378" w:right="0" w:hanging="489"/>
        <w:jc w:val="left"/>
        <w:rPr>
          <w:sz w:val="24"/>
        </w:rPr>
      </w:pPr>
      <w:r>
        <w:rPr>
          <w:spacing w:val="2"/>
          <w:sz w:val="24"/>
        </w:rPr>
        <w:t>如果對 </w:t>
      </w:r>
      <w:r>
        <w:rPr>
          <w:sz w:val="24"/>
        </w:rPr>
        <w:t>INH</w:t>
      </w:r>
      <w:r>
        <w:rPr>
          <w:spacing w:val="2"/>
          <w:sz w:val="24"/>
        </w:rPr>
        <w:t> 低濃度抗藥，則考慮使用高劑量的 </w:t>
      </w:r>
      <w:r>
        <w:rPr>
          <w:sz w:val="24"/>
        </w:rPr>
        <w:t>INH。</w:t>
      </w:r>
    </w:p>
    <w:p>
      <w:pPr>
        <w:pStyle w:val="ListParagraph"/>
        <w:numPr>
          <w:ilvl w:val="3"/>
          <w:numId w:val="145"/>
        </w:numPr>
        <w:tabs>
          <w:tab w:pos="1379" w:val="left" w:leader="none"/>
        </w:tabs>
        <w:spacing w:line="426" w:lineRule="exact" w:before="0" w:after="0"/>
        <w:ind w:left="1378" w:right="0" w:hanging="489"/>
        <w:jc w:val="left"/>
        <w:rPr>
          <w:sz w:val="24"/>
        </w:rPr>
      </w:pPr>
      <w:r>
        <w:rPr>
          <w:spacing w:val="2"/>
          <w:sz w:val="24"/>
        </w:rPr>
        <w:t>可考慮加 </w:t>
      </w:r>
      <w:r>
        <w:rPr>
          <w:sz w:val="24"/>
        </w:rPr>
        <w:t>PZA</w:t>
      </w:r>
      <w:r>
        <w:rPr>
          <w:spacing w:val="4"/>
          <w:sz w:val="24"/>
        </w:rPr>
        <w:t> 及</w:t>
      </w:r>
      <w:r>
        <w:rPr>
          <w:sz w:val="24"/>
        </w:rPr>
        <w:t>/</w:t>
      </w:r>
      <w:r>
        <w:rPr>
          <w:spacing w:val="2"/>
          <w:sz w:val="24"/>
        </w:rPr>
        <w:t>或 </w:t>
      </w:r>
      <w:r>
        <w:rPr>
          <w:sz w:val="24"/>
        </w:rPr>
        <w:t>EMB。</w:t>
      </w:r>
    </w:p>
    <w:p>
      <w:pPr>
        <w:pStyle w:val="ListParagraph"/>
        <w:numPr>
          <w:ilvl w:val="3"/>
          <w:numId w:val="145"/>
        </w:numPr>
        <w:tabs>
          <w:tab w:pos="1379" w:val="left" w:leader="none"/>
        </w:tabs>
        <w:spacing w:line="232" w:lineRule="auto" w:before="2" w:after="0"/>
        <w:ind w:left="1378" w:right="2646" w:hanging="489"/>
        <w:jc w:val="left"/>
        <w:rPr>
          <w:sz w:val="24"/>
        </w:rPr>
      </w:pPr>
      <w:r>
        <w:rPr>
          <w:spacing w:val="7"/>
          <w:sz w:val="24"/>
        </w:rPr>
        <w:t>可考慮 </w:t>
      </w:r>
      <w:r>
        <w:rPr>
          <w:sz w:val="24"/>
        </w:rPr>
        <w:t>Meropenem(MPM</w:t>
      </w:r>
      <w:r>
        <w:rPr>
          <w:spacing w:val="5"/>
          <w:sz w:val="24"/>
        </w:rPr>
        <w:t>)或是 </w:t>
      </w:r>
      <w:r>
        <w:rPr>
          <w:sz w:val="24"/>
        </w:rPr>
        <w:t>imipenem(IPM</w:t>
      </w:r>
      <w:r>
        <w:rPr>
          <w:spacing w:val="5"/>
          <w:sz w:val="24"/>
        </w:rPr>
        <w:t>)加上 </w:t>
      </w:r>
      <w:r>
        <w:rPr>
          <w:sz w:val="24"/>
        </w:rPr>
        <w:t>Amoxicillin- </w:t>
      </w:r>
      <w:r>
        <w:rPr>
          <w:spacing w:val="-3"/>
          <w:sz w:val="24"/>
        </w:rPr>
        <w:t>clavulanate</w:t>
      </w:r>
      <w:r>
        <w:rPr>
          <w:sz w:val="24"/>
        </w:rPr>
        <w:t>。</w:t>
      </w:r>
    </w:p>
    <w:p>
      <w:pPr>
        <w:pStyle w:val="ListParagraph"/>
        <w:numPr>
          <w:ilvl w:val="2"/>
          <w:numId w:val="145"/>
        </w:numPr>
        <w:tabs>
          <w:tab w:pos="852" w:val="left" w:leader="none"/>
        </w:tabs>
        <w:spacing w:line="240" w:lineRule="auto" w:before="14" w:after="0"/>
        <w:ind w:left="852" w:right="0" w:hanging="285"/>
        <w:jc w:val="left"/>
        <w:rPr>
          <w:sz w:val="24"/>
        </w:rPr>
      </w:pPr>
      <w:r>
        <w:rPr>
          <w:spacing w:val="2"/>
          <w:sz w:val="24"/>
        </w:rPr>
        <w:t>整個治療過程的管理都應於 </w:t>
      </w:r>
      <w:r>
        <w:rPr>
          <w:sz w:val="24"/>
        </w:rPr>
        <w:t>DR-TB</w:t>
      </w:r>
      <w:r>
        <w:rPr>
          <w:spacing w:val="3"/>
          <w:sz w:val="24"/>
        </w:rPr>
        <w:t> 治療團隊中進行</w:t>
      </w:r>
    </w:p>
    <w:p>
      <w:pPr>
        <w:pStyle w:val="BodyText"/>
        <w:spacing w:before="2"/>
        <w:rPr>
          <w:sz w:val="18"/>
        </w:rPr>
      </w:pPr>
    </w:p>
    <w:p>
      <w:pPr>
        <w:pStyle w:val="Heading6"/>
        <w:numPr>
          <w:ilvl w:val="1"/>
          <w:numId w:val="145"/>
        </w:numPr>
        <w:tabs>
          <w:tab w:pos="976" w:val="left" w:leader="none"/>
        </w:tabs>
        <w:spacing w:line="240" w:lineRule="auto" w:before="0" w:after="0"/>
        <w:ind w:left="975" w:right="0" w:hanging="636"/>
        <w:jc w:val="left"/>
      </w:pPr>
      <w:bookmarkStart w:name="12.7 藥物說明(依WHO 2020抗藥性藥物分類)" w:id="150"/>
      <w:bookmarkEnd w:id="150"/>
      <w:r>
        <w:rPr>
          <w:b w:val="0"/>
        </w:rPr>
      </w:r>
      <w:bookmarkStart w:name="12.7 藥物說明(依WHO 2020抗藥性藥物分類)" w:id="151"/>
      <w:bookmarkEnd w:id="151"/>
      <w:r>
        <w:rPr>
          <w:spacing w:val="1"/>
        </w:rPr>
        <w:t>藥物說明(依 </w:t>
      </w:r>
      <w:r>
        <w:rPr/>
        <w:t>WHO</w:t>
      </w:r>
      <w:r>
        <w:rPr>
          <w:spacing w:val="5"/>
        </w:rPr>
        <w:t> </w:t>
      </w:r>
      <w:r>
        <w:rPr/>
        <w:t>2020</w:t>
      </w:r>
      <w:r>
        <w:rPr>
          <w:spacing w:val="2"/>
        </w:rPr>
        <w:t> 抗藥性藥物分類)</w:t>
      </w:r>
    </w:p>
    <w:p>
      <w:pPr>
        <w:pStyle w:val="Heading7"/>
        <w:numPr>
          <w:ilvl w:val="2"/>
          <w:numId w:val="161"/>
        </w:numPr>
        <w:tabs>
          <w:tab w:pos="1444" w:val="left" w:leader="none"/>
        </w:tabs>
        <w:spacing w:line="240" w:lineRule="auto" w:before="42" w:after="0"/>
        <w:ind w:left="1443" w:right="0" w:hanging="884"/>
        <w:jc w:val="left"/>
      </w:pPr>
      <w:r>
        <w:rPr/>
        <w:t>Group</w:t>
      </w:r>
      <w:r>
        <w:rPr>
          <w:spacing w:val="3"/>
        </w:rPr>
        <w:t> </w:t>
      </w:r>
      <w:r>
        <w:rPr/>
        <w:t>A</w:t>
      </w:r>
      <w:r>
        <w:rPr>
          <w:spacing w:val="1"/>
        </w:rPr>
        <w:t>. 使用全部三種藥物</w:t>
      </w:r>
    </w:p>
    <w:p>
      <w:pPr>
        <w:pStyle w:val="BodyText"/>
        <w:tabs>
          <w:tab w:pos="3712" w:val="left" w:leader="none"/>
        </w:tabs>
        <w:spacing w:line="425" w:lineRule="exact" w:before="39"/>
        <w:ind w:left="1913"/>
      </w:pPr>
      <w:r>
        <w:rPr/>
        <w:t>Levofloxacin</w:t>
        <w:tab/>
        <w:t>(LFX) 750-1000mg qd(Max:</w:t>
      </w:r>
      <w:r>
        <w:rPr>
          <w:spacing w:val="11"/>
        </w:rPr>
        <w:t> </w:t>
      </w:r>
      <w:r>
        <w:rPr/>
        <w:t>1.5gm)</w:t>
      </w:r>
    </w:p>
    <w:p>
      <w:pPr>
        <w:pStyle w:val="BodyText"/>
        <w:spacing w:line="425" w:lineRule="exact"/>
        <w:ind w:left="1539" w:right="4864"/>
        <w:jc w:val="center"/>
      </w:pPr>
      <w:r>
        <w:rPr/>
        <w:t>OR</w:t>
      </w:r>
    </w:p>
    <w:p>
      <w:pPr>
        <w:pStyle w:val="BodyText"/>
        <w:tabs>
          <w:tab w:pos="3743" w:val="left" w:leader="none"/>
          <w:tab w:pos="4664" w:val="left" w:leader="none"/>
        </w:tabs>
        <w:spacing w:before="6"/>
        <w:ind w:left="1913"/>
      </w:pPr>
      <w:r>
        <w:rPr/>
        <w:t>Moxifloxacin</w:t>
        <w:tab/>
        <w:t>(MFX)</w:t>
        <w:tab/>
        <w:t>400-(600-800mg)</w:t>
      </w:r>
      <w:r>
        <w:rPr>
          <w:spacing w:val="3"/>
        </w:rPr>
        <w:t> </w:t>
      </w:r>
      <w:r>
        <w:rPr/>
        <w:t>qd</w:t>
      </w:r>
    </w:p>
    <w:p>
      <w:pPr>
        <w:pStyle w:val="BodyText"/>
        <w:tabs>
          <w:tab w:pos="3765" w:val="left" w:leader="none"/>
          <w:tab w:pos="4825" w:val="left" w:leader="none"/>
        </w:tabs>
        <w:spacing w:before="101"/>
        <w:ind w:left="1913"/>
      </w:pPr>
      <w:r>
        <w:rPr/>
        <w:t>Bedaquiline</w:t>
        <w:tab/>
        <w:t>(BDQ)</w:t>
        <w:tab/>
        <w:t>400mg</w:t>
      </w:r>
      <w:r>
        <w:rPr>
          <w:spacing w:val="3"/>
        </w:rPr>
        <w:t> </w:t>
      </w:r>
      <w:r>
        <w:rPr/>
        <w:t>qd</w:t>
      </w:r>
      <w:r>
        <w:rPr>
          <w:spacing w:val="3"/>
        </w:rPr>
        <w:t> </w:t>
      </w:r>
      <w:r>
        <w:rPr/>
        <w:t>2</w:t>
      </w:r>
      <w:r>
        <w:rPr>
          <w:spacing w:val="2"/>
        </w:rPr>
        <w:t> 週，之後改為 </w:t>
      </w:r>
      <w:r>
        <w:rPr/>
        <w:t>200mg</w:t>
      </w:r>
      <w:r>
        <w:rPr>
          <w:spacing w:val="3"/>
        </w:rPr>
        <w:t> 一週三次</w:t>
      </w:r>
    </w:p>
    <w:p>
      <w:pPr>
        <w:spacing w:after="0"/>
        <w:sectPr>
          <w:pgSz w:w="12250" w:h="17190"/>
          <w:pgMar w:header="0" w:footer="734" w:top="1460" w:bottom="1020" w:left="1020" w:right="0"/>
        </w:sectPr>
      </w:pPr>
    </w:p>
    <w:p>
      <w:pPr>
        <w:pStyle w:val="BodyText"/>
        <w:tabs>
          <w:tab w:pos="3766" w:val="left" w:leader="none"/>
        </w:tabs>
        <w:spacing w:before="25"/>
        <w:ind w:left="1913"/>
        <w:jc w:val="both"/>
      </w:pPr>
      <w:r>
        <w:rPr/>
        <w:t>Linezolid</w:t>
        <w:tab/>
        <w:t>(LZD)</w:t>
      </w:r>
      <w:r>
        <w:rPr>
          <w:spacing w:val="11"/>
        </w:rPr>
        <w:t> </w:t>
      </w:r>
      <w:r>
        <w:rPr/>
        <w:t>300~600mg/day</w:t>
      </w:r>
    </w:p>
    <w:p>
      <w:pPr>
        <w:pStyle w:val="ListParagraph"/>
        <w:numPr>
          <w:ilvl w:val="3"/>
          <w:numId w:val="161"/>
        </w:numPr>
        <w:tabs>
          <w:tab w:pos="1858" w:val="left" w:leader="none"/>
        </w:tabs>
        <w:spacing w:line="228" w:lineRule="auto" w:before="113" w:after="0"/>
        <w:ind w:left="1857" w:right="1358" w:hanging="329"/>
        <w:jc w:val="both"/>
        <w:rPr>
          <w:sz w:val="24"/>
        </w:rPr>
      </w:pPr>
      <w:r>
        <w:rPr>
          <w:spacing w:val="12"/>
          <w:sz w:val="24"/>
        </w:rPr>
        <w:t>新一代的 </w:t>
      </w:r>
      <w:r>
        <w:rPr>
          <w:sz w:val="24"/>
        </w:rPr>
        <w:t>fluoroquinolones</w:t>
      </w:r>
      <w:r>
        <w:rPr>
          <w:spacing w:val="8"/>
          <w:sz w:val="24"/>
        </w:rPr>
        <w:t>(高劑量的 </w:t>
      </w:r>
      <w:r>
        <w:rPr>
          <w:sz w:val="24"/>
        </w:rPr>
        <w:t>levofloxacin</w:t>
      </w:r>
      <w:r>
        <w:rPr>
          <w:spacing w:val="34"/>
          <w:sz w:val="24"/>
        </w:rPr>
        <w:t> 與 </w:t>
      </w:r>
      <w:r>
        <w:rPr>
          <w:sz w:val="24"/>
        </w:rPr>
        <w:t>moxifloxacin</w:t>
      </w:r>
      <w:r>
        <w:rPr>
          <w:spacing w:val="2"/>
          <w:sz w:val="24"/>
        </w:rPr>
        <w:t>)是治</w:t>
      </w:r>
      <w:r>
        <w:rPr>
          <w:spacing w:val="26"/>
          <w:sz w:val="24"/>
        </w:rPr>
        <w:t>療 </w:t>
      </w:r>
      <w:r>
        <w:rPr>
          <w:sz w:val="24"/>
        </w:rPr>
        <w:t>MDR-TB</w:t>
      </w:r>
      <w:r>
        <w:rPr>
          <w:spacing w:val="3"/>
          <w:sz w:val="24"/>
        </w:rPr>
        <w:t> 中最重要的成份。孩童也可以使用此類藥物。</w:t>
      </w:r>
      <w:r>
        <w:rPr>
          <w:sz w:val="24"/>
        </w:rPr>
        <w:t>WHO</w:t>
      </w:r>
      <w:r>
        <w:rPr>
          <w:spacing w:val="12"/>
          <w:sz w:val="24"/>
        </w:rPr>
        <w:t> 建議使用</w:t>
      </w:r>
      <w:r>
        <w:rPr>
          <w:spacing w:val="2"/>
          <w:sz w:val="24"/>
        </w:rPr>
        <w:t>順序為高劑量的 </w:t>
      </w:r>
      <w:r>
        <w:rPr>
          <w:sz w:val="24"/>
        </w:rPr>
        <w:t>levofloxacin</w:t>
      </w:r>
      <w:r>
        <w:rPr>
          <w:spacing w:val="2"/>
          <w:sz w:val="24"/>
        </w:rPr>
        <w:t>, </w:t>
      </w:r>
      <w:r>
        <w:rPr>
          <w:sz w:val="24"/>
        </w:rPr>
        <w:t>moxifloxacin。</w:t>
      </w:r>
    </w:p>
    <w:p>
      <w:pPr>
        <w:pStyle w:val="ListParagraph"/>
        <w:numPr>
          <w:ilvl w:val="4"/>
          <w:numId w:val="161"/>
        </w:numPr>
        <w:tabs>
          <w:tab w:pos="2369" w:val="left" w:leader="none"/>
        </w:tabs>
        <w:spacing w:line="417" w:lineRule="exact" w:before="0" w:after="0"/>
        <w:ind w:left="2368" w:right="0" w:hanging="489"/>
        <w:jc w:val="both"/>
        <w:rPr>
          <w:sz w:val="24"/>
        </w:rPr>
      </w:pPr>
      <w:r>
        <w:rPr>
          <w:sz w:val="24"/>
        </w:rPr>
        <w:t>WHO</w:t>
      </w:r>
      <w:r>
        <w:rPr>
          <w:spacing w:val="2"/>
          <w:sz w:val="24"/>
        </w:rPr>
        <w:t> 建議應納入 </w:t>
      </w:r>
      <w:r>
        <w:rPr>
          <w:sz w:val="24"/>
        </w:rPr>
        <w:t>Group</w:t>
      </w:r>
      <w:r>
        <w:rPr>
          <w:spacing w:val="2"/>
          <w:sz w:val="24"/>
        </w:rPr>
        <w:t> </w:t>
      </w:r>
      <w:r>
        <w:rPr>
          <w:sz w:val="24"/>
        </w:rPr>
        <w:t>A</w:t>
      </w:r>
      <w:r>
        <w:rPr>
          <w:spacing w:val="2"/>
          <w:sz w:val="24"/>
        </w:rPr>
        <w:t> 所有藥物，除非有相關禁忌症。</w:t>
      </w:r>
    </w:p>
    <w:p>
      <w:pPr>
        <w:pStyle w:val="ListParagraph"/>
        <w:numPr>
          <w:ilvl w:val="4"/>
          <w:numId w:val="161"/>
        </w:numPr>
        <w:tabs>
          <w:tab w:pos="2369" w:val="left" w:leader="none"/>
        </w:tabs>
        <w:spacing w:line="420" w:lineRule="exact" w:before="0" w:after="0"/>
        <w:ind w:left="2368" w:right="0" w:hanging="489"/>
        <w:jc w:val="both"/>
        <w:rPr>
          <w:sz w:val="24"/>
        </w:rPr>
      </w:pPr>
      <w:r>
        <w:rPr>
          <w:spacing w:val="6"/>
          <w:sz w:val="24"/>
        </w:rPr>
        <w:t>兩件回溯性研究中發現，用</w:t>
      </w:r>
      <w:r>
        <w:rPr>
          <w:sz w:val="24"/>
        </w:rPr>
        <w:t>LFX</w:t>
      </w:r>
      <w:r>
        <w:rPr>
          <w:spacing w:val="-6"/>
          <w:sz w:val="24"/>
        </w:rPr>
        <w:t> (</w:t>
      </w:r>
      <w:r>
        <w:rPr>
          <w:sz w:val="24"/>
        </w:rPr>
        <w:t>500-1000mg/day)</w:t>
      </w:r>
      <w:r>
        <w:rPr>
          <w:spacing w:val="25"/>
          <w:sz w:val="24"/>
        </w:rPr>
        <w:t>或是</w:t>
      </w:r>
      <w:r>
        <w:rPr>
          <w:sz w:val="24"/>
        </w:rPr>
        <w:t>MFX(400mg</w:t>
      </w:r>
    </w:p>
    <w:p>
      <w:pPr>
        <w:pStyle w:val="BodyText"/>
        <w:spacing w:line="420" w:lineRule="exact"/>
        <w:ind w:left="2368"/>
        <w:jc w:val="both"/>
      </w:pPr>
      <w:r>
        <w:rPr/>
        <w:t>/day)治療 MDR-TB 病人有相同的治療成功結果。</w:t>
      </w:r>
    </w:p>
    <w:p>
      <w:pPr>
        <w:pStyle w:val="ListParagraph"/>
        <w:numPr>
          <w:ilvl w:val="4"/>
          <w:numId w:val="161"/>
        </w:numPr>
        <w:tabs>
          <w:tab w:pos="2369" w:val="left" w:leader="none"/>
        </w:tabs>
        <w:spacing w:line="228" w:lineRule="auto" w:before="6" w:after="0"/>
        <w:ind w:left="2368" w:right="1350" w:hanging="489"/>
        <w:jc w:val="both"/>
        <w:rPr>
          <w:sz w:val="24"/>
        </w:rPr>
      </w:pPr>
      <w:r>
        <w:rPr>
          <w:sz w:val="24"/>
        </w:rPr>
        <w:t>Koh</w:t>
      </w:r>
      <w:r>
        <w:rPr>
          <w:spacing w:val="1"/>
          <w:sz w:val="24"/>
        </w:rPr>
        <w:t> 等作者在 </w:t>
      </w:r>
      <w:r>
        <w:rPr>
          <w:sz w:val="24"/>
        </w:rPr>
        <w:t>2010</w:t>
      </w:r>
      <w:r>
        <w:rPr>
          <w:spacing w:val="1"/>
          <w:sz w:val="24"/>
        </w:rPr>
        <w:t> 年執行的隨機開放性研究發現，以 </w:t>
      </w:r>
      <w:r>
        <w:rPr>
          <w:sz w:val="24"/>
        </w:rPr>
        <w:t>LFX</w:t>
      </w:r>
      <w:r>
        <w:rPr>
          <w:spacing w:val="-4"/>
          <w:sz w:val="24"/>
        </w:rPr>
        <w:t> (</w:t>
      </w:r>
      <w:r>
        <w:rPr>
          <w:sz w:val="24"/>
        </w:rPr>
        <w:t>500-1000 mg/day</w:t>
      </w:r>
      <w:r>
        <w:rPr>
          <w:spacing w:val="6"/>
          <w:sz w:val="24"/>
        </w:rPr>
        <w:t>) 或是 </w:t>
      </w:r>
      <w:r>
        <w:rPr>
          <w:sz w:val="24"/>
        </w:rPr>
        <w:t>MFX</w:t>
      </w:r>
      <w:r>
        <w:rPr>
          <w:spacing w:val="18"/>
          <w:sz w:val="24"/>
        </w:rPr>
        <w:t> (</w:t>
      </w:r>
      <w:r>
        <w:rPr>
          <w:sz w:val="24"/>
        </w:rPr>
        <w:t>400mg/day</w:t>
      </w:r>
      <w:r>
        <w:rPr>
          <w:spacing w:val="5"/>
          <w:sz w:val="24"/>
        </w:rPr>
        <w:t>)治療三個月後，有一樣的痰液陰轉</w:t>
      </w:r>
      <w:r>
        <w:rPr>
          <w:sz w:val="24"/>
        </w:rPr>
        <w:t>率。</w:t>
      </w:r>
    </w:p>
    <w:p>
      <w:pPr>
        <w:pStyle w:val="ListParagraph"/>
        <w:numPr>
          <w:ilvl w:val="3"/>
          <w:numId w:val="161"/>
        </w:numPr>
        <w:tabs>
          <w:tab w:pos="1858" w:val="left" w:leader="none"/>
        </w:tabs>
        <w:spacing w:line="225" w:lineRule="auto" w:before="121" w:after="0"/>
        <w:ind w:left="1857" w:right="1358" w:hanging="329"/>
        <w:jc w:val="both"/>
        <w:rPr>
          <w:sz w:val="24"/>
        </w:rPr>
      </w:pPr>
      <w:r>
        <w:rPr>
          <w:sz w:val="24"/>
        </w:rPr>
        <w:t>當需要達到治療濃度時，曾經安全使用了高達 1,250</w:t>
      </w:r>
      <w:r>
        <w:rPr>
          <w:spacing w:val="-8"/>
          <w:sz w:val="24"/>
        </w:rPr>
        <w:t> </w:t>
      </w:r>
      <w:r>
        <w:rPr>
          <w:sz w:val="24"/>
        </w:rPr>
        <w:t>mg</w:t>
      </w:r>
      <w:r>
        <w:rPr>
          <w:spacing w:val="5"/>
          <w:sz w:val="24"/>
        </w:rPr>
        <w:t> 的 </w:t>
      </w:r>
      <w:r>
        <w:rPr>
          <w:sz w:val="24"/>
        </w:rPr>
        <w:t>levofloxacin</w:t>
      </w:r>
      <w:r>
        <w:rPr>
          <w:spacing w:val="4"/>
          <w:sz w:val="24"/>
        </w:rPr>
        <w:t> 劑量。潛在的藥物副作用可能會影響 </w:t>
      </w:r>
      <w:r>
        <w:rPr>
          <w:sz w:val="24"/>
        </w:rPr>
        <w:t>fluoroquinolones</w:t>
      </w:r>
      <w:r>
        <w:rPr>
          <w:spacing w:val="4"/>
          <w:sz w:val="24"/>
        </w:rPr>
        <w:t> 藥物的選擇。考慮因</w:t>
      </w:r>
      <w:r>
        <w:rPr>
          <w:spacing w:val="3"/>
          <w:sz w:val="24"/>
        </w:rPr>
        <w:t>素包含：</w:t>
      </w:r>
    </w:p>
    <w:p>
      <w:pPr>
        <w:pStyle w:val="ListParagraph"/>
        <w:numPr>
          <w:ilvl w:val="1"/>
          <w:numId w:val="162"/>
        </w:numPr>
        <w:tabs>
          <w:tab w:pos="2369" w:val="left" w:leader="none"/>
        </w:tabs>
        <w:spacing w:line="228" w:lineRule="auto" w:before="2" w:after="0"/>
        <w:ind w:left="2368" w:right="1355" w:hanging="489"/>
        <w:jc w:val="both"/>
        <w:rPr>
          <w:sz w:val="24"/>
        </w:rPr>
      </w:pPr>
      <w:r>
        <w:rPr>
          <w:sz w:val="24"/>
        </w:rPr>
        <w:t>LFX</w:t>
      </w:r>
      <w:r>
        <w:rPr>
          <w:spacing w:val="3"/>
          <w:sz w:val="24"/>
        </w:rPr>
        <w:t> 對於 </w:t>
      </w:r>
      <w:r>
        <w:rPr>
          <w:sz w:val="24"/>
        </w:rPr>
        <w:t>QT</w:t>
      </w:r>
      <w:r>
        <w:rPr>
          <w:spacing w:val="3"/>
          <w:sz w:val="24"/>
        </w:rPr>
        <w:t> </w:t>
      </w:r>
      <w:r>
        <w:rPr>
          <w:sz w:val="24"/>
        </w:rPr>
        <w:t>interval</w:t>
      </w:r>
      <w:r>
        <w:rPr>
          <w:spacing w:val="3"/>
          <w:sz w:val="24"/>
        </w:rPr>
        <w:t> 影響可能比 </w:t>
      </w:r>
      <w:r>
        <w:rPr>
          <w:sz w:val="24"/>
        </w:rPr>
        <w:t>MFX</w:t>
      </w:r>
      <w:r>
        <w:rPr>
          <w:spacing w:val="2"/>
          <w:sz w:val="24"/>
        </w:rPr>
        <w:t> 少，對於有 </w:t>
      </w:r>
      <w:r>
        <w:rPr>
          <w:sz w:val="24"/>
        </w:rPr>
        <w:t>QT</w:t>
      </w:r>
      <w:r>
        <w:rPr>
          <w:spacing w:val="2"/>
          <w:sz w:val="24"/>
        </w:rPr>
        <w:t> </w:t>
      </w:r>
      <w:r>
        <w:rPr>
          <w:sz w:val="24"/>
        </w:rPr>
        <w:t>interval</w:t>
      </w:r>
      <w:r>
        <w:rPr>
          <w:spacing w:val="3"/>
          <w:sz w:val="24"/>
        </w:rPr>
        <w:t> 延長疑</w:t>
      </w:r>
      <w:r>
        <w:rPr>
          <w:spacing w:val="4"/>
          <w:sz w:val="24"/>
        </w:rPr>
        <w:t>慮的個案(如服用 </w:t>
      </w:r>
      <w:r>
        <w:rPr>
          <w:sz w:val="24"/>
        </w:rPr>
        <w:t>CFZ</w:t>
      </w:r>
      <w:r>
        <w:rPr>
          <w:spacing w:val="21"/>
          <w:sz w:val="24"/>
        </w:rPr>
        <w:t> 與 </w:t>
      </w:r>
      <w:r>
        <w:rPr>
          <w:sz w:val="24"/>
        </w:rPr>
        <w:t>BDQ</w:t>
      </w:r>
      <w:r>
        <w:rPr>
          <w:spacing w:val="6"/>
          <w:sz w:val="24"/>
        </w:rPr>
        <w:t>)可考慮選擇 </w:t>
      </w:r>
      <w:r>
        <w:rPr>
          <w:sz w:val="24"/>
        </w:rPr>
        <w:t>LFX</w:t>
      </w:r>
      <w:r>
        <w:rPr>
          <w:spacing w:val="4"/>
          <w:sz w:val="24"/>
        </w:rPr>
        <w:t>。</w:t>
      </w:r>
      <w:r>
        <w:rPr>
          <w:sz w:val="24"/>
        </w:rPr>
        <w:t>LFX</w:t>
      </w:r>
      <w:r>
        <w:rPr>
          <w:spacing w:val="5"/>
          <w:sz w:val="24"/>
        </w:rPr>
        <w:t> 對於腎臟功能受</w:t>
      </w:r>
      <w:r>
        <w:rPr>
          <w:spacing w:val="4"/>
          <w:sz w:val="24"/>
        </w:rPr>
        <w:t>損(</w:t>
      </w:r>
      <w:r>
        <w:rPr>
          <w:sz w:val="24"/>
        </w:rPr>
        <w:t>renal</w:t>
      </w:r>
      <w:r>
        <w:rPr>
          <w:spacing w:val="43"/>
          <w:sz w:val="24"/>
        </w:rPr>
        <w:t> </w:t>
      </w:r>
      <w:r>
        <w:rPr>
          <w:sz w:val="24"/>
        </w:rPr>
        <w:t>impairment</w:t>
      </w:r>
      <w:r>
        <w:rPr>
          <w:spacing w:val="5"/>
          <w:sz w:val="24"/>
        </w:rPr>
        <w:t>)的病人有調整劑量的必要性</w:t>
      </w:r>
      <w:r>
        <w:rPr>
          <w:spacing w:val="8"/>
          <w:sz w:val="24"/>
        </w:rPr>
        <w:t>（</w:t>
      </w:r>
      <w:r>
        <w:rPr>
          <w:spacing w:val="7"/>
          <w:sz w:val="24"/>
        </w:rPr>
        <w:t>如果 </w:t>
      </w:r>
      <w:r>
        <w:rPr>
          <w:sz w:val="24"/>
        </w:rPr>
        <w:t>Ccr</w:t>
      </w:r>
      <w:r>
        <w:rPr>
          <w:spacing w:val="9"/>
          <w:sz w:val="24"/>
        </w:rPr>
        <w:t> 清除率</w:t>
      </w:r>
    </w:p>
    <w:p>
      <w:pPr>
        <w:pStyle w:val="BodyText"/>
        <w:spacing w:line="417" w:lineRule="exact"/>
        <w:ind w:left="2368"/>
      </w:pPr>
      <w:r>
        <w:rPr/>
        <w:t>&lt;30mL/min），但對有肝臟疾病的病人基本上可能是安全的。</w:t>
      </w:r>
    </w:p>
    <w:p>
      <w:pPr>
        <w:pStyle w:val="ListParagraph"/>
        <w:numPr>
          <w:ilvl w:val="1"/>
          <w:numId w:val="162"/>
        </w:numPr>
        <w:tabs>
          <w:tab w:pos="2369" w:val="left" w:leader="none"/>
        </w:tabs>
        <w:spacing w:line="228" w:lineRule="auto" w:before="5" w:after="0"/>
        <w:ind w:left="2368" w:right="1357" w:hanging="489"/>
        <w:jc w:val="left"/>
        <w:rPr>
          <w:sz w:val="24"/>
        </w:rPr>
      </w:pPr>
      <w:r>
        <w:rPr>
          <w:sz w:val="24"/>
        </w:rPr>
        <w:t>MFX</w:t>
      </w:r>
      <w:r>
        <w:rPr>
          <w:spacing w:val="4"/>
          <w:sz w:val="24"/>
        </w:rPr>
        <w:t> 對於腎臟功能受損的病人沒有調整劑量的必要，但是跟肝毒性有</w:t>
      </w:r>
      <w:r>
        <w:rPr>
          <w:spacing w:val="3"/>
          <w:sz w:val="24"/>
        </w:rPr>
        <w:t>關聯，因此有肝臟疾病的病人要小心使用。</w:t>
      </w:r>
    </w:p>
    <w:p>
      <w:pPr>
        <w:pStyle w:val="ListParagraph"/>
        <w:numPr>
          <w:ilvl w:val="3"/>
          <w:numId w:val="161"/>
        </w:numPr>
        <w:tabs>
          <w:tab w:pos="1895" w:val="left" w:leader="none"/>
        </w:tabs>
        <w:spacing w:line="225" w:lineRule="auto" w:before="72" w:after="0"/>
        <w:ind w:left="1894" w:right="1357" w:hanging="366"/>
        <w:jc w:val="both"/>
        <w:rPr>
          <w:sz w:val="24"/>
        </w:rPr>
      </w:pPr>
      <w:r>
        <w:rPr>
          <w:sz w:val="24"/>
        </w:rPr>
        <w:t>BDQ</w:t>
      </w:r>
      <w:r>
        <w:rPr>
          <w:spacing w:val="6"/>
          <w:sz w:val="24"/>
        </w:rPr>
        <w:t> 是 </w:t>
      </w:r>
      <w:r>
        <w:rPr>
          <w:sz w:val="24"/>
        </w:rPr>
        <w:t>diarylquinoline</w:t>
      </w:r>
      <w:r>
        <w:rPr>
          <w:spacing w:val="-5"/>
          <w:sz w:val="24"/>
        </w:rPr>
        <w:t> 藥，無論是在體內或是體外對抗結核分枝桿菌都有</w:t>
      </w:r>
      <w:r>
        <w:rPr>
          <w:spacing w:val="-6"/>
          <w:sz w:val="24"/>
        </w:rPr>
        <w:t>很顯著的效果。世界衛生組織與美國疾病管制及預防中心根據以下臨床研究</w:t>
      </w:r>
      <w:r>
        <w:rPr>
          <w:sz w:val="24"/>
        </w:rPr>
        <w:t>發佈 BDQ</w:t>
      </w:r>
      <w:r>
        <w:rPr>
          <w:spacing w:val="2"/>
          <w:sz w:val="24"/>
        </w:rPr>
        <w:t> 用於治療 </w:t>
      </w:r>
      <w:r>
        <w:rPr>
          <w:sz w:val="24"/>
        </w:rPr>
        <w:t>MDR-TB</w:t>
      </w:r>
      <w:r>
        <w:rPr>
          <w:spacing w:val="2"/>
          <w:sz w:val="24"/>
        </w:rPr>
        <w:t> 及 </w:t>
      </w:r>
      <w:r>
        <w:rPr>
          <w:sz w:val="24"/>
        </w:rPr>
        <w:t>XDR-TB</w:t>
      </w:r>
      <w:r>
        <w:rPr>
          <w:spacing w:val="2"/>
          <w:sz w:val="24"/>
        </w:rPr>
        <w:t> 的治療規範：</w:t>
      </w:r>
    </w:p>
    <w:p>
      <w:pPr>
        <w:pStyle w:val="ListParagraph"/>
        <w:numPr>
          <w:ilvl w:val="1"/>
          <w:numId w:val="163"/>
        </w:numPr>
        <w:tabs>
          <w:tab w:pos="2369" w:val="left" w:leader="none"/>
        </w:tabs>
        <w:spacing w:line="225" w:lineRule="auto" w:before="10" w:after="0"/>
        <w:ind w:left="2368" w:right="1362" w:hanging="489"/>
        <w:jc w:val="both"/>
        <w:rPr>
          <w:sz w:val="24"/>
        </w:rPr>
      </w:pPr>
      <w:r>
        <w:rPr>
          <w:spacing w:val="3"/>
          <w:sz w:val="24"/>
        </w:rPr>
        <w:t>已執行三個 </w:t>
      </w:r>
      <w:r>
        <w:rPr>
          <w:sz w:val="24"/>
        </w:rPr>
        <w:t>Phase</w:t>
      </w:r>
      <w:r>
        <w:rPr>
          <w:spacing w:val="4"/>
          <w:sz w:val="24"/>
        </w:rPr>
        <w:t> </w:t>
      </w:r>
      <w:r>
        <w:rPr>
          <w:sz w:val="24"/>
        </w:rPr>
        <w:t>IIb</w:t>
      </w:r>
      <w:r>
        <w:rPr>
          <w:spacing w:val="2"/>
          <w:sz w:val="24"/>
        </w:rPr>
        <w:t> 的藥物效力研究，其中兩個是隨機以安慰劑作為</w:t>
      </w:r>
      <w:r>
        <w:rPr>
          <w:spacing w:val="3"/>
          <w:sz w:val="24"/>
        </w:rPr>
        <w:t>對照組的臨床試驗，另一個是無對照組的單臂開放式臨床試驗。</w:t>
      </w:r>
    </w:p>
    <w:p>
      <w:pPr>
        <w:pStyle w:val="ListParagraph"/>
        <w:numPr>
          <w:ilvl w:val="1"/>
          <w:numId w:val="163"/>
        </w:numPr>
        <w:tabs>
          <w:tab w:pos="2369" w:val="left" w:leader="none"/>
        </w:tabs>
        <w:spacing w:line="425" w:lineRule="exact" w:before="0" w:after="0"/>
        <w:ind w:left="2368" w:right="0" w:hanging="489"/>
        <w:jc w:val="both"/>
        <w:rPr>
          <w:sz w:val="24"/>
        </w:rPr>
      </w:pPr>
      <w:r>
        <w:rPr>
          <w:spacing w:val="2"/>
          <w:sz w:val="24"/>
        </w:rPr>
        <w:t>服用 </w:t>
      </w:r>
      <w:r>
        <w:rPr>
          <w:sz w:val="24"/>
        </w:rPr>
        <w:t>BDQ</w:t>
      </w:r>
      <w:r>
        <w:rPr>
          <w:spacing w:val="2"/>
          <w:sz w:val="24"/>
        </w:rPr>
        <w:t> 組的 </w:t>
      </w:r>
      <w:r>
        <w:rPr>
          <w:sz w:val="24"/>
        </w:rPr>
        <w:t>8</w:t>
      </w:r>
      <w:r>
        <w:rPr>
          <w:spacing w:val="2"/>
          <w:sz w:val="24"/>
        </w:rPr>
        <w:t> 週與 </w:t>
      </w:r>
      <w:r>
        <w:rPr>
          <w:sz w:val="24"/>
        </w:rPr>
        <w:t>24</w:t>
      </w:r>
      <w:r>
        <w:rPr>
          <w:spacing w:val="3"/>
          <w:sz w:val="24"/>
        </w:rPr>
        <w:t> 週的痰液培養陰轉率高於安慰劑組。</w:t>
      </w:r>
    </w:p>
    <w:p>
      <w:pPr>
        <w:pStyle w:val="ListParagraph"/>
        <w:numPr>
          <w:ilvl w:val="1"/>
          <w:numId w:val="163"/>
        </w:numPr>
        <w:tabs>
          <w:tab w:pos="2369" w:val="left" w:leader="none"/>
        </w:tabs>
        <w:spacing w:line="225" w:lineRule="auto" w:before="11" w:after="0"/>
        <w:ind w:left="2368" w:right="1301" w:hanging="489"/>
        <w:jc w:val="both"/>
        <w:rPr>
          <w:sz w:val="24"/>
        </w:rPr>
      </w:pPr>
      <w:r>
        <w:rPr>
          <w:sz w:val="24"/>
        </w:rPr>
        <w:t>Guglielmetti</w:t>
      </w:r>
      <w:r>
        <w:rPr>
          <w:spacing w:val="5"/>
          <w:sz w:val="24"/>
        </w:rPr>
        <w:t> 等 </w:t>
      </w:r>
      <w:r>
        <w:rPr>
          <w:sz w:val="24"/>
        </w:rPr>
        <w:t>2015</w:t>
      </w:r>
      <w:r>
        <w:rPr>
          <w:spacing w:val="-1"/>
          <w:sz w:val="24"/>
        </w:rPr>
        <w:t> 年發表研究報告，</w:t>
      </w:r>
      <w:r>
        <w:rPr>
          <w:spacing w:val="-7"/>
          <w:sz w:val="24"/>
        </w:rPr>
        <w:t>35</w:t>
      </w:r>
      <w:r>
        <w:rPr>
          <w:spacing w:val="4"/>
          <w:sz w:val="24"/>
        </w:rPr>
        <w:t> 位 </w:t>
      </w:r>
      <w:r>
        <w:rPr>
          <w:sz w:val="24"/>
        </w:rPr>
        <w:t>MDR-TB</w:t>
      </w:r>
      <w:r>
        <w:rPr>
          <w:spacing w:val="-4"/>
          <w:sz w:val="24"/>
        </w:rPr>
        <w:t> 個案，包含 </w:t>
      </w:r>
      <w:r>
        <w:rPr>
          <w:sz w:val="24"/>
        </w:rPr>
        <w:t>19 </w:t>
      </w:r>
      <w:r>
        <w:rPr>
          <w:spacing w:val="2"/>
          <w:sz w:val="24"/>
        </w:rPr>
        <w:t>位 </w:t>
      </w:r>
      <w:r>
        <w:rPr>
          <w:spacing w:val="-6"/>
          <w:sz w:val="24"/>
        </w:rPr>
        <w:t>XDR-TB</w:t>
      </w:r>
      <w:r>
        <w:rPr>
          <w:sz w:val="24"/>
        </w:rPr>
        <w:t>，以法國規範的 BDQ</w:t>
      </w:r>
      <w:r>
        <w:rPr>
          <w:spacing w:val="-6"/>
          <w:sz w:val="24"/>
        </w:rPr>
        <w:t> 恩慈療法治療。經過六個月的治療後， </w:t>
      </w:r>
      <w:r>
        <w:rPr>
          <w:spacing w:val="5"/>
          <w:sz w:val="24"/>
        </w:rPr>
        <w:t>痰液培養陰轉率高達 </w:t>
      </w:r>
      <w:r>
        <w:rPr>
          <w:sz w:val="24"/>
        </w:rPr>
        <w:t>97</w:t>
      </w:r>
      <w:r>
        <w:rPr>
          <w:spacing w:val="1"/>
          <w:sz w:val="24"/>
        </w:rPr>
        <w:t>%。</w:t>
      </w:r>
      <w:r>
        <w:rPr>
          <w:sz w:val="24"/>
        </w:rPr>
        <w:t>7</w:t>
      </w:r>
      <w:r>
        <w:rPr>
          <w:spacing w:val="11"/>
          <w:sz w:val="24"/>
        </w:rPr>
        <w:t> 位個案</w:t>
      </w:r>
      <w:r>
        <w:rPr>
          <w:sz w:val="24"/>
        </w:rPr>
        <w:t>(20%)有≧60</w:t>
      </w:r>
      <w:r>
        <w:rPr>
          <w:spacing w:val="16"/>
          <w:sz w:val="24"/>
        </w:rPr>
        <w:t> 毫秒的 </w:t>
      </w:r>
      <w:r>
        <w:rPr>
          <w:sz w:val="24"/>
        </w:rPr>
        <w:t>QT</w:t>
      </w:r>
      <w:r>
        <w:rPr>
          <w:spacing w:val="39"/>
          <w:sz w:val="24"/>
        </w:rPr>
        <w:t> </w:t>
      </w:r>
      <w:r>
        <w:rPr>
          <w:sz w:val="24"/>
        </w:rPr>
        <w:t>interval </w:t>
      </w:r>
      <w:r>
        <w:rPr>
          <w:spacing w:val="2"/>
          <w:sz w:val="24"/>
        </w:rPr>
        <w:t>延長，其中 </w:t>
      </w:r>
      <w:r>
        <w:rPr>
          <w:sz w:val="24"/>
        </w:rPr>
        <w:t>2</w:t>
      </w:r>
      <w:r>
        <w:rPr>
          <w:spacing w:val="1"/>
          <w:sz w:val="24"/>
        </w:rPr>
        <w:t> 位因此停藥(</w:t>
      </w:r>
      <w:r>
        <w:rPr>
          <w:sz w:val="24"/>
        </w:rPr>
        <w:t>6%)。</w:t>
      </w:r>
    </w:p>
    <w:p>
      <w:pPr>
        <w:pStyle w:val="ListParagraph"/>
        <w:numPr>
          <w:ilvl w:val="1"/>
          <w:numId w:val="163"/>
        </w:numPr>
        <w:tabs>
          <w:tab w:pos="2369" w:val="left" w:leader="none"/>
        </w:tabs>
        <w:spacing w:line="225" w:lineRule="auto" w:before="9" w:after="0"/>
        <w:ind w:left="2368" w:right="1357" w:hanging="489"/>
        <w:jc w:val="both"/>
        <w:rPr>
          <w:sz w:val="24"/>
        </w:rPr>
      </w:pPr>
      <w:r>
        <w:rPr>
          <w:spacing w:val="3"/>
          <w:sz w:val="24"/>
        </w:rPr>
        <w:t>當實驗室數據已證實為 </w:t>
      </w:r>
      <w:r>
        <w:rPr>
          <w:sz w:val="24"/>
        </w:rPr>
        <w:t>MDR-TB</w:t>
      </w:r>
      <w:r>
        <w:rPr>
          <w:spacing w:val="3"/>
          <w:sz w:val="24"/>
        </w:rPr>
        <w:t> 的成人個案而且在一定要加入 </w:t>
      </w:r>
      <w:r>
        <w:rPr>
          <w:sz w:val="24"/>
        </w:rPr>
        <w:t>BDQ 才能建構完整有效處方的狀況下，美國 CDC</w:t>
      </w:r>
      <w:r>
        <w:rPr>
          <w:spacing w:val="2"/>
          <w:sz w:val="24"/>
        </w:rPr>
        <w:t> 建議使用 </w:t>
      </w:r>
      <w:r>
        <w:rPr>
          <w:sz w:val="24"/>
        </w:rPr>
        <w:t>24</w:t>
      </w:r>
      <w:r>
        <w:rPr>
          <w:spacing w:val="5"/>
          <w:sz w:val="24"/>
        </w:rPr>
        <w:t> 週的 </w:t>
      </w:r>
      <w:r>
        <w:rPr>
          <w:sz w:val="24"/>
        </w:rPr>
        <w:t>BDQ</w:t>
      </w:r>
      <w:r>
        <w:rPr>
          <w:spacing w:val="6"/>
          <w:sz w:val="24"/>
        </w:rPr>
        <w:t> 療法。BDQ</w:t>
      </w:r>
      <w:r>
        <w:rPr>
          <w:spacing w:val="3"/>
          <w:sz w:val="24"/>
        </w:rPr>
        <w:t> 也可以在特殊狀況下用於孩童、</w:t>
      </w:r>
      <w:r>
        <w:rPr>
          <w:sz w:val="24"/>
        </w:rPr>
        <w:t>HIV</w:t>
      </w:r>
      <w:r>
        <w:rPr>
          <w:spacing w:val="5"/>
          <w:sz w:val="24"/>
        </w:rPr>
        <w:t> 陽性、懷孕婦女、肺外</w:t>
      </w:r>
      <w:r>
        <w:rPr>
          <w:sz w:val="24"/>
        </w:rPr>
        <w:t>MDR-TB</w:t>
      </w:r>
      <w:r>
        <w:rPr>
          <w:spacing w:val="-3"/>
          <w:sz w:val="24"/>
        </w:rPr>
        <w:t> 以及個案有共病的情形。特殊情況下也可給予比 </w:t>
      </w:r>
      <w:r>
        <w:rPr>
          <w:sz w:val="24"/>
        </w:rPr>
        <w:t>24</w:t>
      </w:r>
      <w:r>
        <w:rPr>
          <w:spacing w:val="3"/>
          <w:sz w:val="24"/>
        </w:rPr>
        <w:t> 週還要長</w:t>
      </w:r>
      <w:r>
        <w:rPr>
          <w:spacing w:val="4"/>
          <w:sz w:val="24"/>
        </w:rPr>
        <w:t>的 </w:t>
      </w:r>
      <w:r>
        <w:rPr>
          <w:sz w:val="24"/>
        </w:rPr>
        <w:t>BDQ</w:t>
      </w:r>
      <w:r>
        <w:rPr>
          <w:spacing w:val="2"/>
          <w:sz w:val="24"/>
        </w:rPr>
        <w:t> 療程。建議要監測 </w:t>
      </w:r>
      <w:r>
        <w:rPr>
          <w:sz w:val="24"/>
        </w:rPr>
        <w:t>EKG。</w:t>
      </w:r>
    </w:p>
    <w:p>
      <w:pPr>
        <w:spacing w:after="0" w:line="225" w:lineRule="auto"/>
        <w:jc w:val="both"/>
        <w:rPr>
          <w:sz w:val="24"/>
        </w:rPr>
        <w:sectPr>
          <w:pgSz w:w="12250" w:h="17190"/>
          <w:pgMar w:header="0" w:footer="734" w:top="1460" w:bottom="1020" w:left="1020" w:right="0"/>
        </w:sectPr>
      </w:pPr>
    </w:p>
    <w:p>
      <w:pPr>
        <w:pStyle w:val="ListParagraph"/>
        <w:numPr>
          <w:ilvl w:val="1"/>
          <w:numId w:val="163"/>
        </w:numPr>
        <w:tabs>
          <w:tab w:pos="2369" w:val="left" w:leader="none"/>
        </w:tabs>
        <w:spacing w:line="429" w:lineRule="exact" w:before="25" w:after="0"/>
        <w:ind w:left="2368" w:right="0" w:hanging="489"/>
        <w:jc w:val="left"/>
        <w:rPr>
          <w:sz w:val="24"/>
        </w:rPr>
      </w:pPr>
      <w:r>
        <w:rPr/>
        <w:pict>
          <v:group style="position:absolute;margin-left:573pt;margin-top:.720867pt;width:39.4pt;height:177.4pt;mso-position-horizontal-relative:page;mso-position-vertical-relative:paragraph;z-index:251898880" coordorigin="11460,14" coordsize="788,3548">
            <v:shape style="position:absolute;left:11460;top:14;width:788;height:3548" coordorigin="11460,14" coordsize="788,3548" path="m12247,14l11625,14,11561,27,11508,63,11473,115,11460,180,11460,3397,11473,3461,11508,3514,11561,3549,11625,3562,12247,3562,12247,14xe" filled="true" fillcolor="#a6a6a6" stroked="false">
              <v:path arrowok="t"/>
              <v:fill type="solid"/>
            </v:shape>
            <v:shape style="position:absolute;left:11460;top:1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spacing w:val="2"/>
          <w:sz w:val="24"/>
        </w:rPr>
        <w:t>使用 </w:t>
      </w:r>
      <w:r>
        <w:rPr>
          <w:sz w:val="24"/>
        </w:rPr>
        <w:t>bedaquiline</w:t>
      </w:r>
      <w:r>
        <w:rPr>
          <w:spacing w:val="1"/>
          <w:sz w:val="24"/>
        </w:rPr>
        <w:t> 六個月以上的經驗有限，因此要監測不良反應。</w:t>
      </w:r>
    </w:p>
    <w:p>
      <w:pPr>
        <w:pStyle w:val="ListParagraph"/>
        <w:numPr>
          <w:ilvl w:val="1"/>
          <w:numId w:val="163"/>
        </w:numPr>
        <w:tabs>
          <w:tab w:pos="2369" w:val="left" w:leader="none"/>
        </w:tabs>
        <w:spacing w:line="225" w:lineRule="auto" w:before="7" w:after="0"/>
        <w:ind w:left="2368" w:right="1357" w:hanging="489"/>
        <w:jc w:val="left"/>
        <w:rPr>
          <w:sz w:val="24"/>
        </w:rPr>
      </w:pPr>
      <w:r>
        <w:rPr>
          <w:spacing w:val="6"/>
          <w:sz w:val="24"/>
        </w:rPr>
        <w:t>使用 </w:t>
      </w:r>
      <w:r>
        <w:rPr>
          <w:sz w:val="24"/>
        </w:rPr>
        <w:t>bedaquiline</w:t>
      </w:r>
      <w:r>
        <w:rPr>
          <w:spacing w:val="4"/>
          <w:sz w:val="24"/>
        </w:rPr>
        <w:t> 在六歲以下族群之安全性與有效性相關研究證據還</w:t>
      </w:r>
      <w:r>
        <w:rPr>
          <w:spacing w:val="3"/>
          <w:sz w:val="24"/>
        </w:rPr>
        <w:t>不足夠。</w:t>
      </w:r>
    </w:p>
    <w:p>
      <w:pPr>
        <w:pStyle w:val="ListParagraph"/>
        <w:numPr>
          <w:ilvl w:val="1"/>
          <w:numId w:val="163"/>
        </w:numPr>
        <w:tabs>
          <w:tab w:pos="2369" w:val="left" w:leader="none"/>
        </w:tabs>
        <w:spacing w:line="225" w:lineRule="auto" w:before="1" w:after="0"/>
        <w:ind w:left="2368" w:right="1357" w:hanging="489"/>
        <w:jc w:val="left"/>
        <w:rPr>
          <w:sz w:val="24"/>
        </w:rPr>
      </w:pPr>
      <w:r>
        <w:rPr>
          <w:spacing w:val="5"/>
          <w:sz w:val="24"/>
        </w:rPr>
        <w:t>同時使用 </w:t>
      </w:r>
      <w:r>
        <w:rPr>
          <w:sz w:val="24"/>
        </w:rPr>
        <w:t>bedaquiline</w:t>
      </w:r>
      <w:r>
        <w:rPr>
          <w:spacing w:val="14"/>
          <w:sz w:val="24"/>
        </w:rPr>
        <w:t> 與 </w:t>
      </w:r>
      <w:r>
        <w:rPr>
          <w:sz w:val="24"/>
        </w:rPr>
        <w:t>delamanid</w:t>
      </w:r>
      <w:r>
        <w:rPr>
          <w:spacing w:val="3"/>
          <w:sz w:val="24"/>
        </w:rPr>
        <w:t> 之相關研究證據有限，因此要小心使用。</w:t>
      </w:r>
    </w:p>
    <w:p>
      <w:pPr>
        <w:pStyle w:val="ListParagraph"/>
        <w:numPr>
          <w:ilvl w:val="1"/>
          <w:numId w:val="163"/>
        </w:numPr>
        <w:tabs>
          <w:tab w:pos="2369" w:val="left" w:leader="none"/>
        </w:tabs>
        <w:spacing w:line="412" w:lineRule="exact" w:before="0" w:after="0"/>
        <w:ind w:left="2368" w:right="0" w:hanging="489"/>
        <w:jc w:val="left"/>
        <w:rPr>
          <w:sz w:val="24"/>
        </w:rPr>
      </w:pPr>
      <w:r>
        <w:rPr>
          <w:spacing w:val="2"/>
          <w:sz w:val="24"/>
        </w:rPr>
        <w:t>目前正在研究以 </w:t>
      </w:r>
      <w:r>
        <w:rPr>
          <w:sz w:val="24"/>
        </w:rPr>
        <w:t>BDQ</w:t>
      </w:r>
      <w:r>
        <w:rPr>
          <w:spacing w:val="2"/>
          <w:sz w:val="24"/>
        </w:rPr>
        <w:t> 替代注射藥物治療 </w:t>
      </w:r>
      <w:r>
        <w:rPr>
          <w:sz w:val="24"/>
        </w:rPr>
        <w:t>MDR-TB。</w:t>
      </w:r>
    </w:p>
    <w:p>
      <w:pPr>
        <w:pStyle w:val="ListParagraph"/>
        <w:numPr>
          <w:ilvl w:val="1"/>
          <w:numId w:val="163"/>
        </w:numPr>
        <w:tabs>
          <w:tab w:pos="2369" w:val="left" w:leader="none"/>
        </w:tabs>
        <w:spacing w:line="428" w:lineRule="exact" w:before="0" w:after="0"/>
        <w:ind w:left="2368" w:right="0" w:hanging="489"/>
        <w:jc w:val="left"/>
        <w:rPr>
          <w:sz w:val="24"/>
        </w:rPr>
      </w:pPr>
      <w:r>
        <w:rPr>
          <w:spacing w:val="2"/>
          <w:sz w:val="24"/>
        </w:rPr>
        <w:t>很不幸的，對 </w:t>
      </w:r>
      <w:r>
        <w:rPr>
          <w:sz w:val="24"/>
        </w:rPr>
        <w:t>BDQ</w:t>
      </w:r>
      <w:r>
        <w:rPr>
          <w:spacing w:val="2"/>
          <w:sz w:val="24"/>
        </w:rPr>
        <w:t> 抗藥的報告已經出現，必須小心警慎使用。</w:t>
      </w:r>
    </w:p>
    <w:p>
      <w:pPr>
        <w:pStyle w:val="BodyText"/>
        <w:spacing w:line="225" w:lineRule="auto" w:before="55"/>
        <w:ind w:left="2579" w:right="1358" w:hanging="732"/>
        <w:jc w:val="both"/>
      </w:pPr>
      <w:r>
        <w:rPr/>
        <w:t>總結：Bedaquiline 是治療結核重要的新藥，要小心使用以避免產生抗藥， 建議把 BDQ 加入治療 MDR-TB 的合併療法中(最少 4 種藥物)，並由DOTS-plus 送藥到手。</w:t>
      </w:r>
    </w:p>
    <w:p>
      <w:pPr>
        <w:pStyle w:val="ListParagraph"/>
        <w:numPr>
          <w:ilvl w:val="3"/>
          <w:numId w:val="161"/>
        </w:numPr>
        <w:tabs>
          <w:tab w:pos="1858" w:val="left" w:leader="none"/>
        </w:tabs>
        <w:spacing w:line="225" w:lineRule="auto" w:before="123" w:after="0"/>
        <w:ind w:left="1857" w:right="1358" w:hanging="329"/>
        <w:jc w:val="both"/>
        <w:rPr>
          <w:sz w:val="24"/>
        </w:rPr>
      </w:pPr>
      <w:r>
        <w:rPr>
          <w:spacing w:val="7"/>
          <w:sz w:val="24"/>
        </w:rPr>
        <w:t>研究證據顯示使用 </w:t>
      </w:r>
      <w:r>
        <w:rPr>
          <w:sz w:val="24"/>
        </w:rPr>
        <w:t>linezolid</w:t>
      </w:r>
      <w:r>
        <w:rPr>
          <w:spacing w:val="3"/>
          <w:sz w:val="24"/>
        </w:rPr>
        <w:t> 六個月以上可提升藥物有效性，雖然藥毒性可能導致使用上限制。</w:t>
      </w:r>
    </w:p>
    <w:p>
      <w:pPr>
        <w:pStyle w:val="ListParagraph"/>
        <w:numPr>
          <w:ilvl w:val="1"/>
          <w:numId w:val="164"/>
        </w:numPr>
        <w:tabs>
          <w:tab w:pos="2369" w:val="left" w:leader="none"/>
        </w:tabs>
        <w:spacing w:line="225" w:lineRule="auto" w:before="2" w:after="0"/>
        <w:ind w:left="2368" w:right="1361" w:hanging="489"/>
        <w:jc w:val="both"/>
        <w:rPr>
          <w:sz w:val="24"/>
        </w:rPr>
      </w:pPr>
      <w:r>
        <w:rPr>
          <w:sz w:val="24"/>
        </w:rPr>
        <w:t>LZD</w:t>
      </w:r>
      <w:r>
        <w:rPr>
          <w:spacing w:val="5"/>
          <w:sz w:val="24"/>
        </w:rPr>
        <w:t> 在體外研究中表現出各種不同效果，而在老鼠研究中則是中等效</w:t>
      </w:r>
      <w:r>
        <w:rPr>
          <w:spacing w:val="3"/>
          <w:sz w:val="24"/>
        </w:rPr>
        <w:t>力，早期殺菌力效果比 </w:t>
      </w:r>
      <w:r>
        <w:rPr>
          <w:sz w:val="24"/>
        </w:rPr>
        <w:t>isoniazid</w:t>
      </w:r>
      <w:r>
        <w:rPr>
          <w:spacing w:val="5"/>
          <w:sz w:val="24"/>
        </w:rPr>
        <w:t> 低。如果給 </w:t>
      </w:r>
      <w:r>
        <w:rPr>
          <w:sz w:val="24"/>
        </w:rPr>
        <w:t>600mg</w:t>
      </w:r>
      <w:r>
        <w:rPr>
          <w:spacing w:val="8"/>
          <w:sz w:val="24"/>
        </w:rPr>
        <w:t> 一天 </w:t>
      </w:r>
      <w:r>
        <w:rPr>
          <w:sz w:val="24"/>
        </w:rPr>
        <w:t>1-2</w:t>
      </w:r>
      <w:r>
        <w:rPr>
          <w:spacing w:val="5"/>
          <w:sz w:val="24"/>
        </w:rPr>
        <w:t> 次在人</w:t>
      </w:r>
      <w:r>
        <w:rPr>
          <w:spacing w:val="3"/>
          <w:sz w:val="24"/>
        </w:rPr>
        <w:t>類身上有不錯的效果，但不良事件非常多。</w:t>
      </w:r>
    </w:p>
    <w:p>
      <w:pPr>
        <w:pStyle w:val="ListParagraph"/>
        <w:numPr>
          <w:ilvl w:val="1"/>
          <w:numId w:val="164"/>
        </w:numPr>
        <w:tabs>
          <w:tab w:pos="2369" w:val="left" w:leader="none"/>
        </w:tabs>
        <w:spacing w:line="225" w:lineRule="auto" w:before="4" w:after="0"/>
        <w:ind w:left="2368" w:right="1301" w:hanging="489"/>
        <w:jc w:val="both"/>
        <w:rPr>
          <w:sz w:val="24"/>
        </w:rPr>
      </w:pPr>
      <w:r>
        <w:rPr>
          <w:spacing w:val="-14"/>
          <w:sz w:val="24"/>
        </w:rPr>
        <w:t>系統性回顧</w:t>
      </w:r>
      <w:r>
        <w:rPr>
          <w:sz w:val="24"/>
        </w:rPr>
        <w:t>（11</w:t>
      </w:r>
      <w:r>
        <w:rPr>
          <w:spacing w:val="-5"/>
          <w:sz w:val="24"/>
        </w:rPr>
        <w:t> 個研究報告，</w:t>
      </w:r>
      <w:r>
        <w:rPr>
          <w:spacing w:val="-9"/>
          <w:sz w:val="24"/>
        </w:rPr>
        <w:t>148</w:t>
      </w:r>
      <w:r>
        <w:rPr>
          <w:spacing w:val="3"/>
          <w:sz w:val="24"/>
        </w:rPr>
        <w:t> 位個案</w:t>
      </w:r>
      <w:r>
        <w:rPr>
          <w:spacing w:val="-78"/>
          <w:sz w:val="24"/>
        </w:rPr>
        <w:t>）</w:t>
      </w:r>
      <w:r>
        <w:rPr>
          <w:spacing w:val="2"/>
          <w:sz w:val="24"/>
        </w:rPr>
        <w:t>指出每天給予劑量 ≦</w:t>
      </w:r>
      <w:r>
        <w:rPr>
          <w:sz w:val="24"/>
        </w:rPr>
        <w:t>600mg </w:t>
      </w:r>
      <w:r>
        <w:rPr>
          <w:spacing w:val="9"/>
          <w:sz w:val="24"/>
        </w:rPr>
        <w:t>或是＞</w:t>
      </w:r>
      <w:r>
        <w:rPr>
          <w:spacing w:val="3"/>
          <w:sz w:val="24"/>
        </w:rPr>
        <w:t>600mg</w:t>
      </w:r>
      <w:r>
        <w:rPr>
          <w:spacing w:val="10"/>
          <w:sz w:val="24"/>
        </w:rPr>
        <w:t> 的治療成功率並沒有明顯的不同，平均治療成功率約</w:t>
      </w:r>
      <w:r>
        <w:rPr>
          <w:spacing w:val="-6"/>
          <w:sz w:val="24"/>
        </w:rPr>
        <w:t>68</w:t>
      </w:r>
      <w:r>
        <w:rPr>
          <w:spacing w:val="-3"/>
          <w:sz w:val="24"/>
        </w:rPr>
        <w:t>%。不良反應事件發生率為 </w:t>
      </w:r>
      <w:r>
        <w:rPr>
          <w:spacing w:val="-5"/>
          <w:sz w:val="24"/>
        </w:rPr>
        <w:t>62%，36</w:t>
      </w:r>
      <w:r>
        <w:rPr>
          <w:sz w:val="24"/>
        </w:rPr>
        <w:t>%因為不良反應停止服用 </w:t>
      </w:r>
      <w:r>
        <w:rPr>
          <w:spacing w:val="-7"/>
          <w:sz w:val="24"/>
        </w:rPr>
        <w:t>LZD</w:t>
      </w:r>
      <w:r>
        <w:rPr>
          <w:sz w:val="24"/>
        </w:rPr>
        <w:t>。</w:t>
      </w:r>
    </w:p>
    <w:p>
      <w:pPr>
        <w:pStyle w:val="ListParagraph"/>
        <w:numPr>
          <w:ilvl w:val="1"/>
          <w:numId w:val="164"/>
        </w:numPr>
        <w:tabs>
          <w:tab w:pos="2369" w:val="left" w:leader="none"/>
        </w:tabs>
        <w:spacing w:line="225" w:lineRule="auto" w:before="3" w:after="0"/>
        <w:ind w:left="2368" w:right="1356" w:hanging="489"/>
        <w:jc w:val="both"/>
        <w:rPr>
          <w:sz w:val="24"/>
        </w:rPr>
      </w:pPr>
      <w:r>
        <w:rPr>
          <w:spacing w:val="3"/>
          <w:sz w:val="24"/>
        </w:rPr>
        <w:t>兩個隨機研究中，與對照組比較之下，用 </w:t>
      </w:r>
      <w:r>
        <w:rPr>
          <w:sz w:val="24"/>
        </w:rPr>
        <w:t>LZD</w:t>
      </w:r>
      <w:r>
        <w:rPr>
          <w:spacing w:val="10"/>
          <w:sz w:val="24"/>
        </w:rPr>
        <w:t> 治療 </w:t>
      </w:r>
      <w:r>
        <w:rPr>
          <w:sz w:val="24"/>
        </w:rPr>
        <w:t>XDR-TB</w:t>
      </w:r>
      <w:r>
        <w:rPr>
          <w:spacing w:val="6"/>
          <w:sz w:val="24"/>
        </w:rPr>
        <w:t> 個案有比</w:t>
      </w:r>
      <w:r>
        <w:rPr>
          <w:spacing w:val="3"/>
          <w:sz w:val="24"/>
        </w:rPr>
        <w:t>較高的痰液培養陰轉與治療成功率。</w:t>
      </w:r>
    </w:p>
    <w:p>
      <w:pPr>
        <w:pStyle w:val="BodyText"/>
        <w:spacing w:line="225" w:lineRule="auto" w:before="3"/>
        <w:ind w:left="2366" w:right="1298" w:hanging="123"/>
        <w:jc w:val="both"/>
      </w:pPr>
      <w:r>
        <w:rPr/>
        <w:t>*</w:t>
      </w:r>
      <w:r>
        <w:rPr>
          <w:spacing w:val="5"/>
        </w:rPr>
        <w:t>這兩個研究中，高達 </w:t>
      </w:r>
      <w:r>
        <w:rPr/>
        <w:t>82%</w:t>
      </w:r>
      <w:r>
        <w:rPr>
          <w:spacing w:val="4"/>
        </w:rPr>
        <w:t>的個案有明顯的臨床不良反應，約 </w:t>
      </w:r>
      <w:r>
        <w:rPr/>
        <w:t>93%</w:t>
      </w:r>
      <w:r>
        <w:rPr>
          <w:spacing w:val="3"/>
        </w:rPr>
        <w:t>的不</w:t>
      </w:r>
      <w:r>
        <w:rPr>
          <w:spacing w:val="7"/>
        </w:rPr>
        <w:t>良反應事件可能與 </w:t>
      </w:r>
      <w:r>
        <w:rPr>
          <w:spacing w:val="2"/>
        </w:rPr>
        <w:t>LZD</w:t>
      </w:r>
      <w:r>
        <w:rPr>
          <w:spacing w:val="7"/>
        </w:rPr>
        <w:t> 相關。若是給予 </w:t>
      </w:r>
      <w:r>
        <w:rPr>
          <w:spacing w:val="2"/>
        </w:rPr>
        <w:t>300mg</w:t>
      </w:r>
      <w:r>
        <w:rPr>
          <w:spacing w:val="7"/>
        </w:rPr>
        <w:t> 低劑量，不良反應較</w:t>
      </w:r>
      <w:r>
        <w:rPr>
          <w:spacing w:val="-14"/>
        </w:rPr>
        <w:t>少，但是劑量可能不足，有可能發生抗藥。因此務必參考 </w:t>
      </w:r>
      <w:r>
        <w:rPr/>
        <w:t>LZD</w:t>
      </w:r>
      <w:r>
        <w:rPr>
          <w:spacing w:val="-8"/>
        </w:rPr>
        <w:t> 血中濃度。</w:t>
      </w:r>
    </w:p>
    <w:p>
      <w:pPr>
        <w:pStyle w:val="ListParagraph"/>
        <w:numPr>
          <w:ilvl w:val="1"/>
          <w:numId w:val="164"/>
        </w:numPr>
        <w:tabs>
          <w:tab w:pos="2369" w:val="left" w:leader="none"/>
        </w:tabs>
        <w:spacing w:line="225" w:lineRule="auto" w:before="4" w:after="0"/>
        <w:ind w:left="2368" w:right="1361" w:hanging="489"/>
        <w:jc w:val="both"/>
        <w:rPr>
          <w:sz w:val="24"/>
        </w:rPr>
      </w:pPr>
      <w:r>
        <w:rPr>
          <w:spacing w:val="4"/>
          <w:sz w:val="24"/>
        </w:rPr>
        <w:t>使用 </w:t>
      </w:r>
      <w:r>
        <w:rPr>
          <w:sz w:val="24"/>
        </w:rPr>
        <w:t>LZD</w:t>
      </w:r>
      <w:r>
        <w:rPr>
          <w:spacing w:val="1"/>
          <w:sz w:val="24"/>
        </w:rPr>
        <w:t> 出現骨髓抑制與神經毒性機會高(周邊以及視神經病變通常是</w:t>
      </w:r>
      <w:r>
        <w:rPr>
          <w:spacing w:val="2"/>
          <w:sz w:val="24"/>
        </w:rPr>
        <w:t>不可逆的)。從一天兩次 </w:t>
      </w:r>
      <w:r>
        <w:rPr>
          <w:sz w:val="24"/>
        </w:rPr>
        <w:t>600mg</w:t>
      </w:r>
      <w:r>
        <w:rPr>
          <w:spacing w:val="3"/>
          <w:sz w:val="24"/>
        </w:rPr>
        <w:t> 減低劑量到一天一次 </w:t>
      </w:r>
      <w:r>
        <w:rPr>
          <w:sz w:val="24"/>
        </w:rPr>
        <w:t>600mg</w:t>
      </w:r>
      <w:r>
        <w:rPr>
          <w:spacing w:val="1"/>
          <w:sz w:val="24"/>
        </w:rPr>
        <w:t>，血液學</w:t>
      </w:r>
      <w:r>
        <w:rPr>
          <w:spacing w:val="2"/>
          <w:sz w:val="24"/>
        </w:rPr>
        <w:t>毒性降低，但是神經毒性機率一樣高，導致 </w:t>
      </w:r>
      <w:r>
        <w:rPr>
          <w:sz w:val="24"/>
        </w:rPr>
        <w:t>70%停止服藥。</w:t>
      </w:r>
    </w:p>
    <w:p>
      <w:pPr>
        <w:pStyle w:val="ListParagraph"/>
        <w:numPr>
          <w:ilvl w:val="1"/>
          <w:numId w:val="164"/>
        </w:numPr>
        <w:tabs>
          <w:tab w:pos="2369" w:val="left" w:leader="none"/>
        </w:tabs>
        <w:spacing w:line="225" w:lineRule="auto" w:before="3" w:after="0"/>
        <w:ind w:left="2368" w:right="1360" w:hanging="489"/>
        <w:jc w:val="both"/>
        <w:rPr>
          <w:sz w:val="24"/>
        </w:rPr>
      </w:pPr>
      <w:r>
        <w:rPr>
          <w:spacing w:val="18"/>
          <w:sz w:val="24"/>
        </w:rPr>
        <w:t>同時給予 </w:t>
      </w:r>
      <w:r>
        <w:rPr>
          <w:sz w:val="24"/>
        </w:rPr>
        <w:t>LZD</w:t>
      </w:r>
      <w:r>
        <w:rPr>
          <w:spacing w:val="9"/>
          <w:sz w:val="24"/>
        </w:rPr>
        <w:t> 與血清素製劑， 如： 抗憂鬱劑 </w:t>
      </w:r>
      <w:r>
        <w:rPr>
          <w:sz w:val="24"/>
        </w:rPr>
        <w:t>selective</w:t>
      </w:r>
      <w:r>
        <w:rPr>
          <w:spacing w:val="53"/>
          <w:sz w:val="24"/>
        </w:rPr>
        <w:t> </w:t>
      </w:r>
      <w:r>
        <w:rPr>
          <w:sz w:val="24"/>
        </w:rPr>
        <w:t>serotonin reuptake inhibitors (SSRI)，可能導致嚴重</w:t>
      </w:r>
      <w:r>
        <w:rPr>
          <w:spacing w:val="4"/>
          <w:sz w:val="24"/>
        </w:rPr>
        <w:t>（</w:t>
      </w:r>
      <w:r>
        <w:rPr>
          <w:spacing w:val="3"/>
          <w:sz w:val="24"/>
        </w:rPr>
        <w:t>甚至致死）</w:t>
      </w:r>
      <w:r>
        <w:rPr>
          <w:spacing w:val="2"/>
          <w:sz w:val="24"/>
        </w:rPr>
        <w:t>反應，例如血</w:t>
      </w:r>
      <w:r>
        <w:rPr>
          <w:spacing w:val="3"/>
          <w:sz w:val="24"/>
        </w:rPr>
        <w:t>清素症狀或是抗精神病藥物惡性症候群。</w:t>
      </w:r>
    </w:p>
    <w:p>
      <w:pPr>
        <w:pStyle w:val="BodyText"/>
        <w:spacing w:line="225" w:lineRule="auto" w:before="39"/>
        <w:ind w:left="2555" w:right="1352" w:hanging="708"/>
        <w:jc w:val="both"/>
      </w:pPr>
      <w:r>
        <w:rPr/>
        <w:t>總結：LZD 是種有效的藥物，為了避免血液學毒性發生，建議一天給予一次600mg。應密切監測個案是否發展出神經性或是血液學毒性。治療MDR-TB 與 XDR-TB，除了對 MFX 高濃度抗藥的個案，宜使用 MFX 或是高劑量的 LFX(750-1000mg)。對 fluoroquinolone 抗藥，可以考慮測 MIC；MFX MIC1-2mcg/mL 的個案可以考慮每天吃高劑量的</w:t>
      </w:r>
    </w:p>
    <w:p>
      <w:pPr>
        <w:spacing w:after="0" w:line="225" w:lineRule="auto"/>
        <w:jc w:val="both"/>
        <w:sectPr>
          <w:pgSz w:w="12250" w:h="17190"/>
          <w:pgMar w:header="0" w:footer="734" w:top="1460" w:bottom="1020" w:left="1020" w:right="0"/>
        </w:sectPr>
      </w:pPr>
    </w:p>
    <w:p>
      <w:pPr>
        <w:pStyle w:val="BodyText"/>
        <w:spacing w:before="27"/>
        <w:ind w:left="2556"/>
        <w:jc w:val="both"/>
      </w:pPr>
      <w:r>
        <w:rPr/>
        <w:t>MFX600mg 或是 800mg。</w:t>
      </w:r>
    </w:p>
    <w:p>
      <w:pPr>
        <w:pStyle w:val="Heading7"/>
        <w:numPr>
          <w:ilvl w:val="2"/>
          <w:numId w:val="161"/>
        </w:numPr>
        <w:tabs>
          <w:tab w:pos="1444" w:val="left" w:leader="none"/>
        </w:tabs>
        <w:spacing w:line="240" w:lineRule="auto" w:before="247" w:after="0"/>
        <w:ind w:left="1443" w:right="0" w:hanging="884"/>
        <w:jc w:val="left"/>
      </w:pPr>
      <w:r>
        <w:rPr/>
        <w:t>Group</w:t>
      </w:r>
      <w:r>
        <w:rPr>
          <w:spacing w:val="3"/>
        </w:rPr>
        <w:t> </w:t>
      </w:r>
      <w:r>
        <w:rPr/>
        <w:t>B</w:t>
      </w:r>
      <w:r>
        <w:rPr>
          <w:spacing w:val="2"/>
        </w:rPr>
        <w:t>. 使用一至兩種藥物</w:t>
      </w:r>
    </w:p>
    <w:p>
      <w:pPr>
        <w:pStyle w:val="BodyText"/>
        <w:spacing w:before="41"/>
        <w:ind w:left="1880"/>
        <w:jc w:val="both"/>
      </w:pPr>
      <w:r>
        <w:rPr/>
        <w:t>Clofazimine (CFZ) 100mg /qd</w:t>
      </w:r>
    </w:p>
    <w:p>
      <w:pPr>
        <w:pStyle w:val="BodyText"/>
        <w:spacing w:before="253"/>
        <w:ind w:left="1880"/>
        <w:jc w:val="both"/>
      </w:pPr>
      <w:r>
        <w:rPr/>
        <w:t>Cycloserine (CS) 10-15mg/kg/qd (Max 1g)</w:t>
      </w:r>
    </w:p>
    <w:p>
      <w:pPr>
        <w:pStyle w:val="BodyText"/>
        <w:spacing w:before="32"/>
        <w:ind w:left="3571"/>
      </w:pPr>
      <w:r>
        <w:rPr/>
        <w:t>OR</w:t>
      </w:r>
    </w:p>
    <w:p>
      <w:pPr>
        <w:pStyle w:val="BodyText"/>
        <w:spacing w:before="30"/>
        <w:ind w:left="1880"/>
        <w:jc w:val="both"/>
      </w:pPr>
      <w:r>
        <w:rPr/>
        <w:t>Terizidone (TRD) 15~20mg/kg/qd(Max 1g)</w:t>
      </w:r>
    </w:p>
    <w:p>
      <w:pPr>
        <w:pStyle w:val="ListParagraph"/>
        <w:numPr>
          <w:ilvl w:val="3"/>
          <w:numId w:val="161"/>
        </w:numPr>
        <w:tabs>
          <w:tab w:pos="1858" w:val="left" w:leader="none"/>
        </w:tabs>
        <w:spacing w:line="223" w:lineRule="auto" w:before="99" w:after="0"/>
        <w:ind w:left="1857" w:right="1360" w:hanging="329"/>
        <w:jc w:val="both"/>
        <w:rPr>
          <w:sz w:val="24"/>
        </w:rPr>
      </w:pPr>
      <w:r>
        <w:rPr>
          <w:sz w:val="24"/>
        </w:rPr>
        <w:t>clofazimine</w:t>
      </w:r>
      <w:r>
        <w:rPr>
          <w:spacing w:val="2"/>
          <w:sz w:val="24"/>
        </w:rPr>
        <w:t> 過去主要用於治療 </w:t>
      </w:r>
      <w:r>
        <w:rPr>
          <w:sz w:val="24"/>
        </w:rPr>
        <w:t>multibacillary</w:t>
      </w:r>
      <w:r>
        <w:rPr>
          <w:spacing w:val="3"/>
          <w:sz w:val="24"/>
        </w:rPr>
        <w:t> </w:t>
      </w:r>
      <w:r>
        <w:rPr>
          <w:i/>
          <w:sz w:val="25"/>
        </w:rPr>
        <w:t>M. leprae</w:t>
      </w:r>
      <w:r>
        <w:rPr>
          <w:sz w:val="24"/>
        </w:rPr>
        <w:t>，近來的研究中指</w:t>
      </w:r>
      <w:r>
        <w:rPr>
          <w:spacing w:val="2"/>
          <w:sz w:val="24"/>
        </w:rPr>
        <w:t>出，</w:t>
      </w:r>
      <w:r>
        <w:rPr>
          <w:sz w:val="24"/>
        </w:rPr>
        <w:t>CFZ</w:t>
      </w:r>
      <w:r>
        <w:rPr>
          <w:spacing w:val="3"/>
          <w:sz w:val="24"/>
        </w:rPr>
        <w:t> 也可以治療抗藥性結核病。體外實驗報告 </w:t>
      </w:r>
      <w:r>
        <w:rPr>
          <w:sz w:val="24"/>
        </w:rPr>
        <w:t>CFZ</w:t>
      </w:r>
      <w:r>
        <w:rPr>
          <w:spacing w:val="17"/>
          <w:sz w:val="24"/>
        </w:rPr>
        <w:t> 與 </w:t>
      </w:r>
      <w:r>
        <w:rPr>
          <w:sz w:val="24"/>
        </w:rPr>
        <w:t>EMB</w:t>
      </w:r>
      <w:r>
        <w:rPr>
          <w:spacing w:val="13"/>
          <w:sz w:val="24"/>
        </w:rPr>
        <w:t> 或是 </w:t>
      </w:r>
      <w:r>
        <w:rPr>
          <w:sz w:val="24"/>
        </w:rPr>
        <w:t>MFX </w:t>
      </w:r>
      <w:r>
        <w:rPr>
          <w:spacing w:val="3"/>
          <w:sz w:val="24"/>
        </w:rPr>
        <w:t>之間有協同效應。</w:t>
      </w:r>
    </w:p>
    <w:p>
      <w:pPr>
        <w:pStyle w:val="ListParagraph"/>
        <w:numPr>
          <w:ilvl w:val="1"/>
          <w:numId w:val="165"/>
        </w:numPr>
        <w:tabs>
          <w:tab w:pos="2348" w:val="left" w:leader="none"/>
        </w:tabs>
        <w:spacing w:line="228" w:lineRule="auto" w:before="4" w:after="0"/>
        <w:ind w:left="2347" w:right="1357" w:hanging="489"/>
        <w:jc w:val="both"/>
        <w:rPr>
          <w:sz w:val="24"/>
        </w:rPr>
      </w:pPr>
      <w:r>
        <w:rPr>
          <w:spacing w:val="2"/>
          <w:sz w:val="24"/>
        </w:rPr>
        <w:t>有三篇系統性回顧查驗以 </w:t>
      </w:r>
      <w:r>
        <w:rPr>
          <w:sz w:val="24"/>
        </w:rPr>
        <w:t>CFZ</w:t>
      </w:r>
      <w:r>
        <w:rPr>
          <w:spacing w:val="3"/>
          <w:sz w:val="24"/>
        </w:rPr>
        <w:t> 治療 </w:t>
      </w:r>
      <w:r>
        <w:rPr>
          <w:sz w:val="24"/>
        </w:rPr>
        <w:t>MDR-TB</w:t>
      </w:r>
      <w:r>
        <w:rPr>
          <w:spacing w:val="-4"/>
          <w:sz w:val="24"/>
        </w:rPr>
        <w:t>。</w:t>
      </w:r>
      <w:r>
        <w:rPr>
          <w:sz w:val="24"/>
        </w:rPr>
        <w:t>CFZ</w:t>
      </w:r>
      <w:r>
        <w:rPr>
          <w:spacing w:val="2"/>
          <w:sz w:val="24"/>
        </w:rPr>
        <w:t> 有好的耐受度(除了</w:t>
      </w:r>
      <w:r>
        <w:rPr>
          <w:spacing w:val="1"/>
          <w:sz w:val="24"/>
        </w:rPr>
        <w:t>皮膚脫色反應以及對光照敏感的問題)。</w:t>
      </w:r>
    </w:p>
    <w:p>
      <w:pPr>
        <w:pStyle w:val="BodyText"/>
        <w:spacing w:line="416" w:lineRule="exact"/>
        <w:ind w:left="2431"/>
        <w:jc w:val="both"/>
      </w:pPr>
      <w:r>
        <w:rPr/>
        <w:t>*嚴重不良反應率約 0.1%並需要即刻停止 CFZ。</w:t>
      </w:r>
    </w:p>
    <w:p>
      <w:pPr>
        <w:pStyle w:val="BodyText"/>
        <w:spacing w:line="420" w:lineRule="exact"/>
        <w:ind w:left="2431"/>
        <w:jc w:val="both"/>
      </w:pPr>
      <w:r>
        <w:rPr/>
        <w:t>*治療成功率約 62-65%。</w:t>
      </w:r>
    </w:p>
    <w:p>
      <w:pPr>
        <w:pStyle w:val="ListParagraph"/>
        <w:numPr>
          <w:ilvl w:val="1"/>
          <w:numId w:val="165"/>
        </w:numPr>
        <w:tabs>
          <w:tab w:pos="2348" w:val="left" w:leader="none"/>
        </w:tabs>
        <w:spacing w:line="420" w:lineRule="exact" w:before="0" w:after="0"/>
        <w:ind w:left="2347" w:right="0" w:hanging="490"/>
        <w:jc w:val="both"/>
        <w:rPr>
          <w:sz w:val="24"/>
        </w:rPr>
      </w:pPr>
      <w:r>
        <w:rPr>
          <w:spacing w:val="10"/>
          <w:sz w:val="24"/>
        </w:rPr>
        <w:t>含有 </w:t>
      </w:r>
      <w:r>
        <w:rPr>
          <w:sz w:val="24"/>
        </w:rPr>
        <w:t>CFZ</w:t>
      </w:r>
      <w:r>
        <w:rPr>
          <w:spacing w:val="1"/>
          <w:sz w:val="24"/>
        </w:rPr>
        <w:t> 組合的處方有較高的痰培養陰轉率 (</w:t>
      </w:r>
      <w:r>
        <w:rPr>
          <w:sz w:val="24"/>
        </w:rPr>
        <w:t>40</w:t>
      </w:r>
      <w:r>
        <w:rPr>
          <w:spacing w:val="18"/>
          <w:sz w:val="24"/>
        </w:rPr>
        <w:t>% </w:t>
      </w:r>
      <w:r>
        <w:rPr>
          <w:sz w:val="24"/>
        </w:rPr>
        <w:t>vs.</w:t>
      </w:r>
      <w:r>
        <w:rPr>
          <w:spacing w:val="35"/>
          <w:sz w:val="24"/>
        </w:rPr>
        <w:t> </w:t>
      </w:r>
      <w:r>
        <w:rPr>
          <w:sz w:val="24"/>
        </w:rPr>
        <w:t>29%)；CFZ</w:t>
      </w:r>
      <w:r>
        <w:rPr>
          <w:spacing w:val="13"/>
          <w:sz w:val="24"/>
        </w:rPr>
        <w:t> 與</w:t>
      </w:r>
    </w:p>
    <w:p>
      <w:pPr>
        <w:pStyle w:val="BodyText"/>
        <w:spacing w:line="420" w:lineRule="exact"/>
        <w:ind w:left="2347"/>
        <w:jc w:val="both"/>
      </w:pPr>
      <w:r>
        <w:rPr/>
        <w:t>XDR-TB 痰陰轉以及存活率有正相關。</w:t>
      </w:r>
    </w:p>
    <w:p>
      <w:pPr>
        <w:pStyle w:val="ListParagraph"/>
        <w:numPr>
          <w:ilvl w:val="1"/>
          <w:numId w:val="165"/>
        </w:numPr>
        <w:tabs>
          <w:tab w:pos="2348" w:val="left" w:leader="none"/>
        </w:tabs>
        <w:spacing w:line="228" w:lineRule="auto" w:before="6" w:after="0"/>
        <w:ind w:left="2347" w:right="1363" w:hanging="489"/>
        <w:jc w:val="both"/>
        <w:rPr>
          <w:sz w:val="24"/>
        </w:rPr>
      </w:pPr>
      <w:r>
        <w:rPr>
          <w:spacing w:val="2"/>
          <w:sz w:val="24"/>
        </w:rPr>
        <w:t>在一個小型的隨機型研究發現，治療處方納入 </w:t>
      </w:r>
      <w:r>
        <w:rPr>
          <w:sz w:val="24"/>
        </w:rPr>
        <w:t>CFZ</w:t>
      </w:r>
      <w:r>
        <w:rPr>
          <w:spacing w:val="2"/>
          <w:sz w:val="24"/>
        </w:rPr>
        <w:t> 的個案其痰液培養陰轉與空洞閉合時間都較早，治療成功率也較高(</w:t>
      </w:r>
      <w:r>
        <w:rPr>
          <w:sz w:val="24"/>
        </w:rPr>
        <w:t>75</w:t>
      </w:r>
      <w:r>
        <w:rPr>
          <w:spacing w:val="2"/>
          <w:sz w:val="24"/>
        </w:rPr>
        <w:t>% </w:t>
      </w:r>
      <w:r>
        <w:rPr>
          <w:sz w:val="24"/>
        </w:rPr>
        <w:t>vs</w:t>
      </w:r>
      <w:r>
        <w:rPr>
          <w:spacing w:val="2"/>
          <w:sz w:val="24"/>
        </w:rPr>
        <w:t>. </w:t>
      </w:r>
      <w:r>
        <w:rPr>
          <w:sz w:val="24"/>
        </w:rPr>
        <w:t>54%)。</w:t>
      </w:r>
    </w:p>
    <w:p>
      <w:pPr>
        <w:pStyle w:val="BodyText"/>
        <w:spacing w:before="81"/>
        <w:ind w:left="1880"/>
        <w:jc w:val="both"/>
      </w:pPr>
      <w:r>
        <w:rPr/>
        <w:t>總結：CFZ 是耐受度好的藥物且在多種藥物處方中也表現出好的藥物效力。</w:t>
      </w:r>
    </w:p>
    <w:p>
      <w:pPr>
        <w:pStyle w:val="ListParagraph"/>
        <w:numPr>
          <w:ilvl w:val="3"/>
          <w:numId w:val="161"/>
        </w:numPr>
        <w:tabs>
          <w:tab w:pos="1858" w:val="left" w:leader="none"/>
        </w:tabs>
        <w:spacing w:line="225" w:lineRule="auto" w:before="29" w:after="0"/>
        <w:ind w:left="1857" w:right="1358" w:hanging="329"/>
        <w:jc w:val="both"/>
        <w:rPr>
          <w:sz w:val="24"/>
        </w:rPr>
      </w:pPr>
      <w:r>
        <w:rPr>
          <w:sz w:val="24"/>
        </w:rPr>
        <w:t>cycloserine</w:t>
      </w:r>
      <w:r>
        <w:rPr>
          <w:spacing w:val="3"/>
          <w:sz w:val="24"/>
        </w:rPr>
        <w:t> 跟精神疾病不良反應有關。若病人用藥前已有憂鬱症或是其他</w:t>
      </w:r>
      <w:r>
        <w:rPr>
          <w:spacing w:val="-2"/>
          <w:sz w:val="24"/>
        </w:rPr>
        <w:t>精神疾病，應謹慎用藥，需用此類藥物時可考慮使用 </w:t>
      </w:r>
      <w:r>
        <w:rPr>
          <w:sz w:val="24"/>
        </w:rPr>
        <w:t>terizidone</w:t>
      </w:r>
      <w:r>
        <w:rPr>
          <w:spacing w:val="1"/>
          <w:sz w:val="24"/>
        </w:rPr>
        <w:t>。此藥沒有</w:t>
      </w:r>
      <w:r>
        <w:rPr>
          <w:spacing w:val="2"/>
          <w:sz w:val="24"/>
        </w:rPr>
        <w:t>明顯的腸胃副作用，可以與 </w:t>
      </w:r>
      <w:r>
        <w:rPr>
          <w:sz w:val="24"/>
        </w:rPr>
        <w:t>PTO</w:t>
      </w:r>
      <w:r>
        <w:rPr>
          <w:spacing w:val="2"/>
          <w:sz w:val="24"/>
        </w:rPr>
        <w:t> 或是 </w:t>
      </w:r>
      <w:r>
        <w:rPr>
          <w:sz w:val="24"/>
        </w:rPr>
        <w:t>PAS</w:t>
      </w:r>
      <w:r>
        <w:rPr>
          <w:spacing w:val="1"/>
          <w:sz w:val="24"/>
        </w:rPr>
        <w:t> 一起使用。</w:t>
      </w:r>
    </w:p>
    <w:p>
      <w:pPr>
        <w:pStyle w:val="Heading7"/>
        <w:numPr>
          <w:ilvl w:val="2"/>
          <w:numId w:val="161"/>
        </w:numPr>
        <w:tabs>
          <w:tab w:pos="1460" w:val="left" w:leader="none"/>
        </w:tabs>
        <w:spacing w:line="240" w:lineRule="auto" w:before="259" w:after="0"/>
        <w:ind w:left="1459" w:right="0" w:hanging="900"/>
        <w:jc w:val="left"/>
      </w:pPr>
      <w:r>
        <w:rPr/>
        <w:t>Group</w:t>
      </w:r>
      <w:r>
        <w:rPr>
          <w:spacing w:val="4"/>
        </w:rPr>
        <w:t> </w:t>
      </w:r>
      <w:r>
        <w:rPr/>
        <w:t>C</w:t>
      </w:r>
      <w:r>
        <w:rPr>
          <w:spacing w:val="2"/>
        </w:rPr>
        <w:t>. 當 </w:t>
      </w:r>
      <w:r>
        <w:rPr/>
        <w:t>Group</w:t>
      </w:r>
      <w:r>
        <w:rPr>
          <w:spacing w:val="3"/>
        </w:rPr>
        <w:t> </w:t>
      </w:r>
      <w:r>
        <w:rPr/>
        <w:t>A</w:t>
      </w:r>
      <w:r>
        <w:rPr>
          <w:spacing w:val="2"/>
        </w:rPr>
        <w:t> 和 </w:t>
      </w:r>
      <w:r>
        <w:rPr/>
        <w:t>B</w:t>
      </w:r>
      <w:r>
        <w:rPr>
          <w:spacing w:val="2"/>
        </w:rPr>
        <w:t> 的藥物無法使用時，則加入 </w:t>
      </w:r>
      <w:r>
        <w:rPr/>
        <w:t>Group</w:t>
      </w:r>
      <w:r>
        <w:rPr>
          <w:spacing w:val="2"/>
        </w:rPr>
        <w:t> </w:t>
      </w:r>
      <w:r>
        <w:rPr/>
        <w:t>C</w:t>
      </w:r>
      <w:r>
        <w:rPr>
          <w:spacing w:val="2"/>
        </w:rPr>
        <w:t> 藥物。</w:t>
      </w:r>
    </w:p>
    <w:p>
      <w:pPr>
        <w:pStyle w:val="BodyText"/>
        <w:tabs>
          <w:tab w:pos="3296" w:val="left" w:leader="none"/>
        </w:tabs>
        <w:spacing w:before="26"/>
        <w:ind w:left="1462"/>
      </w:pPr>
      <w:r>
        <w:rPr/>
        <w:t>Ethambutol</w:t>
        <w:tab/>
        <w:t>(E)</w:t>
      </w:r>
    </w:p>
    <w:p>
      <w:pPr>
        <w:pStyle w:val="BodyText"/>
        <w:spacing w:line="218" w:lineRule="auto" w:before="75"/>
        <w:ind w:left="2325" w:right="3782"/>
      </w:pPr>
      <w:r>
        <w:rPr/>
        <w:t>Low dose (companion drug)15mg/kg/qd High dose (bacteriostatic drug)25mg/kg/qd</w:t>
      </w:r>
    </w:p>
    <w:p>
      <w:pPr>
        <w:pStyle w:val="BodyText"/>
        <w:tabs>
          <w:tab w:pos="3202" w:val="left" w:leader="none"/>
        </w:tabs>
        <w:spacing w:before="55"/>
        <w:ind w:left="1462"/>
      </w:pPr>
      <w:r>
        <w:rPr/>
        <w:t>Delamanid</w:t>
        <w:tab/>
        <w:t>(DLM) 100mg</w:t>
      </w:r>
      <w:r>
        <w:rPr>
          <w:spacing w:val="7"/>
        </w:rPr>
        <w:t> </w:t>
      </w:r>
      <w:r>
        <w:rPr/>
        <w:t>bid</w:t>
      </w:r>
    </w:p>
    <w:p>
      <w:pPr>
        <w:pStyle w:val="BodyText"/>
        <w:tabs>
          <w:tab w:pos="3253" w:val="left" w:leader="none"/>
          <w:tab w:pos="4055" w:val="left" w:leader="none"/>
        </w:tabs>
        <w:spacing w:before="92"/>
        <w:ind w:left="1462"/>
      </w:pPr>
      <w:r>
        <w:rPr/>
        <w:t>Pyrazinamide</w:t>
        <w:tab/>
        <w:t>(Z)</w:t>
        <w:tab/>
      </w:r>
      <w:r>
        <w:rPr>
          <w:spacing w:val="3"/>
        </w:rPr>
        <w:t>成人劑量 </w:t>
      </w:r>
      <w:r>
        <w:rPr/>
        <w:t>25-40mg/kg/qd</w:t>
      </w:r>
    </w:p>
    <w:p>
      <w:pPr>
        <w:pStyle w:val="BodyText"/>
        <w:tabs>
          <w:tab w:pos="3994" w:val="left" w:leader="none"/>
          <w:tab w:pos="5438" w:val="left" w:leader="none"/>
        </w:tabs>
        <w:spacing w:line="247" w:lineRule="auto" w:before="107"/>
        <w:ind w:left="1462" w:right="2576"/>
      </w:pPr>
      <w:r>
        <w:rPr/>
        <w:t>Imipenem-cilastatin</w:t>
        <w:tab/>
        <w:t>(IPM-CLN)</w:t>
        <w:tab/>
        <w:t>1000mg</w:t>
      </w:r>
      <w:r>
        <w:rPr>
          <w:spacing w:val="15"/>
        </w:rPr>
        <w:t> </w:t>
      </w:r>
      <w:r>
        <w:rPr/>
        <w:t>q12h</w:t>
      </w:r>
      <w:r>
        <w:rPr>
          <w:spacing w:val="1"/>
        </w:rPr>
        <w:t>(依腎功能調整) OR</w:t>
      </w:r>
    </w:p>
    <w:p>
      <w:pPr>
        <w:pStyle w:val="BodyText"/>
        <w:tabs>
          <w:tab w:pos="3251" w:val="left" w:leader="none"/>
          <w:tab w:pos="4394" w:val="left" w:leader="none"/>
        </w:tabs>
        <w:spacing w:line="419" w:lineRule="exact"/>
        <w:ind w:left="1462"/>
      </w:pPr>
      <w:r>
        <w:rPr/>
        <w:t>Meropenem</w:t>
        <w:tab/>
        <w:t>(MPM)</w:t>
        <w:tab/>
        <w:t>1000mg</w:t>
      </w:r>
      <w:r>
        <w:rPr>
          <w:spacing w:val="3"/>
        </w:rPr>
        <w:t> </w:t>
      </w:r>
      <w:r>
        <w:rPr/>
        <w:t>q12h</w:t>
      </w:r>
      <w:r>
        <w:rPr>
          <w:spacing w:val="1"/>
        </w:rPr>
        <w:t>(依腎功能調整)</w:t>
      </w:r>
    </w:p>
    <w:p>
      <w:pPr>
        <w:spacing w:after="0" w:line="419" w:lineRule="exact"/>
        <w:sectPr>
          <w:pgSz w:w="12250" w:h="17190"/>
          <w:pgMar w:header="0" w:footer="734" w:top="1460" w:bottom="1020" w:left="1020" w:right="0"/>
        </w:sectPr>
      </w:pPr>
    </w:p>
    <w:p>
      <w:pPr>
        <w:pStyle w:val="BodyText"/>
        <w:spacing w:before="3"/>
        <w:rPr>
          <w:sz w:val="2"/>
        </w:rPr>
      </w:pPr>
    </w:p>
    <w:tbl>
      <w:tblPr>
        <w:tblW w:w="0" w:type="auto"/>
        <w:jc w:val="left"/>
        <w:tblInd w:w="1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1"/>
        <w:gridCol w:w="984"/>
        <w:gridCol w:w="2325"/>
      </w:tblGrid>
      <w:tr>
        <w:trPr>
          <w:trHeight w:val="819" w:hRule="atLeast"/>
        </w:trPr>
        <w:tc>
          <w:tcPr>
            <w:tcW w:w="1711" w:type="dxa"/>
          </w:tcPr>
          <w:p>
            <w:pPr>
              <w:pStyle w:val="TableParagraph"/>
              <w:spacing w:line="377" w:lineRule="exact"/>
              <w:ind w:left="50"/>
              <w:rPr>
                <w:sz w:val="24"/>
              </w:rPr>
            </w:pPr>
            <w:r>
              <w:rPr>
                <w:sz w:val="24"/>
              </w:rPr>
              <w:t>Amikacin</w:t>
            </w:r>
          </w:p>
          <w:p>
            <w:pPr>
              <w:pStyle w:val="TableParagraph"/>
              <w:spacing w:line="422" w:lineRule="exact"/>
              <w:ind w:left="50"/>
              <w:rPr>
                <w:sz w:val="24"/>
              </w:rPr>
            </w:pPr>
            <w:r>
              <w:rPr>
                <w:sz w:val="24"/>
              </w:rPr>
              <w:t>OR</w:t>
            </w:r>
          </w:p>
        </w:tc>
        <w:tc>
          <w:tcPr>
            <w:tcW w:w="984" w:type="dxa"/>
          </w:tcPr>
          <w:p>
            <w:pPr>
              <w:pStyle w:val="TableParagraph"/>
              <w:spacing w:line="380" w:lineRule="exact"/>
              <w:ind w:left="136"/>
              <w:rPr>
                <w:sz w:val="24"/>
              </w:rPr>
            </w:pPr>
            <w:r>
              <w:rPr>
                <w:sz w:val="24"/>
              </w:rPr>
              <w:t>(AM)</w:t>
            </w:r>
          </w:p>
        </w:tc>
        <w:tc>
          <w:tcPr>
            <w:tcW w:w="2325" w:type="dxa"/>
          </w:tcPr>
          <w:p>
            <w:pPr>
              <w:pStyle w:val="TableParagraph"/>
              <w:spacing w:line="380" w:lineRule="exact"/>
              <w:ind w:left="291"/>
              <w:rPr>
                <w:sz w:val="24"/>
              </w:rPr>
            </w:pPr>
            <w:r>
              <w:rPr>
                <w:sz w:val="24"/>
              </w:rPr>
              <w:t>15mg/kg(Max1g)</w:t>
            </w:r>
          </w:p>
        </w:tc>
      </w:tr>
      <w:tr>
        <w:trPr>
          <w:trHeight w:val="384" w:hRule="atLeast"/>
        </w:trPr>
        <w:tc>
          <w:tcPr>
            <w:tcW w:w="1711" w:type="dxa"/>
          </w:tcPr>
          <w:p>
            <w:pPr>
              <w:pStyle w:val="TableParagraph"/>
              <w:spacing w:line="360" w:lineRule="exact" w:before="3"/>
              <w:ind w:left="50"/>
              <w:rPr>
                <w:sz w:val="24"/>
              </w:rPr>
            </w:pPr>
            <w:r>
              <w:rPr>
                <w:sz w:val="24"/>
              </w:rPr>
              <w:t>Streptomycin</w:t>
            </w:r>
          </w:p>
        </w:tc>
        <w:tc>
          <w:tcPr>
            <w:tcW w:w="984" w:type="dxa"/>
          </w:tcPr>
          <w:p>
            <w:pPr>
              <w:pStyle w:val="TableParagraph"/>
              <w:spacing w:line="360" w:lineRule="exact" w:before="3"/>
              <w:ind w:left="126"/>
              <w:rPr>
                <w:sz w:val="24"/>
              </w:rPr>
            </w:pPr>
            <w:r>
              <w:rPr>
                <w:sz w:val="24"/>
              </w:rPr>
              <w:t>(S)</w:t>
            </w:r>
          </w:p>
        </w:tc>
        <w:tc>
          <w:tcPr>
            <w:tcW w:w="2325" w:type="dxa"/>
          </w:tcPr>
          <w:p>
            <w:pPr>
              <w:pStyle w:val="TableParagraph"/>
              <w:spacing w:line="360" w:lineRule="exact" w:before="3"/>
              <w:ind w:left="305"/>
              <w:rPr>
                <w:sz w:val="24"/>
              </w:rPr>
            </w:pPr>
            <w:r>
              <w:rPr>
                <w:sz w:val="24"/>
              </w:rPr>
              <w:t>15mg/kg/qd</w:t>
            </w:r>
          </w:p>
        </w:tc>
      </w:tr>
    </w:tbl>
    <w:p>
      <w:pPr>
        <w:pStyle w:val="BodyText"/>
        <w:spacing w:before="2"/>
        <w:rPr>
          <w:sz w:val="6"/>
        </w:rPr>
      </w:pPr>
    </w:p>
    <w:p>
      <w:pPr>
        <w:pStyle w:val="BodyText"/>
        <w:spacing w:before="39"/>
        <w:ind w:left="1462"/>
        <w:jc w:val="both"/>
      </w:pPr>
      <w:r>
        <w:rPr/>
        <w:pict>
          <v:group style="position:absolute;margin-left:573pt;margin-top:-68.059174pt;width:39.4pt;height:177.4pt;mso-position-horizontal-relative:page;mso-position-vertical-relative:paragraph;z-index:251900928" coordorigin="11460,-1361" coordsize="788,3548">
            <v:shape style="position:absolute;left:11460;top:-1362;width:788;height:3548" coordorigin="11460,-1361" coordsize="788,3548" path="m12247,-1361l11625,-1361,11561,-1348,11508,-1313,11473,-1260,11460,-1196,11460,2021,11473,2086,11508,2138,11561,2174,11625,2187,12247,2187,12247,-1361xe" filled="true" fillcolor="#a6a6a6" stroked="false">
              <v:path arrowok="t"/>
              <v:fill type="solid"/>
            </v:shape>
            <v:shape style="position:absolute;left:11460;top:-1362;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t>Ethionamide/prothionamide (Eto/PTO) 15~20mg/kg bid-tid (Max 1g)</w:t>
      </w:r>
    </w:p>
    <w:p>
      <w:pPr>
        <w:pStyle w:val="BodyText"/>
        <w:spacing w:before="78"/>
        <w:ind w:left="1462"/>
        <w:jc w:val="both"/>
      </w:pPr>
      <w:r>
        <w:rPr>
          <w:i/>
          <w:sz w:val="25"/>
        </w:rPr>
        <w:t>p</w:t>
      </w:r>
      <w:r>
        <w:rPr/>
        <w:t>-aminosalicylic acid (PAS) 150mg/kg bid-qid (Max 12gm)</w:t>
      </w:r>
    </w:p>
    <w:p>
      <w:pPr>
        <w:pStyle w:val="ListParagraph"/>
        <w:numPr>
          <w:ilvl w:val="0"/>
          <w:numId w:val="166"/>
        </w:numPr>
        <w:tabs>
          <w:tab w:pos="1850" w:val="left" w:leader="none"/>
        </w:tabs>
        <w:spacing w:line="220" w:lineRule="auto" w:before="180" w:after="0"/>
        <w:ind w:left="1849" w:right="1358" w:hanging="342"/>
        <w:jc w:val="both"/>
        <w:rPr>
          <w:sz w:val="24"/>
        </w:rPr>
      </w:pPr>
      <w:r>
        <w:rPr>
          <w:spacing w:val="3"/>
          <w:sz w:val="24"/>
        </w:rPr>
        <w:t>當無法從 </w:t>
      </w:r>
      <w:r>
        <w:rPr>
          <w:sz w:val="24"/>
        </w:rPr>
        <w:t>Group</w:t>
      </w:r>
      <w:r>
        <w:rPr>
          <w:spacing w:val="-11"/>
          <w:sz w:val="24"/>
        </w:rPr>
        <w:t> </w:t>
      </w:r>
      <w:r>
        <w:rPr>
          <w:sz w:val="24"/>
        </w:rPr>
        <w:t>A</w:t>
      </w:r>
      <w:r>
        <w:rPr>
          <w:spacing w:val="3"/>
          <w:sz w:val="24"/>
        </w:rPr>
        <w:t> 與 </w:t>
      </w:r>
      <w:r>
        <w:rPr>
          <w:sz w:val="24"/>
        </w:rPr>
        <w:t>B</w:t>
      </w:r>
      <w:r>
        <w:rPr>
          <w:spacing w:val="-7"/>
          <w:sz w:val="24"/>
        </w:rPr>
        <w:t> 完成處方時，則加入 </w:t>
      </w:r>
      <w:r>
        <w:rPr>
          <w:sz w:val="24"/>
        </w:rPr>
        <w:t>Group</w:t>
      </w:r>
      <w:r>
        <w:rPr>
          <w:spacing w:val="-11"/>
          <w:sz w:val="24"/>
        </w:rPr>
        <w:t> </w:t>
      </w:r>
      <w:r>
        <w:rPr>
          <w:sz w:val="24"/>
        </w:rPr>
        <w:t>C</w:t>
      </w:r>
      <w:r>
        <w:rPr>
          <w:spacing w:val="-9"/>
          <w:sz w:val="24"/>
        </w:rPr>
        <w:t> 所有可能藥物。</w:t>
      </w:r>
      <w:r>
        <w:rPr>
          <w:sz w:val="24"/>
        </w:rPr>
        <w:t>MDR- TB 治療處方通常包含兩種以上的C</w:t>
      </w:r>
      <w:r>
        <w:rPr>
          <w:spacing w:val="-9"/>
          <w:sz w:val="24"/>
        </w:rPr>
        <w:t> 類藥物。選擇此類藥物包括</w:t>
      </w:r>
      <w:r>
        <w:rPr>
          <w:sz w:val="24"/>
        </w:rPr>
        <w:t>ethionamide </w:t>
      </w:r>
      <w:r>
        <w:rPr>
          <w:spacing w:val="3"/>
          <w:sz w:val="24"/>
        </w:rPr>
        <w:t>或 </w:t>
      </w:r>
      <w:r>
        <w:rPr>
          <w:spacing w:val="-6"/>
          <w:sz w:val="24"/>
        </w:rPr>
        <w:t>prothionamide</w:t>
      </w:r>
      <w:r>
        <w:rPr>
          <w:sz w:val="24"/>
        </w:rPr>
        <w:t>，但因個案本身的特殊性以及藥物利弊常需權衡藥物使用</w:t>
      </w:r>
      <w:r>
        <w:rPr>
          <w:spacing w:val="-2"/>
          <w:sz w:val="24"/>
        </w:rPr>
        <w:t>順序。如果不能使用 </w:t>
      </w:r>
      <w:r>
        <w:rPr>
          <w:spacing w:val="-13"/>
          <w:sz w:val="24"/>
        </w:rPr>
        <w:t>Z</w:t>
      </w:r>
      <w:r>
        <w:rPr>
          <w:sz w:val="24"/>
        </w:rPr>
        <w:t>，則要加上一種 C</w:t>
      </w:r>
      <w:r>
        <w:rPr>
          <w:spacing w:val="-2"/>
          <w:sz w:val="24"/>
        </w:rPr>
        <w:t> 類藥物代替。</w:t>
      </w:r>
      <w:r>
        <w:rPr>
          <w:sz w:val="24"/>
        </w:rPr>
        <w:t>ethionamide</w:t>
      </w:r>
      <w:r>
        <w:rPr>
          <w:spacing w:val="3"/>
          <w:sz w:val="24"/>
        </w:rPr>
        <w:t> 可以跟prothionamide</w:t>
      </w:r>
      <w:r>
        <w:rPr>
          <w:spacing w:val="10"/>
          <w:sz w:val="24"/>
        </w:rPr>
        <w:t> 互相取代。</w:t>
      </w:r>
      <w:r>
        <w:rPr>
          <w:sz w:val="24"/>
        </w:rPr>
        <w:t>C</w:t>
      </w:r>
      <w:r>
        <w:rPr>
          <w:spacing w:val="9"/>
          <w:sz w:val="24"/>
        </w:rPr>
        <w:t> 類藥物因缺少可信賴的 </w:t>
      </w:r>
      <w:r>
        <w:rPr>
          <w:sz w:val="24"/>
        </w:rPr>
        <w:t>DST</w:t>
      </w:r>
      <w:r>
        <w:rPr>
          <w:spacing w:val="2"/>
          <w:sz w:val="24"/>
        </w:rPr>
        <w:t>，選擇藥物的關</w:t>
      </w:r>
      <w:r>
        <w:rPr>
          <w:spacing w:val="35"/>
          <w:sz w:val="24"/>
        </w:rPr>
        <w:t>鍵在於平衡臨床反應及其他考量因素。 </w:t>
      </w:r>
      <w:r>
        <w:rPr>
          <w:sz w:val="24"/>
        </w:rPr>
        <w:t>2011</w:t>
      </w:r>
      <w:r>
        <w:rPr>
          <w:spacing w:val="35"/>
          <w:sz w:val="24"/>
        </w:rPr>
        <w:t> 年系統回顧中發現， </w:t>
      </w:r>
      <w:r>
        <w:rPr>
          <w:sz w:val="24"/>
        </w:rPr>
        <w:t>ethionamide</w:t>
      </w:r>
      <w:r>
        <w:rPr>
          <w:spacing w:val="3"/>
          <w:sz w:val="24"/>
        </w:rPr>
        <w:t> 或 </w:t>
      </w:r>
      <w:r>
        <w:rPr>
          <w:sz w:val="24"/>
        </w:rPr>
        <w:t>prothionamide</w:t>
      </w:r>
      <w:r>
        <w:rPr>
          <w:spacing w:val="3"/>
          <w:sz w:val="24"/>
        </w:rPr>
        <w:t> 與較高的治療成功率相關。</w:t>
      </w:r>
    </w:p>
    <w:p>
      <w:pPr>
        <w:pStyle w:val="ListParagraph"/>
        <w:numPr>
          <w:ilvl w:val="0"/>
          <w:numId w:val="166"/>
        </w:numPr>
        <w:tabs>
          <w:tab w:pos="1850" w:val="left" w:leader="none"/>
        </w:tabs>
        <w:spacing w:line="220" w:lineRule="auto" w:before="109" w:after="0"/>
        <w:ind w:left="1849" w:right="1359" w:hanging="342"/>
        <w:jc w:val="both"/>
        <w:rPr>
          <w:sz w:val="24"/>
        </w:rPr>
      </w:pPr>
      <w:r>
        <w:rPr>
          <w:b/>
          <w:sz w:val="24"/>
        </w:rPr>
        <w:t>Delamanid</w:t>
      </w:r>
      <w:r>
        <w:rPr>
          <w:b/>
          <w:spacing w:val="49"/>
          <w:sz w:val="24"/>
        </w:rPr>
        <w:t> </w:t>
      </w:r>
      <w:r>
        <w:rPr>
          <w:b/>
          <w:sz w:val="24"/>
        </w:rPr>
        <w:t>(DLM</w:t>
      </w:r>
      <w:r>
        <w:rPr>
          <w:b/>
          <w:spacing w:val="11"/>
          <w:sz w:val="24"/>
        </w:rPr>
        <w:t>) </w:t>
      </w:r>
      <w:r>
        <w:rPr>
          <w:spacing w:val="18"/>
          <w:sz w:val="24"/>
        </w:rPr>
        <w:t>是 </w:t>
      </w:r>
      <w:r>
        <w:rPr>
          <w:sz w:val="24"/>
        </w:rPr>
        <w:t>nitro-dihydro-imidazooxazole</w:t>
      </w:r>
      <w:r>
        <w:rPr>
          <w:spacing w:val="4"/>
          <w:sz w:val="24"/>
        </w:rPr>
        <w:t> 衍生物，已被歐洲藥品管理局 </w:t>
      </w:r>
      <w:r>
        <w:rPr>
          <w:sz w:val="24"/>
        </w:rPr>
        <w:t>European</w:t>
      </w:r>
      <w:r>
        <w:rPr>
          <w:spacing w:val="13"/>
          <w:sz w:val="24"/>
        </w:rPr>
        <w:t> </w:t>
      </w:r>
      <w:r>
        <w:rPr>
          <w:sz w:val="24"/>
        </w:rPr>
        <w:t>Medicines</w:t>
      </w:r>
      <w:r>
        <w:rPr>
          <w:spacing w:val="9"/>
          <w:sz w:val="24"/>
        </w:rPr>
        <w:t> </w:t>
      </w:r>
      <w:r>
        <w:rPr>
          <w:sz w:val="24"/>
        </w:rPr>
        <w:t>Agency</w:t>
      </w:r>
      <w:r>
        <w:rPr>
          <w:spacing w:val="5"/>
          <w:sz w:val="24"/>
        </w:rPr>
        <w:t> (</w:t>
      </w:r>
      <w:r>
        <w:rPr>
          <w:sz w:val="24"/>
        </w:rPr>
        <w:t>EMA</w:t>
      </w:r>
      <w:r>
        <w:rPr>
          <w:spacing w:val="2"/>
          <w:sz w:val="24"/>
        </w:rPr>
        <w:t>)許可用來治療 </w:t>
      </w:r>
      <w:r>
        <w:rPr>
          <w:sz w:val="24"/>
        </w:rPr>
        <w:t>MDR-TB， </w:t>
      </w:r>
      <w:r>
        <w:rPr>
          <w:spacing w:val="2"/>
          <w:sz w:val="24"/>
        </w:rPr>
        <w:t>但還未獲得美國食品藥物管理局(</w:t>
      </w:r>
      <w:r>
        <w:rPr>
          <w:sz w:val="24"/>
        </w:rPr>
        <w:t>FDA</w:t>
      </w:r>
      <w:r>
        <w:rPr>
          <w:spacing w:val="6"/>
          <w:sz w:val="24"/>
        </w:rPr>
        <w:t>)許可。雖然使用 </w:t>
      </w:r>
      <w:r>
        <w:rPr>
          <w:sz w:val="24"/>
        </w:rPr>
        <w:t>DLM</w:t>
      </w:r>
      <w:r>
        <w:rPr>
          <w:spacing w:val="19"/>
          <w:sz w:val="24"/>
        </w:rPr>
        <w:t> 來治療 </w:t>
      </w:r>
      <w:r>
        <w:rPr>
          <w:sz w:val="24"/>
        </w:rPr>
        <w:t>MDR- TB</w:t>
      </w:r>
      <w:r>
        <w:rPr>
          <w:spacing w:val="2"/>
          <w:sz w:val="24"/>
        </w:rPr>
        <w:t> 的相關資料較少，</w:t>
      </w:r>
      <w:r>
        <w:rPr>
          <w:sz w:val="24"/>
        </w:rPr>
        <w:t>WHO</w:t>
      </w:r>
      <w:r>
        <w:rPr>
          <w:spacing w:val="2"/>
          <w:sz w:val="24"/>
        </w:rPr>
        <w:t> 對於使用 </w:t>
      </w:r>
      <w:r>
        <w:rPr>
          <w:sz w:val="24"/>
        </w:rPr>
        <w:t>DLM</w:t>
      </w:r>
      <w:r>
        <w:rPr>
          <w:spacing w:val="3"/>
          <w:sz w:val="24"/>
        </w:rPr>
        <w:t> 已發佈使用建議。</w:t>
      </w:r>
    </w:p>
    <w:p>
      <w:pPr>
        <w:pStyle w:val="ListParagraph"/>
        <w:numPr>
          <w:ilvl w:val="1"/>
          <w:numId w:val="166"/>
        </w:numPr>
        <w:tabs>
          <w:tab w:pos="2337" w:val="left" w:leader="none"/>
        </w:tabs>
        <w:spacing w:line="220" w:lineRule="auto" w:before="0" w:after="0"/>
        <w:ind w:left="2336" w:right="1358" w:hanging="489"/>
        <w:jc w:val="both"/>
        <w:rPr>
          <w:sz w:val="24"/>
        </w:rPr>
      </w:pPr>
      <w:r>
        <w:rPr>
          <w:sz w:val="24"/>
        </w:rPr>
        <w:t>2012</w:t>
      </w:r>
      <w:r>
        <w:rPr>
          <w:spacing w:val="3"/>
          <w:sz w:val="24"/>
        </w:rPr>
        <w:t> 年 </w:t>
      </w:r>
      <w:r>
        <w:rPr>
          <w:sz w:val="24"/>
        </w:rPr>
        <w:t>Gler 等發表一篇隨機對照臨床試驗，</w:t>
      </w:r>
      <w:r>
        <w:rPr>
          <w:spacing w:val="-4"/>
          <w:sz w:val="24"/>
        </w:rPr>
        <w:t>481</w:t>
      </w:r>
      <w:r>
        <w:rPr>
          <w:spacing w:val="2"/>
          <w:sz w:val="24"/>
        </w:rPr>
        <w:t> 位個案服用 </w:t>
      </w:r>
      <w:r>
        <w:rPr>
          <w:sz w:val="24"/>
        </w:rPr>
        <w:t>WHO</w:t>
      </w:r>
      <w:r>
        <w:rPr>
          <w:spacing w:val="2"/>
          <w:sz w:val="24"/>
        </w:rPr>
        <w:t> 建議的治療處方外，再加上隨機分配服用兩個月的 </w:t>
      </w:r>
      <w:r>
        <w:rPr>
          <w:sz w:val="24"/>
        </w:rPr>
        <w:t>DLM</w:t>
      </w:r>
      <w:r>
        <w:rPr>
          <w:spacing w:val="36"/>
          <w:sz w:val="24"/>
        </w:rPr>
        <w:t> </w:t>
      </w:r>
      <w:r>
        <w:rPr>
          <w:sz w:val="24"/>
        </w:rPr>
        <w:t>100mg</w:t>
      </w:r>
      <w:r>
        <w:rPr>
          <w:spacing w:val="2"/>
          <w:sz w:val="24"/>
        </w:rPr>
        <w:t> 一天兩</w:t>
      </w:r>
      <w:r>
        <w:rPr>
          <w:spacing w:val="-12"/>
          <w:sz w:val="24"/>
        </w:rPr>
        <w:t>次，</w:t>
      </w:r>
      <w:r>
        <w:rPr>
          <w:spacing w:val="-3"/>
          <w:sz w:val="24"/>
        </w:rPr>
        <w:t>200mg</w:t>
      </w:r>
      <w:r>
        <w:rPr>
          <w:spacing w:val="-2"/>
          <w:sz w:val="24"/>
        </w:rPr>
        <w:t> 一天兩次或是安慰劑。服用 </w:t>
      </w:r>
      <w:r>
        <w:rPr>
          <w:sz w:val="24"/>
        </w:rPr>
        <w:t>DLM</w:t>
      </w:r>
      <w:r>
        <w:rPr>
          <w:spacing w:val="1"/>
          <w:sz w:val="24"/>
        </w:rPr>
        <w:t> 兩個月後痰液培養陰轉率</w:t>
      </w:r>
      <w:r>
        <w:rPr>
          <w:spacing w:val="7"/>
          <w:sz w:val="24"/>
        </w:rPr>
        <w:t>為 </w:t>
      </w:r>
      <w:r>
        <w:rPr>
          <w:sz w:val="24"/>
        </w:rPr>
        <w:t>45.4%</w:t>
      </w:r>
      <w:r>
        <w:rPr>
          <w:spacing w:val="1"/>
          <w:sz w:val="24"/>
        </w:rPr>
        <w:t>，而安慰劑組則為 </w:t>
      </w:r>
      <w:r>
        <w:rPr>
          <w:sz w:val="24"/>
        </w:rPr>
        <w:t>29.6%</w:t>
      </w:r>
      <w:r>
        <w:rPr>
          <w:spacing w:val="4"/>
          <w:sz w:val="24"/>
        </w:rPr>
        <w:t>。接受 </w:t>
      </w:r>
      <w:r>
        <w:rPr>
          <w:sz w:val="24"/>
        </w:rPr>
        <w:t>delamanid</w:t>
      </w:r>
      <w:r>
        <w:rPr>
          <w:spacing w:val="-5"/>
          <w:sz w:val="24"/>
        </w:rPr>
        <w:t> </w:t>
      </w:r>
      <w:r>
        <w:rPr>
          <w:sz w:val="24"/>
        </w:rPr>
        <w:t>100mg</w:t>
      </w:r>
      <w:r>
        <w:rPr>
          <w:spacing w:val="-6"/>
          <w:sz w:val="24"/>
        </w:rPr>
        <w:t> </w:t>
      </w:r>
      <w:r>
        <w:rPr>
          <w:sz w:val="24"/>
        </w:rPr>
        <w:t>bid</w:t>
      </w:r>
      <w:r>
        <w:rPr>
          <w:spacing w:val="5"/>
          <w:sz w:val="24"/>
        </w:rPr>
        <w:t> 的病</w:t>
      </w:r>
      <w:r>
        <w:rPr>
          <w:spacing w:val="3"/>
          <w:sz w:val="24"/>
        </w:rPr>
        <w:t>人 </w:t>
      </w:r>
      <w:r>
        <w:rPr>
          <w:sz w:val="24"/>
        </w:rPr>
        <w:t>10</w:t>
      </w:r>
      <w:r>
        <w:rPr>
          <w:spacing w:val="1"/>
          <w:sz w:val="24"/>
        </w:rPr>
        <w:t>%有 </w:t>
      </w:r>
      <w:r>
        <w:rPr>
          <w:sz w:val="24"/>
        </w:rPr>
        <w:t>QT</w:t>
      </w:r>
      <w:r>
        <w:rPr>
          <w:spacing w:val="2"/>
          <w:sz w:val="24"/>
        </w:rPr>
        <w:t> 延長，但是臨床不良反應事件中沒有與 </w:t>
      </w:r>
      <w:r>
        <w:rPr>
          <w:sz w:val="24"/>
        </w:rPr>
        <w:t>QT</w:t>
      </w:r>
      <w:r>
        <w:rPr>
          <w:spacing w:val="2"/>
          <w:sz w:val="24"/>
        </w:rPr>
        <w:t> 延長有關。</w:t>
      </w:r>
    </w:p>
    <w:p>
      <w:pPr>
        <w:pStyle w:val="ListParagraph"/>
        <w:numPr>
          <w:ilvl w:val="1"/>
          <w:numId w:val="166"/>
        </w:numPr>
        <w:tabs>
          <w:tab w:pos="2337" w:val="left" w:leader="none"/>
        </w:tabs>
        <w:spacing w:line="220" w:lineRule="auto" w:before="0" w:after="0"/>
        <w:ind w:left="2336" w:right="1356" w:hanging="489"/>
        <w:jc w:val="both"/>
        <w:rPr>
          <w:sz w:val="24"/>
        </w:rPr>
      </w:pPr>
      <w:r>
        <w:rPr>
          <w:sz w:val="24"/>
        </w:rPr>
        <w:t>Skripconoka</w:t>
      </w:r>
      <w:r>
        <w:rPr>
          <w:spacing w:val="5"/>
          <w:sz w:val="24"/>
        </w:rPr>
        <w:t> 等在 </w:t>
      </w:r>
      <w:r>
        <w:rPr>
          <w:sz w:val="24"/>
        </w:rPr>
        <w:t>2013 的一篇開放性研究中指出，統合分析三篇研究</w:t>
      </w:r>
      <w:r>
        <w:rPr>
          <w:spacing w:val="2"/>
          <w:sz w:val="24"/>
        </w:rPr>
        <w:t>結果顯示服用 </w:t>
      </w:r>
      <w:r>
        <w:rPr>
          <w:sz w:val="24"/>
        </w:rPr>
        <w:t>DLM</w:t>
      </w:r>
      <w:r>
        <w:rPr>
          <w:spacing w:val="2"/>
          <w:sz w:val="24"/>
        </w:rPr>
        <w:t> 六個月的個案死亡率減少到 </w:t>
      </w:r>
      <w:r>
        <w:rPr>
          <w:spacing w:val="-7"/>
          <w:sz w:val="24"/>
        </w:rPr>
        <w:t>1</w:t>
      </w:r>
      <w:r>
        <w:rPr>
          <w:spacing w:val="-1"/>
          <w:sz w:val="24"/>
        </w:rPr>
        <w:t>%；而服用≦兩個月的</w:t>
      </w:r>
      <w:r>
        <w:rPr>
          <w:spacing w:val="1"/>
          <w:sz w:val="24"/>
        </w:rPr>
        <w:t>死亡率為 </w:t>
      </w:r>
      <w:r>
        <w:rPr>
          <w:sz w:val="24"/>
        </w:rPr>
        <w:t>8.3%。</w:t>
      </w:r>
    </w:p>
    <w:p>
      <w:pPr>
        <w:pStyle w:val="BodyText"/>
        <w:spacing w:line="220" w:lineRule="auto"/>
        <w:ind w:left="2494" w:right="1362" w:hanging="681"/>
        <w:jc w:val="both"/>
      </w:pPr>
      <w:r>
        <w:rPr/>
        <w:t>總結：DLM 可用於治療 MDR/XDR-TB。同時使用 DLM 與 BDQ 的經驗已有報告。</w:t>
      </w:r>
    </w:p>
    <w:p>
      <w:pPr>
        <w:pStyle w:val="ListParagraph"/>
        <w:numPr>
          <w:ilvl w:val="0"/>
          <w:numId w:val="166"/>
        </w:numPr>
        <w:tabs>
          <w:tab w:pos="1850" w:val="left" w:leader="none"/>
        </w:tabs>
        <w:spacing w:line="228" w:lineRule="auto" w:before="73" w:after="0"/>
        <w:ind w:left="1849" w:right="1358" w:hanging="342"/>
        <w:jc w:val="both"/>
        <w:rPr>
          <w:sz w:val="24"/>
        </w:rPr>
      </w:pPr>
      <w:r>
        <w:rPr>
          <w:b/>
          <w:sz w:val="24"/>
        </w:rPr>
        <w:t>Pyrazinamide</w:t>
      </w:r>
      <w:r>
        <w:rPr>
          <w:b/>
          <w:spacing w:val="9"/>
          <w:sz w:val="24"/>
        </w:rPr>
        <w:t> </w:t>
      </w:r>
      <w:r>
        <w:rPr>
          <w:spacing w:val="3"/>
          <w:sz w:val="24"/>
        </w:rPr>
        <w:t>可縮短由 </w:t>
      </w:r>
      <w:r>
        <w:rPr>
          <w:sz w:val="24"/>
        </w:rPr>
        <w:t>INH</w:t>
      </w:r>
      <w:r>
        <w:rPr>
          <w:spacing w:val="7"/>
          <w:sz w:val="24"/>
        </w:rPr>
        <w:t> 及 </w:t>
      </w:r>
      <w:r>
        <w:rPr>
          <w:sz w:val="24"/>
        </w:rPr>
        <w:t>RMP</w:t>
      </w:r>
      <w:r>
        <w:rPr>
          <w:spacing w:val="3"/>
          <w:sz w:val="24"/>
        </w:rPr>
        <w:t> 當為基本藥物之治療處方至六個月。</w:t>
      </w:r>
      <w:r>
        <w:rPr>
          <w:spacing w:val="2"/>
          <w:sz w:val="24"/>
        </w:rPr>
        <w:t>但是 </w:t>
      </w:r>
      <w:r>
        <w:rPr>
          <w:sz w:val="24"/>
        </w:rPr>
        <w:t>Z</w:t>
      </w:r>
      <w:r>
        <w:rPr>
          <w:spacing w:val="2"/>
          <w:sz w:val="24"/>
        </w:rPr>
        <w:t> 在 </w:t>
      </w:r>
      <w:r>
        <w:rPr>
          <w:sz w:val="24"/>
        </w:rPr>
        <w:t>MDR-TB</w:t>
      </w:r>
      <w:r>
        <w:rPr>
          <w:spacing w:val="3"/>
          <w:sz w:val="24"/>
        </w:rPr>
        <w:t> 治療中的角色仍不明確。</w:t>
      </w:r>
    </w:p>
    <w:p>
      <w:pPr>
        <w:pStyle w:val="ListParagraph"/>
        <w:numPr>
          <w:ilvl w:val="1"/>
          <w:numId w:val="167"/>
        </w:numPr>
        <w:tabs>
          <w:tab w:pos="2337" w:val="left" w:leader="none"/>
        </w:tabs>
        <w:spacing w:line="225" w:lineRule="auto" w:before="0" w:after="0"/>
        <w:ind w:left="2336" w:right="1358" w:hanging="489"/>
        <w:jc w:val="both"/>
        <w:rPr>
          <w:sz w:val="24"/>
        </w:rPr>
      </w:pPr>
      <w:r>
        <w:rPr>
          <w:sz w:val="24"/>
        </w:rPr>
        <w:t>2012</w:t>
      </w:r>
      <w:r>
        <w:rPr>
          <w:spacing w:val="12"/>
          <w:sz w:val="24"/>
        </w:rPr>
        <w:t> 年 </w:t>
      </w:r>
      <w:r>
        <w:rPr>
          <w:sz w:val="24"/>
        </w:rPr>
        <w:t>Chang</w:t>
      </w:r>
      <w:r>
        <w:rPr>
          <w:spacing w:val="4"/>
          <w:sz w:val="24"/>
        </w:rPr>
        <w:t> 等作者在香港進行 </w:t>
      </w:r>
      <w:r>
        <w:rPr>
          <w:sz w:val="24"/>
        </w:rPr>
        <w:t>MDR-TB</w:t>
      </w:r>
      <w:r>
        <w:rPr>
          <w:spacing w:val="4"/>
          <w:sz w:val="24"/>
        </w:rPr>
        <w:t> 回溯分析，</w:t>
      </w:r>
      <w:r>
        <w:rPr>
          <w:sz w:val="24"/>
        </w:rPr>
        <w:t>194</w:t>
      </w:r>
      <w:r>
        <w:rPr>
          <w:spacing w:val="5"/>
          <w:sz w:val="24"/>
        </w:rPr>
        <w:t> 位個案以</w:t>
      </w:r>
      <w:r>
        <w:rPr>
          <w:spacing w:val="3"/>
          <w:sz w:val="24"/>
        </w:rPr>
        <w:t>服用 </w:t>
      </w:r>
      <w:r>
        <w:rPr>
          <w:sz w:val="24"/>
        </w:rPr>
        <w:t>Z</w:t>
      </w:r>
      <w:r>
        <w:rPr>
          <w:spacing w:val="-5"/>
          <w:sz w:val="24"/>
        </w:rPr>
        <w:t> 及藥物感受性試驗分類。與未服用 </w:t>
      </w:r>
      <w:r>
        <w:rPr>
          <w:sz w:val="24"/>
        </w:rPr>
        <w:t>Z</w:t>
      </w:r>
      <w:r>
        <w:rPr>
          <w:spacing w:val="2"/>
          <w:sz w:val="24"/>
        </w:rPr>
        <w:t> 藥物個案以及服 </w:t>
      </w:r>
      <w:r>
        <w:rPr>
          <w:sz w:val="24"/>
        </w:rPr>
        <w:t>Z</w:t>
      </w:r>
      <w:r>
        <w:rPr>
          <w:spacing w:val="2"/>
          <w:sz w:val="24"/>
        </w:rPr>
        <w:t> 但是對 </w:t>
      </w:r>
      <w:r>
        <w:rPr>
          <w:sz w:val="24"/>
        </w:rPr>
        <w:t>Z </w:t>
      </w:r>
      <w:r>
        <w:rPr>
          <w:spacing w:val="5"/>
          <w:sz w:val="24"/>
        </w:rPr>
        <w:t>抗藥的個案來比較，服用 </w:t>
      </w:r>
      <w:r>
        <w:rPr>
          <w:sz w:val="24"/>
        </w:rPr>
        <w:t>Z</w:t>
      </w:r>
      <w:r>
        <w:rPr>
          <w:spacing w:val="4"/>
          <w:sz w:val="24"/>
        </w:rPr>
        <w:t> 且對其敏感的個案有較早的痰液培養陰轉</w:t>
      </w:r>
      <w:r>
        <w:rPr>
          <w:spacing w:val="3"/>
          <w:sz w:val="24"/>
        </w:rPr>
        <w:t>以及較高的治療成功率。</w:t>
      </w:r>
    </w:p>
    <w:p>
      <w:pPr>
        <w:pStyle w:val="ListParagraph"/>
        <w:numPr>
          <w:ilvl w:val="1"/>
          <w:numId w:val="167"/>
        </w:numPr>
        <w:tabs>
          <w:tab w:pos="2337" w:val="left" w:leader="none"/>
        </w:tabs>
        <w:spacing w:line="223" w:lineRule="auto" w:before="0" w:after="0"/>
        <w:ind w:left="2336" w:right="1357" w:hanging="489"/>
        <w:jc w:val="both"/>
        <w:rPr>
          <w:sz w:val="24"/>
        </w:rPr>
      </w:pPr>
      <w:r>
        <w:rPr>
          <w:sz w:val="24"/>
        </w:rPr>
        <w:t>2015</w:t>
      </w:r>
      <w:r>
        <w:rPr>
          <w:spacing w:val="3"/>
          <w:sz w:val="24"/>
        </w:rPr>
        <w:t> 年 </w:t>
      </w:r>
      <w:r>
        <w:rPr>
          <w:sz w:val="24"/>
        </w:rPr>
        <w:t>Franke</w:t>
      </w:r>
      <w:r>
        <w:rPr>
          <w:spacing w:val="2"/>
          <w:sz w:val="24"/>
        </w:rPr>
        <w:t> 等作者在秘魯以 </w:t>
      </w:r>
      <w:r>
        <w:rPr>
          <w:sz w:val="24"/>
        </w:rPr>
        <w:t>668</w:t>
      </w:r>
      <w:r>
        <w:rPr>
          <w:spacing w:val="3"/>
          <w:sz w:val="24"/>
        </w:rPr>
        <w:t> 位 </w:t>
      </w:r>
      <w:r>
        <w:rPr>
          <w:sz w:val="24"/>
        </w:rPr>
        <w:t>MDR-TB</w:t>
      </w:r>
      <w:r>
        <w:rPr>
          <w:spacing w:val="2"/>
          <w:sz w:val="24"/>
        </w:rPr>
        <w:t> 的個案執性回溯性研究結果顯示，個案服用五種有效藥，包含可能有效的 </w:t>
      </w:r>
      <w:r>
        <w:rPr>
          <w:sz w:val="24"/>
        </w:rPr>
        <w:t>Z</w:t>
      </w:r>
      <w:r>
        <w:rPr>
          <w:spacing w:val="2"/>
          <w:sz w:val="24"/>
        </w:rPr>
        <w:t>，其死亡率與服</w:t>
      </w:r>
    </w:p>
    <w:p>
      <w:pPr>
        <w:spacing w:after="0" w:line="223" w:lineRule="auto"/>
        <w:jc w:val="both"/>
        <w:rPr>
          <w:sz w:val="24"/>
        </w:rPr>
        <w:sectPr>
          <w:pgSz w:w="12250" w:h="17190"/>
          <w:pgMar w:header="0" w:footer="734" w:top="1480" w:bottom="1020" w:left="1020" w:right="0"/>
        </w:sectPr>
      </w:pPr>
    </w:p>
    <w:p>
      <w:pPr>
        <w:pStyle w:val="BodyText"/>
        <w:spacing w:line="426" w:lineRule="exact" w:before="24"/>
        <w:ind w:left="2336"/>
        <w:jc w:val="both"/>
      </w:pPr>
      <w:r>
        <w:rPr/>
        <w:t>用五種有效藥卻沒有吃 Z 的個案一樣。沒有證據顯示當 Z 抗藥時，用上</w:t>
      </w:r>
    </w:p>
    <w:p>
      <w:pPr>
        <w:pStyle w:val="BodyText"/>
        <w:spacing w:line="426" w:lineRule="exact"/>
        <w:ind w:left="2336"/>
        <w:jc w:val="both"/>
      </w:pPr>
      <w:r>
        <w:rPr/>
        <w:t>Z 會有幫助。</w:t>
      </w:r>
    </w:p>
    <w:p>
      <w:pPr>
        <w:pStyle w:val="BodyText"/>
        <w:spacing w:before="12"/>
        <w:ind w:left="1858"/>
        <w:jc w:val="both"/>
      </w:pPr>
      <w:r>
        <w:rPr/>
        <w:t>總結：根據這些研究結果，如果認為 Z 是有效藥，Z 應該納入治療處方。</w:t>
      </w:r>
    </w:p>
    <w:p>
      <w:pPr>
        <w:pStyle w:val="ListParagraph"/>
        <w:numPr>
          <w:ilvl w:val="0"/>
          <w:numId w:val="166"/>
        </w:numPr>
        <w:tabs>
          <w:tab w:pos="1850" w:val="left" w:leader="none"/>
        </w:tabs>
        <w:spacing w:line="225" w:lineRule="auto" w:before="77" w:after="0"/>
        <w:ind w:left="1849" w:right="1296" w:hanging="342"/>
        <w:jc w:val="both"/>
        <w:rPr>
          <w:sz w:val="24"/>
        </w:rPr>
      </w:pPr>
      <w:r>
        <w:rPr>
          <w:b/>
          <w:sz w:val="24"/>
        </w:rPr>
        <w:t>carbapenems</w:t>
      </w:r>
      <w:r>
        <w:rPr>
          <w:b/>
          <w:spacing w:val="6"/>
          <w:sz w:val="24"/>
        </w:rPr>
        <w:t> 是 </w:t>
      </w:r>
      <w:r>
        <w:rPr>
          <w:b/>
          <w:sz w:val="24"/>
        </w:rPr>
        <w:t>β-lactam</w:t>
      </w:r>
      <w:r>
        <w:rPr>
          <w:b/>
          <w:spacing w:val="7"/>
          <w:sz w:val="24"/>
        </w:rPr>
        <w:t> 類抗生素，</w:t>
      </w:r>
      <w:r>
        <w:rPr>
          <w:b/>
          <w:spacing w:val="2"/>
          <w:sz w:val="24"/>
        </w:rPr>
        <w:t>β-lactam</w:t>
      </w:r>
      <w:r>
        <w:rPr>
          <w:b/>
          <w:spacing w:val="7"/>
          <w:sz w:val="24"/>
        </w:rPr>
        <w:t> 酵素的作用是破壞 </w:t>
      </w:r>
      <w:r>
        <w:rPr>
          <w:b/>
          <w:sz w:val="24"/>
        </w:rPr>
        <w:t>β- lactam</w:t>
      </w:r>
      <w:r>
        <w:rPr>
          <w:b/>
          <w:spacing w:val="3"/>
          <w:sz w:val="24"/>
        </w:rPr>
        <w:t>。而合併 </w:t>
      </w:r>
      <w:r>
        <w:rPr>
          <w:b/>
          <w:sz w:val="24"/>
        </w:rPr>
        <w:t>amoxicillin</w:t>
      </w:r>
      <w:r>
        <w:rPr>
          <w:b/>
          <w:spacing w:val="9"/>
          <w:sz w:val="24"/>
        </w:rPr>
        <w:t> 與 </w:t>
      </w:r>
      <w:r>
        <w:rPr>
          <w:b/>
          <w:sz w:val="24"/>
        </w:rPr>
        <w:t>β-lactamase</w:t>
      </w:r>
      <w:r>
        <w:rPr>
          <w:b/>
          <w:spacing w:val="-6"/>
          <w:sz w:val="24"/>
        </w:rPr>
        <w:t> </w:t>
      </w:r>
      <w:r>
        <w:rPr>
          <w:b/>
          <w:sz w:val="24"/>
        </w:rPr>
        <w:t>inhibitor</w:t>
      </w:r>
      <w:r>
        <w:rPr>
          <w:b/>
          <w:spacing w:val="3"/>
          <w:sz w:val="24"/>
        </w:rPr>
        <w:t> 在體外的研究發現可對抗結核分枝桿菌的活動性，及體內早期清除細菌。</w:t>
      </w:r>
      <w:r>
        <w:rPr>
          <w:sz w:val="24"/>
        </w:rPr>
        <w:t>Carbapenems</w:t>
      </w:r>
      <w:r>
        <w:rPr>
          <w:spacing w:val="16"/>
          <w:sz w:val="24"/>
        </w:rPr>
        <w:t> 與</w:t>
      </w:r>
      <w:r>
        <w:rPr>
          <w:sz w:val="24"/>
        </w:rPr>
        <w:t>β- lactamase</w:t>
      </w:r>
      <w:r>
        <w:rPr>
          <w:spacing w:val="-1"/>
          <w:sz w:val="24"/>
        </w:rPr>
        <w:t> </w:t>
      </w:r>
      <w:r>
        <w:rPr>
          <w:sz w:val="24"/>
        </w:rPr>
        <w:t>inhibitor</w:t>
      </w:r>
      <w:r>
        <w:rPr>
          <w:spacing w:val="-3"/>
          <w:sz w:val="24"/>
        </w:rPr>
        <w:t> </w:t>
      </w:r>
      <w:r>
        <w:rPr>
          <w:sz w:val="24"/>
        </w:rPr>
        <w:t>clavulanate</w:t>
      </w:r>
      <w:r>
        <w:rPr>
          <w:spacing w:val="3"/>
          <w:sz w:val="24"/>
        </w:rPr>
        <w:t> 合併使用可以增進 </w:t>
      </w:r>
      <w:r>
        <w:rPr>
          <w:sz w:val="24"/>
        </w:rPr>
        <w:t>MPM(meropenem)的efficacy 而 且 對 於 老 鼠 體 內 的 結 核 分 枝 桿 菌 有 殺 菌 作 用 。 使 用Carbapenems</w:t>
      </w:r>
      <w:r>
        <w:rPr>
          <w:spacing w:val="13"/>
          <w:sz w:val="24"/>
        </w:rPr>
        <w:t> 治療 </w:t>
      </w:r>
      <w:r>
        <w:rPr>
          <w:sz w:val="24"/>
        </w:rPr>
        <w:t>MDR/XDR-TB</w:t>
      </w:r>
      <w:r>
        <w:rPr>
          <w:spacing w:val="3"/>
          <w:sz w:val="24"/>
        </w:rPr>
        <w:t> 個案的臨床經驗仍然很少，其治療時間通常限制於治療加強期。</w:t>
      </w:r>
    </w:p>
    <w:p>
      <w:pPr>
        <w:pStyle w:val="ListParagraph"/>
        <w:numPr>
          <w:ilvl w:val="1"/>
          <w:numId w:val="168"/>
        </w:numPr>
        <w:tabs>
          <w:tab w:pos="2337" w:val="left" w:leader="none"/>
        </w:tabs>
        <w:spacing w:line="400" w:lineRule="exact" w:before="0" w:after="0"/>
        <w:ind w:left="2336" w:right="0" w:hanging="489"/>
        <w:jc w:val="left"/>
        <w:rPr>
          <w:sz w:val="24"/>
        </w:rPr>
      </w:pPr>
      <w:r>
        <w:rPr>
          <w:spacing w:val="3"/>
          <w:sz w:val="24"/>
        </w:rPr>
        <w:t>研究報告個案以靜脈注射 </w:t>
      </w:r>
      <w:r>
        <w:rPr>
          <w:sz w:val="24"/>
        </w:rPr>
        <w:t>IPM(imipenem</w:t>
      </w:r>
      <w:r>
        <w:rPr>
          <w:spacing w:val="2"/>
          <w:sz w:val="24"/>
        </w:rPr>
        <w:t>)為治療多重抗藥性結核病治</w:t>
      </w:r>
    </w:p>
    <w:p>
      <w:pPr>
        <w:pStyle w:val="BodyText"/>
        <w:spacing w:line="223" w:lineRule="auto" w:before="7"/>
        <w:ind w:left="2336" w:right="1358"/>
      </w:pPr>
      <w:r>
        <w:rPr/>
        <w:t>療處方中之一種藥物，10 位個案裡面有 8 位痰液陰轉，其中 7 位個案治療結束後持續的痰陰轉。</w:t>
      </w:r>
    </w:p>
    <w:p>
      <w:pPr>
        <w:pStyle w:val="ListParagraph"/>
        <w:numPr>
          <w:ilvl w:val="1"/>
          <w:numId w:val="168"/>
        </w:numPr>
        <w:tabs>
          <w:tab w:pos="2337" w:val="left" w:leader="none"/>
        </w:tabs>
        <w:spacing w:line="405" w:lineRule="exact" w:before="0" w:after="0"/>
        <w:ind w:left="2336" w:right="0" w:hanging="489"/>
        <w:jc w:val="left"/>
        <w:rPr>
          <w:sz w:val="24"/>
        </w:rPr>
      </w:pPr>
      <w:r>
        <w:rPr>
          <w:sz w:val="24"/>
        </w:rPr>
        <w:t>6</w:t>
      </w:r>
      <w:r>
        <w:rPr>
          <w:spacing w:val="9"/>
          <w:sz w:val="24"/>
        </w:rPr>
        <w:t> 位嚴重的 </w:t>
      </w:r>
      <w:r>
        <w:rPr>
          <w:sz w:val="24"/>
        </w:rPr>
        <w:t>fluoroquinolone</w:t>
      </w:r>
      <w:r>
        <w:rPr>
          <w:spacing w:val="6"/>
          <w:sz w:val="24"/>
        </w:rPr>
        <w:t> 及二線針劑抗藥的 </w:t>
      </w:r>
      <w:r>
        <w:rPr>
          <w:sz w:val="24"/>
        </w:rPr>
        <w:t>MDR-TB</w:t>
      </w:r>
      <w:r>
        <w:rPr>
          <w:spacing w:val="6"/>
          <w:sz w:val="24"/>
        </w:rPr>
        <w:t> 個案以含有</w:t>
      </w:r>
    </w:p>
    <w:p>
      <w:pPr>
        <w:pStyle w:val="BodyText"/>
        <w:spacing w:line="225" w:lineRule="auto" w:before="4"/>
        <w:ind w:left="1872" w:right="1360" w:firstLine="464"/>
      </w:pPr>
      <w:r>
        <w:rPr/>
        <w:t>MPM</w:t>
      </w:r>
      <w:r>
        <w:rPr>
          <w:spacing w:val="14"/>
        </w:rPr>
        <w:t> 和 </w:t>
      </w:r>
      <w:r>
        <w:rPr/>
        <w:t>amoxicillin/clavulanate</w:t>
      </w:r>
      <w:r>
        <w:rPr>
          <w:spacing w:val="4"/>
        </w:rPr>
        <w:t> 的處方治療，</w:t>
      </w:r>
      <w:r>
        <w:rPr/>
        <w:t>5</w:t>
      </w:r>
      <w:r>
        <w:rPr>
          <w:spacing w:val="3"/>
        </w:rPr>
        <w:t> 位痰液培養陰轉。 </w:t>
      </w:r>
      <w:r>
        <w:rPr>
          <w:spacing w:val="7"/>
        </w:rPr>
        <w:t>總結：根據這些研究結果顯示，建議 </w:t>
      </w:r>
      <w:r>
        <w:rPr>
          <w:spacing w:val="5"/>
        </w:rPr>
        <w:t>carbapenems</w:t>
      </w:r>
      <w:r>
        <w:rPr>
          <w:spacing w:val="21"/>
        </w:rPr>
        <w:t> 應合併 </w:t>
      </w:r>
      <w:r>
        <w:rPr>
          <w:spacing w:val="4"/>
        </w:rPr>
        <w:t>amoxicillin-</w:t>
      </w:r>
    </w:p>
    <w:p>
      <w:pPr>
        <w:pStyle w:val="BodyText"/>
        <w:spacing w:line="419" w:lineRule="exact"/>
        <w:ind w:left="2608"/>
      </w:pPr>
      <w:r>
        <w:rPr/>
        <w:t>clavulanate 一起用於治療 MDR/XDR-TB。</w:t>
      </w:r>
    </w:p>
    <w:p>
      <w:pPr>
        <w:pStyle w:val="ListParagraph"/>
        <w:numPr>
          <w:ilvl w:val="0"/>
          <w:numId w:val="166"/>
        </w:numPr>
        <w:tabs>
          <w:tab w:pos="1850" w:val="left" w:leader="none"/>
        </w:tabs>
        <w:spacing w:line="225" w:lineRule="auto" w:before="88" w:after="0"/>
        <w:ind w:left="1849" w:right="1357" w:hanging="342"/>
        <w:jc w:val="both"/>
        <w:rPr>
          <w:sz w:val="24"/>
        </w:rPr>
      </w:pPr>
      <w:r>
        <w:rPr>
          <w:spacing w:val="-2"/>
          <w:sz w:val="24"/>
        </w:rPr>
        <w:t>使用二線注射藥物要注意個案的藥物不良反應：聽力受損及腎病。因不良反</w:t>
      </w:r>
      <w:r>
        <w:rPr>
          <w:spacing w:val="5"/>
          <w:sz w:val="24"/>
        </w:rPr>
        <w:t>應會隨著使用藥物的累積劑量而增加，對之前有接受過這類藥物的個案(含</w:t>
      </w:r>
      <w:r>
        <w:rPr>
          <w:spacing w:val="2"/>
          <w:sz w:val="24"/>
        </w:rPr>
        <w:t>Streptomycin)都要特別的監測。將有使用二線注射藥物的病人，轉入團隊</w:t>
      </w:r>
      <w:r>
        <w:rPr>
          <w:spacing w:val="-1"/>
          <w:sz w:val="24"/>
        </w:rPr>
        <w:t>接受使用前及使用後按月測試聽力的服務，盡力保護病人減少傷害。尤其是</w:t>
      </w:r>
      <w:r>
        <w:rPr>
          <w:spacing w:val="6"/>
          <w:sz w:val="24"/>
        </w:rPr>
        <w:t>孩童族群，因喪失聽力會嚴重影響生活品質、語言的接收與學習能力。</w:t>
      </w:r>
    </w:p>
    <w:p>
      <w:pPr>
        <w:pStyle w:val="ListParagraph"/>
        <w:numPr>
          <w:ilvl w:val="1"/>
          <w:numId w:val="169"/>
        </w:numPr>
        <w:tabs>
          <w:tab w:pos="2337" w:val="left" w:leader="none"/>
        </w:tabs>
        <w:spacing w:line="404" w:lineRule="exact" w:before="0" w:after="0"/>
        <w:ind w:left="2336" w:right="0" w:hanging="489"/>
        <w:jc w:val="both"/>
        <w:rPr>
          <w:sz w:val="24"/>
        </w:rPr>
      </w:pPr>
      <w:r>
        <w:rPr>
          <w:spacing w:val="3"/>
          <w:sz w:val="24"/>
        </w:rPr>
        <w:t>所有的注射藥物都有可能造成腎毒性及電解質不平衡疾病。</w:t>
      </w:r>
    </w:p>
    <w:p>
      <w:pPr>
        <w:pStyle w:val="ListParagraph"/>
        <w:numPr>
          <w:ilvl w:val="1"/>
          <w:numId w:val="169"/>
        </w:numPr>
        <w:tabs>
          <w:tab w:pos="2337" w:val="left" w:leader="none"/>
        </w:tabs>
        <w:spacing w:line="225" w:lineRule="auto" w:before="5" w:after="0"/>
        <w:ind w:left="2336" w:right="1357" w:hanging="489"/>
        <w:jc w:val="both"/>
        <w:rPr>
          <w:sz w:val="24"/>
        </w:rPr>
      </w:pPr>
      <w:r>
        <w:rPr>
          <w:sz w:val="24"/>
        </w:rPr>
        <w:t>AM 對抗結核分枝桿菌有優異的表現且方便取得。監測 AM</w:t>
      </w:r>
      <w:r>
        <w:rPr>
          <w:spacing w:val="3"/>
          <w:sz w:val="24"/>
        </w:rPr>
        <w:t> 的血清濃度</w:t>
      </w:r>
      <w:r>
        <w:rPr>
          <w:spacing w:val="2"/>
          <w:sz w:val="24"/>
        </w:rPr>
        <w:t>比 </w:t>
      </w:r>
      <w:r>
        <w:rPr>
          <w:sz w:val="24"/>
        </w:rPr>
        <w:t>CM</w:t>
      </w:r>
      <w:r>
        <w:rPr>
          <w:spacing w:val="-7"/>
          <w:sz w:val="24"/>
        </w:rPr>
        <w:t> 來的容易。使用 </w:t>
      </w:r>
      <w:r>
        <w:rPr>
          <w:sz w:val="24"/>
        </w:rPr>
        <w:t>Am 時耳毒性及前庭毒性的發生率比使用 CM</w:t>
      </w:r>
      <w:r>
        <w:rPr>
          <w:spacing w:val="1"/>
          <w:sz w:val="24"/>
        </w:rPr>
        <w:t> 來</w:t>
      </w:r>
      <w:r>
        <w:rPr>
          <w:spacing w:val="3"/>
          <w:sz w:val="24"/>
        </w:rPr>
        <w:t>的多。</w:t>
      </w:r>
      <w:r>
        <w:rPr>
          <w:sz w:val="24"/>
        </w:rPr>
        <w:t>AM</w:t>
      </w:r>
      <w:r>
        <w:rPr>
          <w:spacing w:val="2"/>
          <w:sz w:val="24"/>
        </w:rPr>
        <w:t> 肌肉注射量比 </w:t>
      </w:r>
      <w:r>
        <w:rPr>
          <w:sz w:val="24"/>
        </w:rPr>
        <w:t>CM</w:t>
      </w:r>
      <w:r>
        <w:rPr>
          <w:spacing w:val="2"/>
          <w:sz w:val="24"/>
        </w:rPr>
        <w:t> 高。</w:t>
      </w:r>
    </w:p>
    <w:p>
      <w:pPr>
        <w:pStyle w:val="ListParagraph"/>
        <w:numPr>
          <w:ilvl w:val="1"/>
          <w:numId w:val="169"/>
        </w:numPr>
        <w:tabs>
          <w:tab w:pos="2337" w:val="left" w:leader="none"/>
        </w:tabs>
        <w:spacing w:line="225" w:lineRule="auto" w:before="0" w:after="0"/>
        <w:ind w:left="2336" w:right="1361" w:hanging="489"/>
        <w:jc w:val="both"/>
        <w:rPr>
          <w:sz w:val="24"/>
        </w:rPr>
      </w:pPr>
      <w:r>
        <w:rPr>
          <w:sz w:val="24"/>
        </w:rPr>
        <w:t>SM</w:t>
      </w:r>
      <w:r>
        <w:rPr>
          <w:spacing w:val="12"/>
          <w:sz w:val="24"/>
        </w:rPr>
        <w:t> 可用在對 </w:t>
      </w:r>
      <w:r>
        <w:rPr>
          <w:sz w:val="24"/>
        </w:rPr>
        <w:t>SM</w:t>
      </w:r>
      <w:r>
        <w:rPr>
          <w:spacing w:val="14"/>
          <w:sz w:val="24"/>
        </w:rPr>
        <w:t> 有效的 </w:t>
      </w:r>
      <w:r>
        <w:rPr>
          <w:sz w:val="24"/>
        </w:rPr>
        <w:t>XDR-TB</w:t>
      </w:r>
      <w:r>
        <w:rPr>
          <w:spacing w:val="2"/>
          <w:sz w:val="24"/>
        </w:rPr>
        <w:t> 個案(藥物感受性試驗或是之前沒有</w:t>
      </w:r>
      <w:r>
        <w:rPr>
          <w:spacing w:val="-4"/>
          <w:sz w:val="24"/>
        </w:rPr>
        <w:t>使用過)。</w:t>
      </w:r>
      <w:r>
        <w:rPr>
          <w:sz w:val="24"/>
        </w:rPr>
        <w:t>SM</w:t>
      </w:r>
      <w:r>
        <w:rPr>
          <w:spacing w:val="2"/>
          <w:sz w:val="24"/>
        </w:rPr>
        <w:t> 肌肉注射比 </w:t>
      </w:r>
      <w:r>
        <w:rPr>
          <w:color w:val="FF0000"/>
          <w:sz w:val="24"/>
        </w:rPr>
        <w:t>AM</w:t>
      </w:r>
      <w:r>
        <w:rPr>
          <w:color w:val="FF0000"/>
          <w:spacing w:val="2"/>
          <w:sz w:val="24"/>
        </w:rPr>
        <w:t> </w:t>
      </w:r>
      <w:r>
        <w:rPr>
          <w:spacing w:val="-5"/>
          <w:sz w:val="24"/>
        </w:rPr>
        <w:t>較不痛。雖然較少報告嚴重副作用，但仍</w:t>
      </w:r>
      <w:r>
        <w:rPr>
          <w:sz w:val="24"/>
        </w:rPr>
        <w:t>有 7.3</w:t>
      </w:r>
      <w:r>
        <w:rPr>
          <w:spacing w:val="1"/>
          <w:sz w:val="24"/>
        </w:rPr>
        <w:t>%成人及 </w:t>
      </w:r>
      <w:r>
        <w:rPr>
          <w:sz w:val="24"/>
        </w:rPr>
        <w:t>10.1</w:t>
      </w:r>
      <w:r>
        <w:rPr>
          <w:spacing w:val="2"/>
          <w:sz w:val="24"/>
        </w:rPr>
        <w:t>%小孩有嚴重副作用是由注射針劑引起。</w:t>
      </w:r>
    </w:p>
    <w:p>
      <w:pPr>
        <w:pStyle w:val="ListParagraph"/>
        <w:numPr>
          <w:ilvl w:val="0"/>
          <w:numId w:val="166"/>
        </w:numPr>
        <w:tabs>
          <w:tab w:pos="1850" w:val="left" w:leader="none"/>
        </w:tabs>
        <w:spacing w:line="223" w:lineRule="auto" w:before="95" w:after="0"/>
        <w:ind w:left="1849" w:right="1301" w:hanging="342"/>
        <w:jc w:val="both"/>
        <w:rPr>
          <w:sz w:val="24"/>
        </w:rPr>
      </w:pPr>
      <w:r>
        <w:rPr>
          <w:sz w:val="24"/>
        </w:rPr>
        <w:t>Ethionamide</w:t>
      </w:r>
      <w:r>
        <w:rPr>
          <w:spacing w:val="14"/>
          <w:sz w:val="24"/>
        </w:rPr>
        <w:t> 跟 </w:t>
      </w:r>
      <w:r>
        <w:rPr>
          <w:sz w:val="24"/>
        </w:rPr>
        <w:t>prothionamide</w:t>
      </w:r>
      <w:r>
        <w:rPr>
          <w:spacing w:val="3"/>
          <w:sz w:val="24"/>
        </w:rPr>
        <w:t> 會干擾腸胃系統，尤其是嘔吐。也有可能</w:t>
      </w:r>
      <w:r>
        <w:rPr>
          <w:sz w:val="24"/>
        </w:rPr>
        <w:t>造成甲狀腺機能低下，尤其跟 PAS</w:t>
      </w:r>
      <w:r>
        <w:rPr>
          <w:spacing w:val="-2"/>
          <w:sz w:val="24"/>
        </w:rPr>
        <w:t> 一起服用時，但是通常停藥後就會好轉。PTO</w:t>
      </w:r>
      <w:r>
        <w:rPr>
          <w:spacing w:val="3"/>
          <w:sz w:val="24"/>
        </w:rPr>
        <w:t> 與 </w:t>
      </w:r>
      <w:r>
        <w:rPr>
          <w:sz w:val="24"/>
        </w:rPr>
        <w:t>CS</w:t>
      </w:r>
      <w:r>
        <w:rPr>
          <w:spacing w:val="1"/>
          <w:sz w:val="24"/>
        </w:rPr>
        <w:t> 都是抑菌類藥物(高劑量的 </w:t>
      </w:r>
      <w:r>
        <w:rPr>
          <w:sz w:val="24"/>
        </w:rPr>
        <w:t>PTO</w:t>
      </w:r>
      <w:r>
        <w:rPr>
          <w:spacing w:val="-3"/>
          <w:sz w:val="24"/>
        </w:rPr>
        <w:t> 有弱的殺菌力)。在功效方面，甚</w:t>
      </w:r>
      <w:r>
        <w:rPr>
          <w:sz w:val="24"/>
        </w:rPr>
        <w:t>少證據支持哪一種比較有效。結核分枝桿菌的 </w:t>
      </w:r>
      <w:r>
        <w:rPr>
          <w:i/>
          <w:sz w:val="25"/>
        </w:rPr>
        <w:t>inhA</w:t>
      </w:r>
      <w:r>
        <w:rPr>
          <w:i/>
          <w:spacing w:val="-2"/>
          <w:sz w:val="25"/>
        </w:rPr>
        <w:t> </w:t>
      </w:r>
      <w:r>
        <w:rPr>
          <w:spacing w:val="-1"/>
          <w:sz w:val="24"/>
        </w:rPr>
        <w:t>基因突變，除對 </w:t>
      </w:r>
      <w:r>
        <w:rPr>
          <w:sz w:val="24"/>
        </w:rPr>
        <w:t>INH 抗</w:t>
      </w:r>
      <w:r>
        <w:rPr>
          <w:spacing w:val="2"/>
          <w:sz w:val="24"/>
        </w:rPr>
        <w:t>藥也會對 </w:t>
      </w:r>
      <w:r>
        <w:rPr>
          <w:sz w:val="24"/>
        </w:rPr>
        <w:t>PTO</w:t>
      </w:r>
      <w:r>
        <w:rPr>
          <w:spacing w:val="3"/>
          <w:sz w:val="24"/>
        </w:rPr>
        <w:t> 產生交叉抗藥。</w:t>
      </w:r>
    </w:p>
    <w:p>
      <w:pPr>
        <w:spacing w:after="0" w:line="223" w:lineRule="auto"/>
        <w:jc w:val="both"/>
        <w:rPr>
          <w:sz w:val="24"/>
        </w:rPr>
        <w:sectPr>
          <w:pgSz w:w="12250" w:h="17190"/>
          <w:pgMar w:header="0" w:footer="734" w:top="1460" w:bottom="1020" w:left="1020" w:right="0"/>
        </w:sectPr>
      </w:pPr>
    </w:p>
    <w:p>
      <w:pPr>
        <w:pStyle w:val="ListParagraph"/>
        <w:numPr>
          <w:ilvl w:val="0"/>
          <w:numId w:val="166"/>
        </w:numPr>
        <w:tabs>
          <w:tab w:pos="1850" w:val="left" w:leader="none"/>
        </w:tabs>
        <w:spacing w:line="225" w:lineRule="auto" w:before="34" w:after="0"/>
        <w:ind w:left="1849" w:right="1343" w:hanging="342"/>
        <w:jc w:val="both"/>
        <w:rPr>
          <w:sz w:val="24"/>
        </w:rPr>
      </w:pPr>
      <w:r>
        <w:rPr/>
        <w:pict>
          <v:group style="position:absolute;margin-left:573pt;margin-top:.718291pt;width:39.4pt;height:177.4pt;mso-position-horizontal-relative:page;mso-position-vertical-relative:paragraph;z-index:251902976" coordorigin="11460,14" coordsize="788,3548">
            <v:shape style="position:absolute;left:11460;top:14;width:788;height:3548" coordorigin="11460,14" coordsize="788,3548" path="m12247,14l11625,14,11561,27,11508,63,11473,115,11460,180,11460,3397,11473,3461,11508,3514,11561,3549,11625,3562,12247,3562,12247,14xe" filled="true" fillcolor="#a6a6a6" stroked="false">
              <v:path arrowok="t"/>
              <v:fill type="solid"/>
            </v:shape>
            <v:shape style="position:absolute;left:11460;top:1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i/>
          <w:sz w:val="25"/>
        </w:rPr>
        <w:t>p</w:t>
      </w:r>
      <w:r>
        <w:rPr>
          <w:sz w:val="24"/>
        </w:rPr>
        <w:t>-aminosalicylic</w:t>
      </w:r>
      <w:r>
        <w:rPr>
          <w:spacing w:val="37"/>
          <w:sz w:val="24"/>
        </w:rPr>
        <w:t> </w:t>
      </w:r>
      <w:r>
        <w:rPr>
          <w:sz w:val="24"/>
        </w:rPr>
        <w:t>acid</w:t>
      </w:r>
      <w:r>
        <w:rPr>
          <w:spacing w:val="18"/>
          <w:sz w:val="24"/>
        </w:rPr>
        <w:t> (</w:t>
      </w:r>
      <w:r>
        <w:rPr>
          <w:sz w:val="24"/>
        </w:rPr>
        <w:t>PAS)：根據一項成人臨床研究與分析發現使用 PAS </w:t>
      </w:r>
      <w:r>
        <w:rPr>
          <w:spacing w:val="1"/>
          <w:sz w:val="24"/>
        </w:rPr>
        <w:t>對於治療成功率沒有明顯的影響，</w:t>
      </w:r>
      <w:r>
        <w:rPr>
          <w:sz w:val="24"/>
        </w:rPr>
        <w:t>PAS</w:t>
      </w:r>
      <w:r>
        <w:rPr>
          <w:spacing w:val="-1"/>
          <w:sz w:val="24"/>
        </w:rPr>
        <w:t> 與高頻率的藥物不良反應有關，可保</w:t>
      </w:r>
      <w:r>
        <w:rPr>
          <w:spacing w:val="2"/>
          <w:sz w:val="24"/>
        </w:rPr>
        <w:t>留此藥在沒有其他藥物可選擇時才使用 </w:t>
      </w:r>
      <w:r>
        <w:rPr>
          <w:spacing w:val="-14"/>
          <w:sz w:val="24"/>
        </w:rPr>
        <w:t>PAS</w:t>
      </w:r>
      <w:r>
        <w:rPr>
          <w:spacing w:val="-41"/>
          <w:sz w:val="24"/>
        </w:rPr>
        <w:t>。</w:t>
      </w:r>
      <w:r>
        <w:rPr>
          <w:sz w:val="24"/>
        </w:rPr>
        <w:t>PAS</w:t>
      </w:r>
      <w:r>
        <w:rPr>
          <w:spacing w:val="3"/>
          <w:sz w:val="24"/>
        </w:rPr>
        <w:t> 相關的不良反應有干擾腸</w:t>
      </w:r>
      <w:r>
        <w:rPr>
          <w:spacing w:val="17"/>
          <w:sz w:val="24"/>
        </w:rPr>
        <w:t>胃系統以及甲狀腺功能低下(尤其與 </w:t>
      </w:r>
      <w:r>
        <w:rPr>
          <w:sz w:val="24"/>
        </w:rPr>
        <w:t>ethionamide/prothionamide</w:t>
      </w:r>
      <w:r>
        <w:rPr>
          <w:spacing w:val="23"/>
          <w:sz w:val="24"/>
        </w:rPr>
        <w:t> 併用</w:t>
      </w:r>
      <w:r>
        <w:rPr>
          <w:spacing w:val="2"/>
          <w:sz w:val="24"/>
        </w:rPr>
        <w:t>時)。甲狀腺功能低下在停藥後可改善。</w:t>
      </w:r>
    </w:p>
    <w:p>
      <w:pPr>
        <w:pStyle w:val="BodyText"/>
        <w:spacing w:line="225" w:lineRule="auto" w:before="25"/>
        <w:ind w:left="2608" w:right="1358" w:hanging="737"/>
        <w:jc w:val="both"/>
      </w:pPr>
      <w:r>
        <w:rPr/>
        <w:t>總結：當 PTO 與 PAS 一起服用時，有高比率的腸胃道不適應性與甲狀腺功能低下。</w:t>
      </w:r>
    </w:p>
    <w:p>
      <w:pPr>
        <w:pStyle w:val="Heading6"/>
        <w:numPr>
          <w:ilvl w:val="1"/>
          <w:numId w:val="145"/>
        </w:numPr>
        <w:tabs>
          <w:tab w:pos="976" w:val="left" w:leader="none"/>
        </w:tabs>
        <w:spacing w:line="240" w:lineRule="auto" w:before="252" w:after="0"/>
        <w:ind w:left="975" w:right="0" w:hanging="636"/>
        <w:jc w:val="both"/>
      </w:pPr>
      <w:bookmarkStart w:name="12.8 治療方案的管理" w:id="152"/>
      <w:bookmarkEnd w:id="152"/>
      <w:r>
        <w:rPr>
          <w:b w:val="0"/>
        </w:rPr>
      </w:r>
      <w:bookmarkStart w:name="12.8 治療方案的管理" w:id="153"/>
      <w:bookmarkEnd w:id="153"/>
      <w:r>
        <w:rPr>
          <w:spacing w:val="3"/>
        </w:rPr>
        <w:t>治療方案的管理</w:t>
      </w:r>
    </w:p>
    <w:p>
      <w:pPr>
        <w:pStyle w:val="BodyText"/>
        <w:spacing w:line="225" w:lineRule="auto" w:before="26"/>
        <w:ind w:left="979" w:right="1357" w:firstLine="480"/>
        <w:jc w:val="both"/>
      </w:pPr>
      <w:r>
        <w:rPr>
          <w:spacing w:val="-1"/>
        </w:rPr>
        <w:t>與藥物敏感結核病相比，</w:t>
      </w:r>
      <w:r>
        <w:rPr/>
        <w:t>MDR-TB</w:t>
      </w:r>
      <w:r>
        <w:rPr>
          <w:spacing w:val="-7"/>
        </w:rPr>
        <w:t> 病人療效通常較差，藥物毒性也較常見。儘管</w:t>
      </w:r>
      <w:r>
        <w:rPr>
          <w:spacing w:val="-8"/>
        </w:rPr>
        <w:t>單一抗藥結核病的治癒率較高，但如果有錯誤治療、治療中斷或高濃度的單一抗藥， </w:t>
      </w:r>
      <w:r>
        <w:rPr>
          <w:spacing w:val="-10"/>
        </w:rPr>
        <w:t>可能會導致更多的抗藥種類。因此，對所有類型的抗藥結核病，宜採取 </w:t>
      </w:r>
      <w:r>
        <w:rPr/>
        <w:t>DOTS-plus</w:t>
      </w:r>
      <w:r>
        <w:rPr>
          <w:spacing w:val="-7"/>
        </w:rPr>
        <w:t> 管</w:t>
      </w:r>
      <w:r>
        <w:rPr/>
        <w:t>理。</w:t>
      </w:r>
    </w:p>
    <w:p>
      <w:pPr>
        <w:pStyle w:val="Heading7"/>
        <w:numPr>
          <w:ilvl w:val="0"/>
          <w:numId w:val="170"/>
        </w:numPr>
        <w:tabs>
          <w:tab w:pos="982" w:val="left" w:leader="none"/>
        </w:tabs>
        <w:spacing w:line="240" w:lineRule="auto" w:before="69" w:after="0"/>
        <w:ind w:left="981" w:right="0" w:hanging="367"/>
        <w:jc w:val="both"/>
        <w:rPr>
          <w:b w:val="0"/>
        </w:rPr>
      </w:pPr>
      <w:r>
        <w:rPr>
          <w:spacing w:val="3"/>
        </w:rPr>
        <w:t>對所有抗藥結核病人者徹底實施個案管理、</w:t>
      </w:r>
      <w:r>
        <w:rPr/>
        <w:t>DOT-plus</w:t>
      </w:r>
      <w:r>
        <w:rPr>
          <w:spacing w:val="1"/>
        </w:rPr>
        <w:t>，並加入 </w:t>
      </w:r>
      <w:r>
        <w:rPr>
          <w:color w:val="FF0000"/>
        </w:rPr>
        <w:t>TMTC</w:t>
      </w:r>
      <w:r>
        <w:rPr>
          <w:color w:val="FF0000"/>
          <w:spacing w:val="3"/>
        </w:rPr>
        <w:t> </w:t>
      </w:r>
      <w:r>
        <w:rPr>
          <w:spacing w:val="3"/>
        </w:rPr>
        <w:t>團隊</w:t>
      </w:r>
      <w:r>
        <w:rPr>
          <w:b w:val="0"/>
        </w:rPr>
        <w:t>。</w:t>
      </w:r>
    </w:p>
    <w:p>
      <w:pPr>
        <w:pStyle w:val="ListParagraph"/>
        <w:numPr>
          <w:ilvl w:val="1"/>
          <w:numId w:val="170"/>
        </w:numPr>
        <w:tabs>
          <w:tab w:pos="1490" w:val="left" w:leader="none"/>
        </w:tabs>
        <w:spacing w:line="437" w:lineRule="exact" w:before="22" w:after="0"/>
        <w:ind w:left="1489" w:right="0" w:hanging="490"/>
        <w:jc w:val="both"/>
        <w:rPr>
          <w:sz w:val="24"/>
        </w:rPr>
      </w:pPr>
      <w:r>
        <w:rPr>
          <w:sz w:val="24"/>
        </w:rPr>
        <w:t>在門診或在其他地方(或是最新的視訊設備)都可以實施 DOT-plus。</w:t>
      </w:r>
    </w:p>
    <w:p>
      <w:pPr>
        <w:pStyle w:val="ListParagraph"/>
        <w:numPr>
          <w:ilvl w:val="1"/>
          <w:numId w:val="170"/>
        </w:numPr>
        <w:tabs>
          <w:tab w:pos="1490" w:val="left" w:leader="none"/>
        </w:tabs>
        <w:spacing w:line="432" w:lineRule="exact" w:before="0" w:after="0"/>
        <w:ind w:left="1489" w:right="0" w:hanging="490"/>
        <w:jc w:val="both"/>
        <w:rPr>
          <w:sz w:val="24"/>
        </w:rPr>
      </w:pPr>
      <w:r>
        <w:rPr>
          <w:sz w:val="24"/>
        </w:rPr>
        <w:t>MDR/XDR-TB</w:t>
      </w:r>
      <w:r>
        <w:rPr>
          <w:spacing w:val="3"/>
          <w:sz w:val="24"/>
        </w:rPr>
        <w:t> 口服藥物是每天服藥而非採取間歇性治療。</w:t>
      </w:r>
    </w:p>
    <w:p>
      <w:pPr>
        <w:pStyle w:val="ListParagraph"/>
        <w:numPr>
          <w:ilvl w:val="1"/>
          <w:numId w:val="170"/>
        </w:numPr>
        <w:tabs>
          <w:tab w:pos="1490" w:val="left" w:leader="none"/>
        </w:tabs>
        <w:spacing w:line="228" w:lineRule="auto" w:before="11" w:after="0"/>
        <w:ind w:left="1489" w:right="1361" w:hanging="489"/>
        <w:jc w:val="both"/>
        <w:rPr>
          <w:sz w:val="24"/>
        </w:rPr>
      </w:pPr>
      <w:r>
        <w:rPr>
          <w:spacing w:val="6"/>
          <w:sz w:val="24"/>
        </w:rPr>
        <w:t>雖然一個禮拜七天的 </w:t>
      </w:r>
      <w:r>
        <w:rPr>
          <w:sz w:val="24"/>
        </w:rPr>
        <w:t>DOT-plus</w:t>
      </w:r>
      <w:r>
        <w:rPr>
          <w:spacing w:val="2"/>
          <w:sz w:val="24"/>
        </w:rPr>
        <w:t> 是最佳管理方式，但實際上執行困難。如果一</w:t>
      </w:r>
      <w:r>
        <w:rPr>
          <w:spacing w:val="5"/>
          <w:sz w:val="24"/>
        </w:rPr>
        <w:t>個禮拜七天是不可能執行的，那對於不住院或在某一機構治療的病人，可以採</w:t>
      </w:r>
      <w:r>
        <w:rPr>
          <w:spacing w:val="3"/>
          <w:sz w:val="24"/>
        </w:rPr>
        <w:t>取 </w:t>
      </w:r>
      <w:r>
        <w:rPr>
          <w:sz w:val="24"/>
        </w:rPr>
        <w:t>DOT-plus</w:t>
      </w:r>
      <w:r>
        <w:rPr>
          <w:spacing w:val="3"/>
          <w:sz w:val="24"/>
        </w:rPr>
        <w:t> 在直接面視下一週服藥五天、週末進行自我藥物管理的方式。</w:t>
      </w:r>
    </w:p>
    <w:p>
      <w:pPr>
        <w:pStyle w:val="Heading7"/>
        <w:numPr>
          <w:ilvl w:val="0"/>
          <w:numId w:val="170"/>
        </w:numPr>
        <w:tabs>
          <w:tab w:pos="958" w:val="left" w:leader="none"/>
        </w:tabs>
        <w:spacing w:line="240" w:lineRule="auto" w:before="87" w:after="0"/>
        <w:ind w:left="957" w:right="0" w:hanging="343"/>
        <w:jc w:val="both"/>
      </w:pPr>
      <w:r>
        <w:rPr>
          <w:spacing w:val="3"/>
        </w:rPr>
        <w:t>劑量逐增（藥物加量</w:t>
      </w:r>
      <w:r>
        <w:rPr/>
        <w:t>）</w:t>
      </w:r>
    </w:p>
    <w:p>
      <w:pPr>
        <w:pStyle w:val="BodyText"/>
        <w:spacing w:line="228" w:lineRule="auto" w:before="35"/>
        <w:ind w:left="945" w:right="1357" w:firstLine="488"/>
        <w:jc w:val="both"/>
      </w:pPr>
      <w:r>
        <w:rPr/>
        <w:t>大部分的藥物一開始就要給予足夠的治療劑量，但是 CS、PTO 與 PAS 可以逐增劑量，以 1-2 週時間後達標準劑量。開始治療時先給予低劑量，之後逐漸增加。一些病人對這種服藥方式更易接受，醫師也有時間處理藥物相關的不良反應。這種逐漸增加藥物劑量的方法稱為「藥物逐漸加量」。當已達到目標劑量 1-2 週後，即可監測血中藥物濃度（尤其是 CS）。舉例見下圖。</w:t>
      </w:r>
    </w:p>
    <w:p>
      <w:pPr>
        <w:spacing w:after="0" w:line="228" w:lineRule="auto"/>
        <w:jc w:val="both"/>
        <w:sectPr>
          <w:pgSz w:w="12250" w:h="17190"/>
          <w:pgMar w:header="0" w:footer="734" w:top="1460" w:bottom="1020" w:left="1020" w:right="0"/>
        </w:sectPr>
      </w:pPr>
    </w:p>
    <w:p>
      <w:pPr>
        <w:pStyle w:val="BodyText"/>
        <w:rPr>
          <w:sz w:val="20"/>
        </w:rPr>
      </w:pPr>
    </w:p>
    <w:p>
      <w:pPr>
        <w:pStyle w:val="BodyText"/>
        <w:spacing w:before="15"/>
        <w:rPr>
          <w:sz w:val="14"/>
        </w:rPr>
      </w:pPr>
    </w:p>
    <w:p>
      <w:pPr>
        <w:pStyle w:val="BodyText"/>
        <w:spacing w:before="39"/>
        <w:ind w:left="1333"/>
      </w:pPr>
      <w:r>
        <w:rPr/>
        <w:t>劑量逐增（藥物加量）</w:t>
      </w:r>
    </w:p>
    <w:p>
      <w:pPr>
        <w:pStyle w:val="BodyText"/>
        <w:spacing w:before="14"/>
        <w:rPr>
          <w:sz w:val="23"/>
        </w:rPr>
      </w:pPr>
      <w:r>
        <w:rPr/>
        <w:pict>
          <v:group style="position:absolute;margin-left:133.533554pt;margin-top:23.827852pt;width:398.85pt;height:308.2pt;mso-position-horizontal-relative:page;mso-position-vertical-relative:paragraph;z-index:-251409408;mso-wrap-distance-left:0;mso-wrap-distance-right:0" coordorigin="2671,477" coordsize="7977,6164">
            <v:shape style="position:absolute;left:2670;top:517;width:7977;height:6121" type="#_x0000_t75" stroked="false">
              <v:imagedata r:id="rId81" o:title=""/>
            </v:shape>
            <v:shape style="position:absolute;left:3192;top:6099;width:3294;height:529" type="#_x0000_t202" filled="true" fillcolor="#ffffff" stroked="true" strokeweight="1.25pt" strokecolor="#000000">
              <v:textbox inset="0,0,0,0">
                <w:txbxContent>
                  <w:p>
                    <w:pPr>
                      <w:spacing w:before="91"/>
                      <w:ind w:left="424" w:right="0" w:firstLine="0"/>
                      <w:jc w:val="left"/>
                      <w:rPr>
                        <w:rFonts w:ascii="標楷體" w:eastAsia="標楷體" w:hint="eastAsia"/>
                        <w:sz w:val="22"/>
                      </w:rPr>
                    </w:pPr>
                    <w:r>
                      <w:rPr>
                        <w:rFonts w:ascii="標楷體" w:eastAsia="標楷體" w:hint="eastAsia"/>
                        <w:sz w:val="22"/>
                      </w:rPr>
                      <w:t>應在二週內完成劑量逐增</w:t>
                    </w:r>
                  </w:p>
                </w:txbxContent>
              </v:textbox>
              <v:fill type="solid"/>
              <v:stroke dashstyle="solid"/>
              <w10:wrap type="none"/>
            </v:shape>
            <v:shape style="position:absolute;left:3789;top:1057;width:1463;height:460" type="#_x0000_t202" filled="true" fillcolor="#ffffff" stroked="true" strokeweight="1.25pt" strokecolor="#000000">
              <v:textbox inset="0,0,0,0">
                <w:txbxContent>
                  <w:p>
                    <w:pPr>
                      <w:spacing w:before="60"/>
                      <w:ind w:left="279" w:right="0" w:firstLine="0"/>
                      <w:jc w:val="left"/>
                      <w:rPr>
                        <w:rFonts w:ascii="標楷體" w:eastAsia="標楷體" w:hint="eastAsia"/>
                        <w:sz w:val="22"/>
                      </w:rPr>
                    </w:pPr>
                    <w:r>
                      <w:rPr>
                        <w:rFonts w:ascii="標楷體" w:eastAsia="標楷體" w:hint="eastAsia"/>
                        <w:sz w:val="22"/>
                      </w:rPr>
                      <w:t>起始劑量</w:t>
                    </w:r>
                  </w:p>
                </w:txbxContent>
              </v:textbox>
              <v:fill type="solid"/>
              <v:stroke dashstyle="solid"/>
              <w10:wrap type="none"/>
            </v:shape>
            <v:shape style="position:absolute;left:6232;top:489;width:3306;height:460" type="#_x0000_t202" filled="true" fillcolor="#ffffff" stroked="true" strokeweight="1.25pt" strokecolor="#000000">
              <v:textbox inset="0,0,0,0">
                <w:txbxContent>
                  <w:p>
                    <w:pPr>
                      <w:spacing w:before="58"/>
                      <w:ind w:left="1180" w:right="1180" w:firstLine="0"/>
                      <w:jc w:val="center"/>
                      <w:rPr>
                        <w:rFonts w:ascii="標楷體" w:eastAsia="標楷體" w:hint="eastAsia"/>
                        <w:sz w:val="22"/>
                      </w:rPr>
                    </w:pPr>
                    <w:r>
                      <w:rPr>
                        <w:rFonts w:ascii="標楷體" w:eastAsia="標楷體" w:hint="eastAsia"/>
                        <w:sz w:val="22"/>
                      </w:rPr>
                      <w:t>逐增劑量</w:t>
                    </w:r>
                  </w:p>
                </w:txbxContent>
              </v:textbox>
              <v:fill type="solid"/>
              <v:stroke dashstyle="solid"/>
              <w10:wrap type="none"/>
            </v:shape>
            <w10:wrap type="topAndBottom"/>
          </v:group>
        </w:pict>
      </w:r>
    </w:p>
    <w:p>
      <w:pPr>
        <w:pStyle w:val="BodyText"/>
        <w:spacing w:line="211" w:lineRule="auto" w:before="167"/>
        <w:ind w:left="1304" w:right="1363"/>
        <w:jc w:val="both"/>
      </w:pPr>
      <w:r>
        <w:rPr/>
        <w:t>藥物從低劑量開始，每隔數日增加一定的劑量，直至達到有效劑量。要在兩週內完成劑量漸增。有些個案可以忍受三種藥物一天一次的劑量，這樣可以增加服藥遵從性。</w:t>
      </w:r>
    </w:p>
    <w:p>
      <w:pPr>
        <w:pStyle w:val="BodyText"/>
        <w:spacing w:line="382" w:lineRule="exact"/>
        <w:ind w:left="1362"/>
        <w:jc w:val="both"/>
      </w:pPr>
      <w:r>
        <w:rPr/>
        <w:t>＊有些個案每天服用 CS 500mg 即可以達到藥物濃度目標</w:t>
      </w:r>
    </w:p>
    <w:p>
      <w:pPr>
        <w:pStyle w:val="BodyText"/>
        <w:spacing w:line="416" w:lineRule="exact"/>
        <w:ind w:left="1361"/>
        <w:jc w:val="both"/>
      </w:pPr>
      <w:r>
        <w:rPr/>
        <w:t>**嬌小的個案也許比較適合每天服用 PAS 6mg</w:t>
      </w:r>
    </w:p>
    <w:p>
      <w:pPr>
        <w:pStyle w:val="Heading7"/>
        <w:numPr>
          <w:ilvl w:val="0"/>
          <w:numId w:val="170"/>
        </w:numPr>
        <w:tabs>
          <w:tab w:pos="982" w:val="left" w:leader="none"/>
        </w:tabs>
        <w:spacing w:line="437" w:lineRule="exact" w:before="149" w:after="0"/>
        <w:ind w:left="981" w:right="0" w:hanging="367"/>
        <w:jc w:val="both"/>
      </w:pPr>
      <w:r>
        <w:rPr>
          <w:spacing w:val="3"/>
        </w:rPr>
        <w:t>治療藥物監測 </w:t>
      </w:r>
      <w:r>
        <w:rPr/>
        <w:t>Therapeutic</w:t>
      </w:r>
      <w:r>
        <w:rPr>
          <w:spacing w:val="4"/>
        </w:rPr>
        <w:t> </w:t>
      </w:r>
      <w:r>
        <w:rPr/>
        <w:t>drug</w:t>
      </w:r>
      <w:r>
        <w:rPr>
          <w:spacing w:val="4"/>
        </w:rPr>
        <w:t> </w:t>
      </w:r>
      <w:r>
        <w:rPr/>
        <w:t>monitoring</w:t>
      </w:r>
      <w:r>
        <w:rPr>
          <w:spacing w:val="4"/>
        </w:rPr>
        <w:t> </w:t>
      </w:r>
      <w:r>
        <w:rPr/>
        <w:t>(TDM)</w:t>
      </w:r>
    </w:p>
    <w:p>
      <w:pPr>
        <w:pStyle w:val="ListParagraph"/>
        <w:numPr>
          <w:ilvl w:val="1"/>
          <w:numId w:val="171"/>
        </w:numPr>
        <w:tabs>
          <w:tab w:pos="1481" w:val="left" w:leader="none"/>
        </w:tabs>
        <w:spacing w:line="425" w:lineRule="exact" w:before="0" w:after="0"/>
        <w:ind w:left="1480" w:right="0" w:hanging="481"/>
        <w:jc w:val="both"/>
        <w:rPr>
          <w:sz w:val="24"/>
        </w:rPr>
      </w:pPr>
      <w:r>
        <w:rPr>
          <w:sz w:val="24"/>
        </w:rPr>
        <w:t>什麼時候實施治療藥物監測？</w:t>
      </w:r>
    </w:p>
    <w:p>
      <w:pPr>
        <w:pStyle w:val="BodyText"/>
        <w:spacing w:line="416" w:lineRule="exact"/>
        <w:ind w:left="1474"/>
      </w:pPr>
      <w:r>
        <w:rPr/>
        <w:t>許多狀況下可考慮實施治療藥物監測：</w:t>
      </w:r>
    </w:p>
    <w:p>
      <w:pPr>
        <w:pStyle w:val="ListParagraph"/>
        <w:numPr>
          <w:ilvl w:val="2"/>
          <w:numId w:val="171"/>
        </w:numPr>
        <w:tabs>
          <w:tab w:pos="1958" w:val="left" w:leader="none"/>
        </w:tabs>
        <w:spacing w:line="414" w:lineRule="exact" w:before="0" w:after="0"/>
        <w:ind w:left="1957" w:right="0" w:hanging="484"/>
        <w:jc w:val="left"/>
        <w:rPr>
          <w:sz w:val="24"/>
        </w:rPr>
      </w:pPr>
      <w:r>
        <w:rPr>
          <w:sz w:val="24"/>
        </w:rPr>
        <w:t>aminoglycoside/CM 血中藥物濃度，尤其是腎功能不全個案。</w:t>
      </w:r>
    </w:p>
    <w:p>
      <w:pPr>
        <w:pStyle w:val="ListParagraph"/>
        <w:numPr>
          <w:ilvl w:val="2"/>
          <w:numId w:val="171"/>
        </w:numPr>
        <w:tabs>
          <w:tab w:pos="1958" w:val="left" w:leader="none"/>
        </w:tabs>
        <w:spacing w:line="225" w:lineRule="auto" w:before="6" w:after="0"/>
        <w:ind w:left="1957" w:right="1360" w:hanging="483"/>
        <w:jc w:val="left"/>
        <w:rPr>
          <w:sz w:val="24"/>
        </w:rPr>
      </w:pPr>
      <w:r>
        <w:rPr>
          <w:sz w:val="24"/>
        </w:rPr>
        <w:t>CS 血中藥物濃度，主要是減低中樞神經系統中毒危險以及使用最佳劑量的安全性。</w:t>
      </w:r>
    </w:p>
    <w:p>
      <w:pPr>
        <w:pStyle w:val="ListParagraph"/>
        <w:numPr>
          <w:ilvl w:val="2"/>
          <w:numId w:val="171"/>
        </w:numPr>
        <w:tabs>
          <w:tab w:pos="1958" w:val="left" w:leader="none"/>
        </w:tabs>
        <w:spacing w:line="407" w:lineRule="exact" w:before="0" w:after="0"/>
        <w:ind w:left="1957" w:right="0" w:hanging="484"/>
        <w:jc w:val="left"/>
        <w:rPr>
          <w:sz w:val="24"/>
        </w:rPr>
      </w:pPr>
      <w:r>
        <w:rPr>
          <w:sz w:val="24"/>
        </w:rPr>
        <w:t>已知或是懷疑吸收不良(如：糖尿病、腸胃疾病)。</w:t>
      </w:r>
    </w:p>
    <w:p>
      <w:pPr>
        <w:pStyle w:val="ListParagraph"/>
        <w:numPr>
          <w:ilvl w:val="2"/>
          <w:numId w:val="171"/>
        </w:numPr>
        <w:tabs>
          <w:tab w:pos="1958" w:val="left" w:leader="none"/>
        </w:tabs>
        <w:spacing w:line="225" w:lineRule="auto" w:before="5" w:after="0"/>
        <w:ind w:left="1957" w:right="1357" w:hanging="483"/>
        <w:jc w:val="left"/>
        <w:rPr>
          <w:sz w:val="24"/>
        </w:rPr>
      </w:pPr>
      <w:r>
        <w:rPr>
          <w:sz w:val="24"/>
        </w:rPr>
        <w:t>已用上適合的藥物與劑量並且 DOTS-plus</w:t>
      </w:r>
      <w:r>
        <w:rPr>
          <w:spacing w:val="-1"/>
          <w:sz w:val="24"/>
        </w:rPr>
        <w:t> 給藥，仍缺少期待中的臨床反應或是復發。</w:t>
      </w:r>
    </w:p>
    <w:p>
      <w:pPr>
        <w:pStyle w:val="ListParagraph"/>
        <w:numPr>
          <w:ilvl w:val="2"/>
          <w:numId w:val="171"/>
        </w:numPr>
        <w:tabs>
          <w:tab w:pos="1958" w:val="left" w:leader="none"/>
        </w:tabs>
        <w:spacing w:line="420" w:lineRule="exact" w:before="0" w:after="0"/>
        <w:ind w:left="1957" w:right="0" w:hanging="484"/>
        <w:jc w:val="left"/>
        <w:rPr>
          <w:sz w:val="24"/>
        </w:rPr>
      </w:pPr>
      <w:r>
        <w:rPr>
          <w:sz w:val="24"/>
        </w:rPr>
        <w:t>因治療處方中只有少數幾種有效藥，為了達到現有藥物的最佳效果。</w:t>
      </w:r>
    </w:p>
    <w:p>
      <w:pPr>
        <w:spacing w:after="0" w:line="420" w:lineRule="exact"/>
        <w:jc w:val="left"/>
        <w:rPr>
          <w:sz w:val="24"/>
        </w:rPr>
        <w:sectPr>
          <w:pgSz w:w="12250" w:h="17190"/>
          <w:pgMar w:header="0" w:footer="734" w:top="1640" w:bottom="1020" w:left="1020" w:right="0"/>
        </w:sectPr>
      </w:pPr>
    </w:p>
    <w:p>
      <w:pPr>
        <w:pStyle w:val="ListParagraph"/>
        <w:numPr>
          <w:ilvl w:val="2"/>
          <w:numId w:val="171"/>
        </w:numPr>
        <w:tabs>
          <w:tab w:pos="1958" w:val="left" w:leader="none"/>
        </w:tabs>
        <w:spacing w:line="428" w:lineRule="exact" w:before="25" w:after="0"/>
        <w:ind w:left="1957" w:right="0" w:hanging="484"/>
        <w:jc w:val="both"/>
        <w:rPr>
          <w:sz w:val="24"/>
        </w:rPr>
      </w:pPr>
      <w:r>
        <w:rPr/>
        <w:pict>
          <v:group style="position:absolute;margin-left:573pt;margin-top:.720867pt;width:39.4pt;height:177.4pt;mso-position-horizontal-relative:page;mso-position-vertical-relative:paragraph;z-index:251909120" coordorigin="11460,14" coordsize="788,3548">
            <v:shape style="position:absolute;left:11460;top:14;width:788;height:3548" coordorigin="11460,14" coordsize="788,3548" path="m12247,14l11625,14,11561,27,11508,63,11473,115,11460,180,11460,3397,11473,3461,11508,3514,11561,3549,11625,3562,12247,3562,12247,14xe" filled="true" fillcolor="#a6a6a6" stroked="false">
              <v:path arrowok="t"/>
              <v:fill type="solid"/>
            </v:shape>
            <v:shape style="position:absolute;left:11460;top:1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spacing w:val="-1"/>
          <w:sz w:val="24"/>
        </w:rPr>
        <w:t>個案有潛在的藥物交互作用，比如 </w:t>
      </w:r>
      <w:r>
        <w:rPr>
          <w:sz w:val="24"/>
        </w:rPr>
        <w:t>rifamycins</w:t>
      </w:r>
      <w:r>
        <w:rPr>
          <w:spacing w:val="-1"/>
          <w:sz w:val="24"/>
        </w:rPr>
        <w:t> 與  </w:t>
      </w:r>
      <w:r>
        <w:rPr>
          <w:sz w:val="24"/>
        </w:rPr>
        <w:t>antiretrovirals。</w:t>
      </w:r>
    </w:p>
    <w:p>
      <w:pPr>
        <w:pStyle w:val="ListParagraph"/>
        <w:numPr>
          <w:ilvl w:val="2"/>
          <w:numId w:val="171"/>
        </w:numPr>
        <w:tabs>
          <w:tab w:pos="1958" w:val="left" w:leader="none"/>
        </w:tabs>
        <w:spacing w:line="414" w:lineRule="exact" w:before="0" w:after="0"/>
        <w:ind w:left="1957" w:right="0" w:hanging="484"/>
        <w:jc w:val="both"/>
        <w:rPr>
          <w:sz w:val="24"/>
        </w:rPr>
      </w:pPr>
      <w:r>
        <w:rPr>
          <w:spacing w:val="-1"/>
          <w:sz w:val="24"/>
        </w:rPr>
        <w:t>個案有顯著的腎功能不全，宜檢驗 </w:t>
      </w:r>
      <w:r>
        <w:rPr>
          <w:sz w:val="24"/>
        </w:rPr>
        <w:t>EMB 濃度。</w:t>
      </w:r>
    </w:p>
    <w:p>
      <w:pPr>
        <w:pStyle w:val="ListParagraph"/>
        <w:numPr>
          <w:ilvl w:val="1"/>
          <w:numId w:val="171"/>
        </w:numPr>
        <w:tabs>
          <w:tab w:pos="1481" w:val="left" w:leader="none"/>
        </w:tabs>
        <w:spacing w:line="225" w:lineRule="auto" w:before="5" w:after="0"/>
        <w:ind w:left="1480" w:right="1361" w:hanging="480"/>
        <w:jc w:val="both"/>
        <w:rPr>
          <w:sz w:val="24"/>
        </w:rPr>
      </w:pPr>
      <w:r>
        <w:rPr>
          <w:spacing w:val="1"/>
          <w:sz w:val="24"/>
        </w:rPr>
        <w:t>許多抗藥性結核病專家規律的監測某些 </w:t>
      </w:r>
      <w:r>
        <w:rPr>
          <w:sz w:val="24"/>
        </w:rPr>
        <w:t>TB</w:t>
      </w:r>
      <w:r>
        <w:rPr>
          <w:spacing w:val="-1"/>
          <w:sz w:val="24"/>
        </w:rPr>
        <w:t> 藥物的濃度，去預測藥物毒性並在可</w:t>
      </w:r>
      <w:r>
        <w:rPr>
          <w:sz w:val="24"/>
        </w:rPr>
        <w:t>能的狀況下逐漸增藥。</w:t>
      </w:r>
    </w:p>
    <w:p>
      <w:pPr>
        <w:pStyle w:val="Heading7"/>
        <w:numPr>
          <w:ilvl w:val="0"/>
          <w:numId w:val="170"/>
        </w:numPr>
        <w:tabs>
          <w:tab w:pos="958" w:val="left" w:leader="none"/>
        </w:tabs>
        <w:spacing w:line="429" w:lineRule="exact" w:before="76" w:after="0"/>
        <w:ind w:left="957" w:right="0" w:hanging="343"/>
        <w:jc w:val="both"/>
      </w:pPr>
      <w:r>
        <w:rPr>
          <w:spacing w:val="3"/>
        </w:rPr>
        <w:t>如何解釋治療藥物監測的結果</w:t>
      </w:r>
    </w:p>
    <w:p>
      <w:pPr>
        <w:pStyle w:val="ListParagraph"/>
        <w:numPr>
          <w:ilvl w:val="1"/>
          <w:numId w:val="172"/>
        </w:numPr>
        <w:tabs>
          <w:tab w:pos="1481" w:val="left" w:leader="none"/>
        </w:tabs>
        <w:spacing w:line="416" w:lineRule="exact" w:before="0" w:after="0"/>
        <w:ind w:left="1480" w:right="0" w:hanging="481"/>
        <w:jc w:val="both"/>
        <w:rPr>
          <w:sz w:val="24"/>
        </w:rPr>
      </w:pPr>
      <w:r>
        <w:rPr>
          <w:sz w:val="24"/>
        </w:rPr>
        <w:t>許多因素去解釋藥物濃度：</w:t>
      </w:r>
    </w:p>
    <w:p>
      <w:pPr>
        <w:pStyle w:val="ListParagraph"/>
        <w:numPr>
          <w:ilvl w:val="2"/>
          <w:numId w:val="172"/>
        </w:numPr>
        <w:tabs>
          <w:tab w:pos="1872" w:val="left" w:leader="none"/>
        </w:tabs>
        <w:spacing w:line="416" w:lineRule="exact" w:before="0" w:after="0"/>
        <w:ind w:left="1872" w:right="0" w:hanging="398"/>
        <w:jc w:val="both"/>
        <w:rPr>
          <w:sz w:val="24"/>
        </w:rPr>
      </w:pPr>
      <w:r>
        <w:rPr>
          <w:sz w:val="24"/>
        </w:rPr>
        <w:t>抽血的時間相對於服藥時間。</w:t>
      </w:r>
    </w:p>
    <w:p>
      <w:pPr>
        <w:pStyle w:val="ListParagraph"/>
        <w:numPr>
          <w:ilvl w:val="2"/>
          <w:numId w:val="172"/>
        </w:numPr>
        <w:tabs>
          <w:tab w:pos="1872" w:val="left" w:leader="none"/>
        </w:tabs>
        <w:spacing w:line="416" w:lineRule="exact" w:before="0" w:after="0"/>
        <w:ind w:left="1872" w:right="0" w:hanging="398"/>
        <w:jc w:val="both"/>
        <w:rPr>
          <w:sz w:val="24"/>
        </w:rPr>
      </w:pPr>
      <w:r>
        <w:rPr>
          <w:sz w:val="24"/>
        </w:rPr>
        <w:t>對治療反應不佳的證據或是副作用。</w:t>
      </w:r>
    </w:p>
    <w:p>
      <w:pPr>
        <w:pStyle w:val="ListParagraph"/>
        <w:numPr>
          <w:ilvl w:val="2"/>
          <w:numId w:val="172"/>
        </w:numPr>
        <w:tabs>
          <w:tab w:pos="1872" w:val="left" w:leader="none"/>
        </w:tabs>
        <w:spacing w:line="225" w:lineRule="auto" w:before="6" w:after="0"/>
        <w:ind w:left="1000" w:right="1652" w:firstLine="474"/>
        <w:jc w:val="both"/>
        <w:rPr>
          <w:sz w:val="24"/>
        </w:rPr>
      </w:pPr>
      <w:r>
        <w:rPr>
          <w:spacing w:val="-5"/>
          <w:sz w:val="24"/>
        </w:rPr>
        <w:t>了解增加或是降低藥物廓清率的因素(如：肝、腎功能不全、藥物交互作用) 4-2</w:t>
      </w:r>
      <w:r>
        <w:rPr>
          <w:sz w:val="24"/>
        </w:rPr>
        <w:t> 我的個案是否暴露在適當的藥物？血中藥物濃度可以解答。</w:t>
      </w:r>
    </w:p>
    <w:p>
      <w:pPr>
        <w:pStyle w:val="ListParagraph"/>
        <w:numPr>
          <w:ilvl w:val="0"/>
          <w:numId w:val="173"/>
        </w:numPr>
        <w:tabs>
          <w:tab w:pos="1872" w:val="left" w:leader="none"/>
        </w:tabs>
        <w:spacing w:line="412" w:lineRule="exact" w:before="0" w:after="0"/>
        <w:ind w:left="1872" w:right="0" w:hanging="398"/>
        <w:jc w:val="both"/>
        <w:rPr>
          <w:sz w:val="24"/>
        </w:rPr>
      </w:pPr>
      <w:r>
        <w:rPr>
          <w:sz w:val="24"/>
        </w:rPr>
        <w:t>在大部分情況下於已知的正常範圍，代表暴露在安全與有效的藥物。</w:t>
      </w:r>
    </w:p>
    <w:p>
      <w:pPr>
        <w:pStyle w:val="ListParagraph"/>
        <w:numPr>
          <w:ilvl w:val="0"/>
          <w:numId w:val="173"/>
        </w:numPr>
        <w:tabs>
          <w:tab w:pos="1872" w:val="left" w:leader="none"/>
        </w:tabs>
        <w:spacing w:line="225" w:lineRule="auto" w:before="7" w:after="0"/>
        <w:ind w:left="1872" w:right="1357" w:hanging="398"/>
        <w:jc w:val="both"/>
        <w:rPr>
          <w:sz w:val="24"/>
        </w:rPr>
      </w:pPr>
      <w:r>
        <w:rPr>
          <w:sz w:val="24"/>
        </w:rPr>
        <w:t>就像其他的檢驗，血中藥物濃度不能預測失敗或是復發。但是血中藥物濃度可以代表個案目前服用藥物的劑量指標，如果血中藥物濃度指標比預期中還要低，則可以逐漸增加劑量。</w:t>
      </w:r>
    </w:p>
    <w:p>
      <w:pPr>
        <w:pStyle w:val="ListParagraph"/>
        <w:numPr>
          <w:ilvl w:val="0"/>
          <w:numId w:val="173"/>
        </w:numPr>
        <w:tabs>
          <w:tab w:pos="1872" w:val="left" w:leader="none"/>
        </w:tabs>
        <w:spacing w:line="225" w:lineRule="auto" w:before="3" w:after="0"/>
        <w:ind w:left="1872" w:right="1357" w:hanging="398"/>
        <w:jc w:val="both"/>
        <w:rPr>
          <w:sz w:val="24"/>
        </w:rPr>
      </w:pPr>
      <w:r>
        <w:rPr>
          <w:sz w:val="24"/>
        </w:rPr>
        <w:t>如果血中藥物濃度報告與臨床狀況不符合，調整劑量之前須重複再做一次檢驗。</w:t>
      </w:r>
    </w:p>
    <w:p>
      <w:pPr>
        <w:pStyle w:val="Heading7"/>
        <w:numPr>
          <w:ilvl w:val="0"/>
          <w:numId w:val="170"/>
        </w:numPr>
        <w:tabs>
          <w:tab w:pos="958" w:val="left" w:leader="none"/>
        </w:tabs>
        <w:spacing w:line="428" w:lineRule="exact" w:before="78" w:after="0"/>
        <w:ind w:left="957" w:right="0" w:hanging="343"/>
        <w:jc w:val="both"/>
      </w:pPr>
      <w:r>
        <w:rPr>
          <w:spacing w:val="3"/>
        </w:rPr>
        <w:t>最高濃度</w:t>
      </w:r>
      <w:r>
        <w:rPr>
          <w:spacing w:val="2"/>
        </w:rPr>
        <w:t>（Cmax）半衰期(</w:t>
      </w:r>
      <w:r>
        <w:rPr/>
        <w:t>t1/2)：</w:t>
      </w:r>
    </w:p>
    <w:p>
      <w:pPr>
        <w:pStyle w:val="BodyText"/>
        <w:spacing w:line="225" w:lineRule="auto" w:before="5"/>
        <w:ind w:left="945" w:right="1301" w:firstLine="488"/>
        <w:jc w:val="both"/>
      </w:pPr>
      <w:r>
        <w:rPr>
          <w:spacing w:val="1"/>
        </w:rPr>
        <w:t>把兩個血中藥物濃度分開幾個小時(通常四個小時)後即可計算最高濃度</w:t>
      </w:r>
      <w:r>
        <w:rPr/>
        <w:t>（C</w:t>
      </w:r>
      <w:r>
        <w:rPr>
          <w:vertAlign w:val="subscript"/>
        </w:rPr>
        <w:t>max</w:t>
      </w:r>
      <w:r>
        <w:rPr>
          <w:vertAlign w:val="baseline"/>
        </w:rPr>
        <w:t>） </w:t>
      </w:r>
      <w:r>
        <w:rPr>
          <w:spacing w:val="1"/>
          <w:vertAlign w:val="baseline"/>
        </w:rPr>
        <w:t>半衰期(</w:t>
      </w:r>
      <w:r>
        <w:rPr>
          <w:spacing w:val="-3"/>
          <w:vertAlign w:val="baseline"/>
        </w:rPr>
        <w:t>t</w:t>
      </w:r>
      <w:r>
        <w:rPr>
          <w:spacing w:val="-3"/>
          <w:vertAlign w:val="subscript"/>
        </w:rPr>
        <w:t>1/2</w:t>
      </w:r>
      <w:r>
        <w:rPr>
          <w:spacing w:val="-6"/>
          <w:vertAlign w:val="baseline"/>
        </w:rPr>
        <w:t>)。這些濃度也可以偵測出吸收延遲與吸收不良的情形。一般來說，兩個小</w:t>
      </w:r>
      <w:r>
        <w:rPr>
          <w:spacing w:val="-3"/>
          <w:vertAlign w:val="baseline"/>
        </w:rPr>
        <w:t>時的血中濃度比六個小時的高。發生吸收延遲情形時，六個小時的數值會比兩個小時</w:t>
      </w:r>
      <w:r>
        <w:rPr>
          <w:spacing w:val="-16"/>
          <w:vertAlign w:val="baseline"/>
        </w:rPr>
        <w:t>的高之外，六個小時的數值可能會很接近治療範圍。當吸收不良時兩個數值都會降低。5-1</w:t>
      </w:r>
      <w:r>
        <w:rPr>
          <w:spacing w:val="5"/>
          <w:vertAlign w:val="baseline"/>
        </w:rPr>
        <w:t> 如果血中藥物濃度比預期中的高，考慮把該藥的劑量調低尤其是當藥毒性已經</w:t>
      </w:r>
    </w:p>
    <w:p>
      <w:pPr>
        <w:pStyle w:val="BodyText"/>
        <w:spacing w:line="404" w:lineRule="exact"/>
        <w:ind w:left="1489"/>
        <w:jc w:val="both"/>
      </w:pPr>
      <w:r>
        <w:rPr/>
        <w:t>出現（高 CS 濃度會出現躁動或是憂鬱症、高 AMK 濃度則會出現聽力喪失）</w:t>
      </w:r>
    </w:p>
    <w:p>
      <w:pPr>
        <w:pStyle w:val="BodyText"/>
        <w:spacing w:line="225" w:lineRule="auto" w:before="6"/>
        <w:ind w:left="1489" w:right="1363" w:hanging="489"/>
        <w:jc w:val="both"/>
      </w:pPr>
      <w:r>
        <w:rPr/>
        <w:t>5-2 如果血中藥物濃度比預期中的低，考慮把該藥的劑量調高來達到預期濃度。當血中藥物濃度低時，可以開比一般最高劑量還多的劑量，但是一定要特別謹慎監測。</w:t>
      </w:r>
    </w:p>
    <w:p>
      <w:pPr>
        <w:pStyle w:val="ListParagraph"/>
        <w:numPr>
          <w:ilvl w:val="0"/>
          <w:numId w:val="170"/>
        </w:numPr>
        <w:tabs>
          <w:tab w:pos="952" w:val="left" w:leader="none"/>
        </w:tabs>
        <w:spacing w:line="225" w:lineRule="auto" w:before="117" w:after="0"/>
        <w:ind w:left="951" w:right="1359" w:hanging="336"/>
        <w:jc w:val="both"/>
        <w:rPr>
          <w:sz w:val="24"/>
        </w:rPr>
      </w:pPr>
      <w:r>
        <w:rPr>
          <w:sz w:val="24"/>
        </w:rPr>
        <w:t>二線結核藥物安全主動監測管理 </w:t>
      </w:r>
      <w:r>
        <w:rPr>
          <w:spacing w:val="-4"/>
          <w:sz w:val="24"/>
        </w:rPr>
        <w:t>Active</w:t>
      </w:r>
      <w:r>
        <w:rPr>
          <w:spacing w:val="-19"/>
          <w:sz w:val="24"/>
        </w:rPr>
        <w:t> </w:t>
      </w:r>
      <w:r>
        <w:rPr>
          <w:sz w:val="24"/>
        </w:rPr>
        <w:t>TB</w:t>
      </w:r>
      <w:r>
        <w:rPr>
          <w:spacing w:val="-18"/>
          <w:sz w:val="24"/>
        </w:rPr>
        <w:t> </w:t>
      </w:r>
      <w:r>
        <w:rPr>
          <w:spacing w:val="-4"/>
          <w:sz w:val="24"/>
        </w:rPr>
        <w:t>drug</w:t>
      </w:r>
      <w:r>
        <w:rPr>
          <w:spacing w:val="-19"/>
          <w:sz w:val="24"/>
        </w:rPr>
        <w:t> </w:t>
      </w:r>
      <w:r>
        <w:rPr>
          <w:spacing w:val="-4"/>
          <w:sz w:val="24"/>
        </w:rPr>
        <w:t>safety</w:t>
      </w:r>
      <w:r>
        <w:rPr>
          <w:spacing w:val="-20"/>
          <w:sz w:val="24"/>
        </w:rPr>
        <w:t> </w:t>
      </w:r>
      <w:r>
        <w:rPr>
          <w:spacing w:val="-4"/>
          <w:sz w:val="24"/>
        </w:rPr>
        <w:t>monitoring</w:t>
      </w:r>
      <w:r>
        <w:rPr>
          <w:spacing w:val="-20"/>
          <w:sz w:val="24"/>
        </w:rPr>
        <w:t> </w:t>
      </w:r>
      <w:r>
        <w:rPr>
          <w:spacing w:val="-4"/>
          <w:sz w:val="24"/>
        </w:rPr>
        <w:t>and</w:t>
      </w:r>
      <w:r>
        <w:rPr>
          <w:spacing w:val="-20"/>
          <w:sz w:val="24"/>
        </w:rPr>
        <w:t> </w:t>
      </w:r>
      <w:r>
        <w:rPr>
          <w:spacing w:val="-5"/>
          <w:sz w:val="24"/>
        </w:rPr>
        <w:t>management </w:t>
      </w:r>
      <w:r>
        <w:rPr>
          <w:spacing w:val="-4"/>
          <w:sz w:val="24"/>
        </w:rPr>
        <w:t>(aDSM)</w:t>
      </w:r>
    </w:p>
    <w:p>
      <w:pPr>
        <w:pStyle w:val="BodyText"/>
        <w:spacing w:line="225" w:lineRule="auto"/>
        <w:ind w:left="964" w:right="1358"/>
        <w:jc w:val="both"/>
      </w:pPr>
      <w:r>
        <w:rPr/>
        <w:t>所有在服用 MDR-TB 藥物處方的個案皆需二線結核藥物安全主動監測管理，以確保用藥安全性與即時監測治療結果。</w:t>
      </w:r>
    </w:p>
    <w:p>
      <w:pPr>
        <w:pStyle w:val="BodyText"/>
        <w:spacing w:before="12"/>
        <w:rPr>
          <w:sz w:val="17"/>
        </w:rPr>
      </w:pPr>
    </w:p>
    <w:p>
      <w:pPr>
        <w:pStyle w:val="Heading6"/>
        <w:numPr>
          <w:ilvl w:val="1"/>
          <w:numId w:val="145"/>
        </w:numPr>
        <w:tabs>
          <w:tab w:pos="976" w:val="left" w:leader="none"/>
        </w:tabs>
        <w:spacing w:line="240" w:lineRule="auto" w:before="0" w:after="0"/>
        <w:ind w:left="975" w:right="0" w:hanging="636"/>
        <w:jc w:val="left"/>
      </w:pPr>
      <w:bookmarkStart w:name="12.9 外科手術對於治療抗藥性結核病的角色" w:id="154"/>
      <w:bookmarkEnd w:id="154"/>
      <w:r>
        <w:rPr>
          <w:b w:val="0"/>
        </w:rPr>
      </w:r>
      <w:bookmarkStart w:name="12.9 外科手術對於治療抗藥性結核病的角色" w:id="155"/>
      <w:bookmarkEnd w:id="155"/>
      <w:r>
        <w:rPr>
          <w:spacing w:val="2"/>
        </w:rPr>
        <w:t>外科手術對於治療抗藥性結核病的角色</w:t>
      </w:r>
    </w:p>
    <w:p>
      <w:pPr>
        <w:spacing w:after="0" w:line="240" w:lineRule="auto"/>
        <w:jc w:val="left"/>
        <w:sectPr>
          <w:pgSz w:w="12250" w:h="17190"/>
          <w:pgMar w:header="0" w:footer="734" w:top="1460" w:bottom="1020" w:left="1020" w:right="0"/>
        </w:sectPr>
      </w:pPr>
    </w:p>
    <w:p>
      <w:pPr>
        <w:pStyle w:val="ListParagraph"/>
        <w:numPr>
          <w:ilvl w:val="2"/>
          <w:numId w:val="145"/>
        </w:numPr>
        <w:tabs>
          <w:tab w:pos="964" w:val="left" w:leader="none"/>
        </w:tabs>
        <w:spacing w:line="225" w:lineRule="auto" w:before="44" w:after="0"/>
        <w:ind w:left="963" w:right="1361" w:hanging="348"/>
        <w:jc w:val="both"/>
        <w:rPr>
          <w:sz w:val="24"/>
        </w:rPr>
      </w:pPr>
      <w:r>
        <w:rPr>
          <w:spacing w:val="1"/>
          <w:sz w:val="24"/>
        </w:rPr>
        <w:t>有時候須要考慮以外科手術來治療 </w:t>
      </w:r>
      <w:r>
        <w:rPr>
          <w:sz w:val="24"/>
        </w:rPr>
        <w:t>MDR-TB</w:t>
      </w:r>
      <w:r>
        <w:rPr>
          <w:spacing w:val="12"/>
          <w:sz w:val="24"/>
        </w:rPr>
        <w:t> 或是 </w:t>
      </w:r>
      <w:r>
        <w:rPr>
          <w:sz w:val="24"/>
        </w:rPr>
        <w:t>XDR-TB 個案。執行切除手術的決</w:t>
      </w:r>
      <w:r>
        <w:rPr>
          <w:spacing w:val="-4"/>
          <w:sz w:val="24"/>
        </w:rPr>
        <w:t>定必須與治療抗藥性結核病之專家諮詢過，並考量抗藥程度、</w:t>
      </w:r>
      <w:r>
        <w:rPr>
          <w:sz w:val="24"/>
        </w:rPr>
        <w:t>CXR</w:t>
      </w:r>
      <w:r>
        <w:rPr>
          <w:spacing w:val="-3"/>
          <w:sz w:val="24"/>
        </w:rPr>
        <w:t> 開洞的情況以及個</w:t>
      </w:r>
      <w:r>
        <w:rPr>
          <w:sz w:val="24"/>
        </w:rPr>
        <w:t>案是否有能力忍受手術。</w:t>
      </w:r>
    </w:p>
    <w:p>
      <w:pPr>
        <w:pStyle w:val="ListParagraph"/>
        <w:numPr>
          <w:ilvl w:val="2"/>
          <w:numId w:val="145"/>
        </w:numPr>
        <w:tabs>
          <w:tab w:pos="970" w:val="left" w:leader="none"/>
        </w:tabs>
        <w:spacing w:line="225" w:lineRule="auto" w:before="0" w:after="0"/>
        <w:ind w:left="969" w:right="1301" w:hanging="354"/>
        <w:jc w:val="both"/>
        <w:rPr>
          <w:b/>
          <w:sz w:val="24"/>
        </w:rPr>
      </w:pPr>
      <w:r>
        <w:rPr>
          <w:spacing w:val="-7"/>
          <w:sz w:val="24"/>
        </w:rPr>
        <w:t>統合分析發現，有接受手術治療之個案比沒有接受手術治療之個案，有統計上顯著的</w:t>
      </w:r>
      <w:r>
        <w:rPr>
          <w:spacing w:val="-4"/>
          <w:sz w:val="24"/>
        </w:rPr>
        <w:t>較高的成功治療率。分析手術方式發現，部分肺切除病人有較明顯的治療成功比例。</w:t>
      </w:r>
      <w:r>
        <w:rPr>
          <w:spacing w:val="-5"/>
          <w:sz w:val="24"/>
        </w:rPr>
        <w:t>但是接受全肺切除的病人，跟不接受手術的個案相比，並沒有比較好的治療結果。執行部分肺切除時痰已陰轉的病人，預後比痰尚未陰轉者好。該注意的是這些研究報告只有納入適合手術的個案，且個案中並沒有 </w:t>
      </w:r>
      <w:r>
        <w:rPr>
          <w:sz w:val="24"/>
        </w:rPr>
        <w:t>HIV</w:t>
      </w:r>
      <w:r>
        <w:rPr>
          <w:spacing w:val="-6"/>
          <w:sz w:val="24"/>
        </w:rPr>
        <w:t> 共病，因此無法得知手術對於有 </w:t>
      </w:r>
      <w:r>
        <w:rPr>
          <w:spacing w:val="2"/>
          <w:sz w:val="24"/>
        </w:rPr>
        <w:t>HIV </w:t>
      </w:r>
      <w:r>
        <w:rPr>
          <w:spacing w:val="3"/>
          <w:sz w:val="24"/>
        </w:rPr>
        <w:t>共病的 </w:t>
      </w:r>
      <w:r>
        <w:rPr>
          <w:sz w:val="24"/>
        </w:rPr>
        <w:t>MDR-TB</w:t>
      </w:r>
      <w:r>
        <w:rPr>
          <w:spacing w:val="3"/>
          <w:sz w:val="24"/>
        </w:rPr>
        <w:t> 個案是否有幫助。有手術的個案跟沒有手術只有服藥的個案之死亡率並無明顯差別。</w:t>
      </w:r>
      <w:r>
        <w:rPr>
          <w:b/>
          <w:spacing w:val="2"/>
          <w:sz w:val="24"/>
        </w:rPr>
        <w:t>應考慮手術的情況：</w:t>
      </w:r>
    </w:p>
    <w:p>
      <w:pPr>
        <w:pStyle w:val="ListParagraph"/>
        <w:numPr>
          <w:ilvl w:val="1"/>
          <w:numId w:val="174"/>
        </w:numPr>
        <w:tabs>
          <w:tab w:pos="1490" w:val="left" w:leader="none"/>
        </w:tabs>
        <w:spacing w:line="240" w:lineRule="auto" w:before="11" w:after="0"/>
        <w:ind w:left="1489" w:right="0" w:hanging="490"/>
        <w:jc w:val="left"/>
        <w:rPr>
          <w:sz w:val="24"/>
        </w:rPr>
      </w:pPr>
      <w:r>
        <w:rPr>
          <w:spacing w:val="3"/>
          <w:sz w:val="24"/>
        </w:rPr>
        <w:t>當 </w:t>
      </w:r>
      <w:r>
        <w:rPr>
          <w:sz w:val="24"/>
        </w:rPr>
        <w:t>MDR/XDR-TB</w:t>
      </w:r>
      <w:r>
        <w:rPr>
          <w:spacing w:val="2"/>
          <w:sz w:val="24"/>
        </w:rPr>
        <w:t> 治療 </w:t>
      </w:r>
      <w:r>
        <w:rPr>
          <w:sz w:val="24"/>
        </w:rPr>
        <w:t>4-6</w:t>
      </w:r>
      <w:r>
        <w:rPr>
          <w:spacing w:val="2"/>
          <w:sz w:val="24"/>
        </w:rPr>
        <w:t> 個月後痰液培養持續陽性，以及</w:t>
      </w:r>
      <w:r>
        <w:rPr>
          <w:sz w:val="24"/>
        </w:rPr>
        <w:t>/</w:t>
      </w:r>
      <w:r>
        <w:rPr>
          <w:spacing w:val="3"/>
          <w:sz w:val="24"/>
        </w:rPr>
        <w:t>或；</w:t>
      </w:r>
    </w:p>
    <w:p>
      <w:pPr>
        <w:pStyle w:val="ListParagraph"/>
        <w:numPr>
          <w:ilvl w:val="1"/>
          <w:numId w:val="174"/>
        </w:numPr>
        <w:tabs>
          <w:tab w:pos="1490" w:val="left" w:leader="none"/>
        </w:tabs>
        <w:spacing w:line="240" w:lineRule="auto" w:before="11" w:after="0"/>
        <w:ind w:left="1489" w:right="0" w:hanging="490"/>
        <w:jc w:val="left"/>
        <w:rPr>
          <w:sz w:val="24"/>
        </w:rPr>
      </w:pPr>
      <w:r>
        <w:rPr>
          <w:spacing w:val="3"/>
          <w:sz w:val="24"/>
        </w:rPr>
        <w:t>有廣泛抗藥性存在且以化療單獨治療可能無法治癒，以及</w:t>
      </w:r>
      <w:r>
        <w:rPr>
          <w:sz w:val="24"/>
        </w:rPr>
        <w:t>/</w:t>
      </w:r>
      <w:r>
        <w:rPr>
          <w:spacing w:val="4"/>
          <w:sz w:val="24"/>
        </w:rPr>
        <w:t>或；</w:t>
      </w:r>
    </w:p>
    <w:p>
      <w:pPr>
        <w:pStyle w:val="ListParagraph"/>
        <w:numPr>
          <w:ilvl w:val="1"/>
          <w:numId w:val="174"/>
        </w:numPr>
        <w:tabs>
          <w:tab w:pos="1490" w:val="left" w:leader="none"/>
        </w:tabs>
        <w:spacing w:line="240" w:lineRule="auto" w:before="10" w:after="0"/>
        <w:ind w:left="1489" w:right="0" w:hanging="490"/>
        <w:jc w:val="left"/>
        <w:rPr>
          <w:sz w:val="24"/>
        </w:rPr>
      </w:pPr>
      <w:r>
        <w:rPr>
          <w:spacing w:val="3"/>
          <w:sz w:val="24"/>
        </w:rPr>
        <w:t>個案發展出嚴重併發症如：大量咳血或是支氣管胸膜廔管。</w:t>
      </w:r>
    </w:p>
    <w:p>
      <w:pPr>
        <w:pStyle w:val="ListParagraph"/>
        <w:numPr>
          <w:ilvl w:val="2"/>
          <w:numId w:val="145"/>
        </w:numPr>
        <w:tabs>
          <w:tab w:pos="958" w:val="left" w:leader="none"/>
        </w:tabs>
        <w:spacing w:line="240" w:lineRule="auto" w:before="32" w:after="0"/>
        <w:ind w:left="957" w:right="0" w:hanging="343"/>
        <w:jc w:val="left"/>
        <w:rPr>
          <w:b/>
          <w:sz w:val="24"/>
        </w:rPr>
      </w:pPr>
      <w:r>
        <w:rPr>
          <w:b/>
          <w:spacing w:val="3"/>
          <w:sz w:val="24"/>
        </w:rPr>
        <w:t>如何使手術</w:t>
      </w:r>
      <w:r>
        <w:rPr>
          <w:spacing w:val="3"/>
          <w:sz w:val="24"/>
        </w:rPr>
        <w:t>成功率</w:t>
      </w:r>
      <w:r>
        <w:rPr>
          <w:b/>
          <w:spacing w:val="3"/>
          <w:sz w:val="24"/>
        </w:rPr>
        <w:t>增加：</w:t>
      </w:r>
    </w:p>
    <w:p>
      <w:pPr>
        <w:pStyle w:val="ListParagraph"/>
        <w:numPr>
          <w:ilvl w:val="1"/>
          <w:numId w:val="175"/>
        </w:numPr>
        <w:tabs>
          <w:tab w:pos="1490" w:val="left" w:leader="none"/>
        </w:tabs>
        <w:spacing w:line="240" w:lineRule="auto" w:before="35" w:after="0"/>
        <w:ind w:left="1489" w:right="0" w:hanging="490"/>
        <w:jc w:val="left"/>
        <w:rPr>
          <w:sz w:val="24"/>
        </w:rPr>
      </w:pPr>
      <w:r>
        <w:rPr>
          <w:spacing w:val="-3"/>
          <w:sz w:val="24"/>
        </w:rPr>
        <w:t>個案必須是在可以接受手術的狀態，有合適且充足的肺功能狀態並可忍受手術。</w:t>
      </w:r>
    </w:p>
    <w:p>
      <w:pPr>
        <w:pStyle w:val="ListParagraph"/>
        <w:numPr>
          <w:ilvl w:val="1"/>
          <w:numId w:val="175"/>
        </w:numPr>
        <w:tabs>
          <w:tab w:pos="1490" w:val="left" w:leader="none"/>
        </w:tabs>
        <w:spacing w:line="240" w:lineRule="auto" w:before="12" w:after="0"/>
        <w:ind w:left="1489" w:right="0" w:hanging="490"/>
        <w:jc w:val="left"/>
        <w:rPr>
          <w:sz w:val="24"/>
        </w:rPr>
      </w:pPr>
      <w:r>
        <w:rPr>
          <w:spacing w:val="3"/>
          <w:sz w:val="24"/>
        </w:rPr>
        <w:t>必須由經驗豐富的外科醫師來執行手術而且是在給化療後幾個月執行。</w:t>
      </w:r>
    </w:p>
    <w:p>
      <w:pPr>
        <w:pStyle w:val="ListParagraph"/>
        <w:numPr>
          <w:ilvl w:val="1"/>
          <w:numId w:val="175"/>
        </w:numPr>
        <w:tabs>
          <w:tab w:pos="1490" w:val="left" w:leader="none"/>
        </w:tabs>
        <w:spacing w:line="225" w:lineRule="auto" w:before="29" w:after="0"/>
        <w:ind w:left="1489" w:right="1363" w:hanging="489"/>
        <w:jc w:val="left"/>
        <w:rPr>
          <w:sz w:val="24"/>
        </w:rPr>
      </w:pPr>
      <w:r>
        <w:rPr>
          <w:spacing w:val="5"/>
          <w:sz w:val="24"/>
        </w:rPr>
        <w:t>即使手術切除成功，個案也應完成全部的療程。如果術後沒有再出現痰液培養</w:t>
      </w:r>
      <w:r>
        <w:rPr>
          <w:spacing w:val="3"/>
          <w:sz w:val="24"/>
        </w:rPr>
        <w:t>陽性，那麼就可以考慮以手術當天算為痰液培養陰轉日期。</w:t>
      </w:r>
    </w:p>
    <w:p>
      <w:pPr>
        <w:spacing w:before="117" w:after="15"/>
        <w:ind w:left="451" w:right="0" w:firstLine="0"/>
        <w:jc w:val="left"/>
        <w:rPr>
          <w:b/>
          <w:sz w:val="22"/>
        </w:rPr>
      </w:pPr>
      <w:r>
        <w:rPr>
          <w:b/>
          <w:sz w:val="22"/>
        </w:rPr>
        <w:t>摘要</w:t>
      </w:r>
    </w:p>
    <w:tbl>
      <w:tblPr>
        <w:tblW w:w="0" w:type="auto"/>
        <w:jc w:val="left"/>
        <w:tblInd w:w="63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9355"/>
      </w:tblGrid>
      <w:tr>
        <w:trPr>
          <w:trHeight w:val="438" w:hRule="atLeast"/>
        </w:trPr>
        <w:tc>
          <w:tcPr>
            <w:tcW w:w="9355" w:type="dxa"/>
            <w:tcBorders>
              <w:bottom w:val="nil"/>
            </w:tcBorders>
          </w:tcPr>
          <w:p>
            <w:pPr>
              <w:pStyle w:val="TableParagraph"/>
              <w:numPr>
                <w:ilvl w:val="0"/>
                <w:numId w:val="176"/>
              </w:numPr>
              <w:tabs>
                <w:tab w:pos="453" w:val="left" w:leader="none"/>
                <w:tab w:pos="454" w:val="left" w:leader="none"/>
              </w:tabs>
              <w:spacing w:line="403" w:lineRule="exact" w:before="15" w:after="0"/>
              <w:ind w:left="453" w:right="0" w:hanging="346"/>
              <w:jc w:val="left"/>
              <w:rPr>
                <w:sz w:val="23"/>
              </w:rPr>
            </w:pPr>
            <w:r>
              <w:rPr>
                <w:spacing w:val="-1"/>
                <w:sz w:val="23"/>
              </w:rPr>
              <w:t>所有 </w:t>
            </w:r>
            <w:r>
              <w:rPr>
                <w:sz w:val="23"/>
              </w:rPr>
              <w:t>MDR/XDR-TB</w:t>
            </w:r>
            <w:r>
              <w:rPr>
                <w:spacing w:val="8"/>
                <w:sz w:val="23"/>
              </w:rPr>
              <w:t> 個案都應加入</w:t>
            </w:r>
            <w:r>
              <w:rPr>
                <w:color w:val="FF0000"/>
                <w:sz w:val="23"/>
              </w:rPr>
              <w:t>TMTC</w:t>
            </w:r>
            <w:r>
              <w:rPr>
                <w:color w:val="FF0000"/>
                <w:spacing w:val="-1"/>
                <w:sz w:val="23"/>
              </w:rPr>
              <w:t> </w:t>
            </w:r>
            <w:r>
              <w:rPr>
                <w:sz w:val="23"/>
              </w:rPr>
              <w:t>團隊治療。</w:t>
            </w:r>
          </w:p>
        </w:tc>
      </w:tr>
      <w:tr>
        <w:trPr>
          <w:trHeight w:val="823" w:hRule="atLeast"/>
        </w:trPr>
        <w:tc>
          <w:tcPr>
            <w:tcW w:w="9355" w:type="dxa"/>
            <w:tcBorders>
              <w:top w:val="nil"/>
              <w:bottom w:val="nil"/>
            </w:tcBorders>
          </w:tcPr>
          <w:p>
            <w:pPr>
              <w:pStyle w:val="TableParagraph"/>
              <w:numPr>
                <w:ilvl w:val="0"/>
                <w:numId w:val="177"/>
              </w:numPr>
              <w:tabs>
                <w:tab w:pos="453" w:val="left" w:leader="none"/>
                <w:tab w:pos="454" w:val="left" w:leader="none"/>
              </w:tabs>
              <w:spacing w:line="411" w:lineRule="exact" w:before="0" w:after="0"/>
              <w:ind w:left="453" w:right="0" w:hanging="346"/>
              <w:jc w:val="left"/>
              <w:rPr>
                <w:sz w:val="23"/>
              </w:rPr>
            </w:pPr>
            <w:r>
              <w:rPr>
                <w:spacing w:val="-1"/>
                <w:sz w:val="23"/>
              </w:rPr>
              <w:t>應根據 </w:t>
            </w:r>
            <w:r>
              <w:rPr>
                <w:sz w:val="23"/>
              </w:rPr>
              <w:t>DST</w:t>
            </w:r>
            <w:r>
              <w:rPr>
                <w:spacing w:val="-1"/>
                <w:sz w:val="23"/>
              </w:rPr>
              <w:t> 結果、結核病的治療過程、藥物交互作用的可能性、藥物毒性重疊的可能</w:t>
            </w:r>
          </w:p>
          <w:p>
            <w:pPr>
              <w:pStyle w:val="TableParagraph"/>
              <w:spacing w:line="392" w:lineRule="exact"/>
              <w:ind w:left="453"/>
              <w:rPr>
                <w:sz w:val="23"/>
              </w:rPr>
            </w:pPr>
            <w:r>
              <w:rPr>
                <w:sz w:val="23"/>
              </w:rPr>
              <w:t>以及其他主要臨床與流行病學因素來設計 MDR-TB 治療處方。</w:t>
            </w:r>
          </w:p>
        </w:tc>
      </w:tr>
      <w:tr>
        <w:trPr>
          <w:trHeight w:val="424" w:hRule="atLeast"/>
        </w:trPr>
        <w:tc>
          <w:tcPr>
            <w:tcW w:w="9355" w:type="dxa"/>
            <w:tcBorders>
              <w:top w:val="nil"/>
              <w:bottom w:val="nil"/>
            </w:tcBorders>
          </w:tcPr>
          <w:p>
            <w:pPr>
              <w:pStyle w:val="TableParagraph"/>
              <w:numPr>
                <w:ilvl w:val="0"/>
                <w:numId w:val="178"/>
              </w:numPr>
              <w:tabs>
                <w:tab w:pos="453" w:val="left" w:leader="none"/>
                <w:tab w:pos="454" w:val="left" w:leader="none"/>
              </w:tabs>
              <w:spacing w:line="403" w:lineRule="exact" w:before="1" w:after="0"/>
              <w:ind w:left="453" w:right="0" w:hanging="346"/>
              <w:jc w:val="left"/>
              <w:rPr>
                <w:sz w:val="23"/>
              </w:rPr>
            </w:pPr>
            <w:r>
              <w:rPr>
                <w:sz w:val="23"/>
              </w:rPr>
              <w:t>MDR-TB</w:t>
            </w:r>
            <w:r>
              <w:rPr>
                <w:spacing w:val="-1"/>
                <w:sz w:val="23"/>
              </w:rPr>
              <w:t> 治療處方宜包含至少 </w:t>
            </w:r>
            <w:r>
              <w:rPr>
                <w:sz w:val="23"/>
              </w:rPr>
              <w:t>4-6</w:t>
            </w:r>
            <w:r>
              <w:rPr>
                <w:spacing w:val="-1"/>
                <w:sz w:val="23"/>
              </w:rPr>
              <w:t> 種有效藥物(最好五種)。</w:t>
            </w:r>
          </w:p>
        </w:tc>
      </w:tr>
      <w:tr>
        <w:trPr>
          <w:trHeight w:val="1682" w:hRule="atLeast"/>
        </w:trPr>
        <w:tc>
          <w:tcPr>
            <w:tcW w:w="9355" w:type="dxa"/>
            <w:tcBorders>
              <w:top w:val="nil"/>
            </w:tcBorders>
          </w:tcPr>
          <w:p>
            <w:pPr>
              <w:pStyle w:val="TableParagraph"/>
              <w:numPr>
                <w:ilvl w:val="0"/>
                <w:numId w:val="179"/>
              </w:numPr>
              <w:tabs>
                <w:tab w:pos="453" w:val="left" w:leader="none"/>
                <w:tab w:pos="454" w:val="left" w:leader="none"/>
              </w:tabs>
              <w:spacing w:line="240" w:lineRule="auto" w:before="0" w:after="0"/>
              <w:ind w:left="453" w:right="0" w:hanging="346"/>
              <w:jc w:val="left"/>
              <w:rPr>
                <w:sz w:val="23"/>
              </w:rPr>
            </w:pPr>
            <w:r>
              <w:rPr>
                <w:sz w:val="23"/>
              </w:rPr>
              <w:t>個案管理是成功治療抗藥性結核病很重要的一環。</w:t>
            </w:r>
          </w:p>
          <w:p>
            <w:pPr>
              <w:pStyle w:val="TableParagraph"/>
              <w:numPr>
                <w:ilvl w:val="0"/>
                <w:numId w:val="179"/>
              </w:numPr>
              <w:tabs>
                <w:tab w:pos="453" w:val="left" w:leader="none"/>
                <w:tab w:pos="454" w:val="left" w:leader="none"/>
              </w:tabs>
              <w:spacing w:line="240" w:lineRule="auto" w:before="1" w:after="0"/>
              <w:ind w:left="453" w:right="0" w:hanging="346"/>
              <w:jc w:val="left"/>
              <w:rPr>
                <w:sz w:val="23"/>
              </w:rPr>
            </w:pPr>
            <w:r>
              <w:rPr>
                <w:spacing w:val="-1"/>
                <w:sz w:val="23"/>
              </w:rPr>
              <w:t>所有的 </w:t>
            </w:r>
            <w:r>
              <w:rPr>
                <w:sz w:val="23"/>
              </w:rPr>
              <w:t>MDR/XDR-TB</w:t>
            </w:r>
            <w:r>
              <w:rPr>
                <w:spacing w:val="8"/>
                <w:sz w:val="23"/>
              </w:rPr>
              <w:t> 個案都要由</w:t>
            </w:r>
            <w:r>
              <w:rPr>
                <w:sz w:val="23"/>
              </w:rPr>
              <w:t>DOTS-plus</w:t>
            </w:r>
            <w:r>
              <w:rPr>
                <w:spacing w:val="-1"/>
                <w:sz w:val="23"/>
              </w:rPr>
              <w:t> 給藥。</w:t>
            </w:r>
          </w:p>
          <w:p>
            <w:pPr>
              <w:pStyle w:val="TableParagraph"/>
              <w:numPr>
                <w:ilvl w:val="0"/>
                <w:numId w:val="179"/>
              </w:numPr>
              <w:tabs>
                <w:tab w:pos="453" w:val="left" w:leader="none"/>
                <w:tab w:pos="454" w:val="left" w:leader="none"/>
              </w:tabs>
              <w:spacing w:line="240" w:lineRule="auto" w:before="2" w:after="0"/>
              <w:ind w:left="453" w:right="0" w:hanging="347"/>
              <w:jc w:val="left"/>
              <w:rPr>
                <w:sz w:val="23"/>
              </w:rPr>
            </w:pPr>
            <w:r>
              <w:rPr>
                <w:sz w:val="23"/>
              </w:rPr>
              <w:t>新藥也許會帶來更好的治療結果以及較短的治療時間。</w:t>
            </w:r>
          </w:p>
          <w:p>
            <w:pPr>
              <w:pStyle w:val="TableParagraph"/>
              <w:numPr>
                <w:ilvl w:val="0"/>
                <w:numId w:val="179"/>
              </w:numPr>
              <w:tabs>
                <w:tab w:pos="452" w:val="left" w:leader="none"/>
                <w:tab w:pos="453" w:val="left" w:leader="none"/>
              </w:tabs>
              <w:spacing w:line="390" w:lineRule="exact" w:before="1" w:after="0"/>
              <w:ind w:left="452" w:right="0" w:hanging="346"/>
              <w:jc w:val="left"/>
              <w:rPr>
                <w:sz w:val="23"/>
              </w:rPr>
            </w:pPr>
            <w:r>
              <w:rPr>
                <w:sz w:val="23"/>
              </w:rPr>
              <w:t>MDR-TB</w:t>
            </w:r>
            <w:r>
              <w:rPr>
                <w:spacing w:val="13"/>
                <w:sz w:val="23"/>
              </w:rPr>
              <w:t> 短期 </w:t>
            </w:r>
            <w:r>
              <w:rPr>
                <w:sz w:val="23"/>
              </w:rPr>
              <w:t>9-12</w:t>
            </w:r>
            <w:r>
              <w:rPr>
                <w:spacing w:val="-1"/>
                <w:sz w:val="23"/>
              </w:rPr>
              <w:t> 個月標準治療處方或許是未來主流。</w:t>
            </w:r>
          </w:p>
        </w:tc>
      </w:tr>
    </w:tbl>
    <w:p>
      <w:pPr>
        <w:spacing w:after="0" w:line="390" w:lineRule="exact"/>
        <w:jc w:val="left"/>
        <w:rPr>
          <w:sz w:val="23"/>
        </w:rPr>
        <w:sectPr>
          <w:pgSz w:w="12250" w:h="17190"/>
          <w:pgMar w:header="0" w:footer="734" w:top="1460" w:bottom="1020" w:left="1020" w:right="0"/>
        </w:sectPr>
      </w:pPr>
    </w:p>
    <w:p>
      <w:pPr>
        <w:pStyle w:val="Heading6"/>
        <w:spacing w:before="21"/>
        <w:ind w:left="340"/>
      </w:pPr>
      <w:r>
        <w:rPr/>
        <w:pict>
          <v:group style="position:absolute;margin-left:573pt;margin-top:1.725762pt;width:39.4pt;height:177.4pt;mso-position-horizontal-relative:page;mso-position-vertical-relative:paragraph;z-index:251911168" coordorigin="11460,35" coordsize="788,3548">
            <v:shape style="position:absolute;left:11460;top:34;width:788;height:3548" coordorigin="11460,35" coordsize="788,3548" path="m12247,35l11625,35,11561,48,11508,83,11473,135,11460,200,11460,3417,11473,3482,11508,3534,11561,3570,11625,3583,12247,3583,12247,35xe" filled="true" fillcolor="#a6a6a6" stroked="false">
              <v:path arrowok="t"/>
              <v:fill type="solid"/>
            </v:shape>
            <v:shape style="position:absolute;left:11460;top:3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bookmarkStart w:name="參考文獻" w:id="156"/>
      <w:bookmarkEnd w:id="156"/>
      <w:r>
        <w:rPr>
          <w:b w:val="0"/>
        </w:rPr>
      </w:r>
      <w:r>
        <w:rPr/>
        <w:t>參考文獻</w:t>
      </w:r>
    </w:p>
    <w:p>
      <w:pPr>
        <w:pStyle w:val="ListParagraph"/>
        <w:numPr>
          <w:ilvl w:val="0"/>
          <w:numId w:val="180"/>
        </w:numPr>
        <w:tabs>
          <w:tab w:pos="1116" w:val="left" w:leader="none"/>
        </w:tabs>
        <w:spacing w:line="230" w:lineRule="auto" w:before="31" w:after="0"/>
        <w:ind w:left="1116" w:right="1359" w:hanging="446"/>
        <w:jc w:val="both"/>
        <w:rPr>
          <w:sz w:val="26"/>
        </w:rPr>
      </w:pPr>
      <w:r>
        <w:rPr>
          <w:sz w:val="23"/>
        </w:rPr>
        <w:t>Ahuja SD, Ashkin D, Avendano M, Banerjee R, Bauer M, Bayona JN, et al. Multidrug resistant pulmonary tuberculosis treatment regimens and patient </w:t>
      </w:r>
      <w:r>
        <w:rPr>
          <w:spacing w:val="3"/>
          <w:sz w:val="23"/>
        </w:rPr>
        <w:t>outcomes： </w:t>
      </w:r>
      <w:r>
        <w:rPr>
          <w:sz w:val="23"/>
        </w:rPr>
        <w:t>an individual patient data meta-analysis of 9,153 patients. PLoS Med.</w:t>
      </w:r>
      <w:r>
        <w:rPr>
          <w:spacing w:val="4"/>
          <w:sz w:val="23"/>
        </w:rPr>
        <w:t> </w:t>
      </w:r>
      <w:r>
        <w:rPr>
          <w:sz w:val="23"/>
        </w:rPr>
        <w:t>2012;9(8)：e1001300.</w:t>
      </w:r>
    </w:p>
    <w:p>
      <w:pPr>
        <w:pStyle w:val="ListParagraph"/>
        <w:numPr>
          <w:ilvl w:val="0"/>
          <w:numId w:val="180"/>
        </w:numPr>
        <w:tabs>
          <w:tab w:pos="1116" w:val="left" w:leader="none"/>
        </w:tabs>
        <w:spacing w:line="410" w:lineRule="exact" w:before="0" w:after="0"/>
        <w:ind w:left="1116" w:right="0" w:hanging="446"/>
        <w:jc w:val="both"/>
        <w:rPr>
          <w:sz w:val="26"/>
        </w:rPr>
      </w:pPr>
      <w:r>
        <w:rPr>
          <w:sz w:val="23"/>
        </w:rPr>
        <w:t>Andries K, Villellas C, Coeck N, et al. Acquired resistance of</w:t>
      </w:r>
      <w:r>
        <w:rPr>
          <w:spacing w:val="33"/>
          <w:sz w:val="23"/>
        </w:rPr>
        <w:t> </w:t>
      </w:r>
      <w:r>
        <w:rPr>
          <w:sz w:val="23"/>
        </w:rPr>
        <w:t>Mycobacterium</w:t>
      </w:r>
    </w:p>
    <w:p>
      <w:pPr>
        <w:spacing w:line="381" w:lineRule="exact" w:before="0"/>
        <w:ind w:left="1115" w:right="0" w:firstLine="0"/>
        <w:jc w:val="both"/>
        <w:rPr>
          <w:sz w:val="23"/>
        </w:rPr>
      </w:pPr>
      <w:r>
        <w:rPr>
          <w:sz w:val="23"/>
        </w:rPr>
        <w:t>tuberculosis to bedaquiline. PLoS ONE.2014;9(7)：e102135.</w:t>
      </w:r>
    </w:p>
    <w:p>
      <w:pPr>
        <w:pStyle w:val="ListParagraph"/>
        <w:numPr>
          <w:ilvl w:val="0"/>
          <w:numId w:val="180"/>
        </w:numPr>
        <w:tabs>
          <w:tab w:pos="1116" w:val="left" w:leader="none"/>
        </w:tabs>
        <w:spacing w:line="230" w:lineRule="auto" w:before="0" w:after="0"/>
        <w:ind w:left="1115" w:right="1357" w:hanging="446"/>
        <w:jc w:val="both"/>
        <w:rPr>
          <w:sz w:val="26"/>
        </w:rPr>
      </w:pPr>
      <w:r>
        <w:rPr>
          <w:sz w:val="23"/>
        </w:rPr>
        <w:t>Aung KJ, Van Deun A, Declercq E, Sarker MR, Das PK, Hossain MA, Rieder HL. Successful ‘9-month Bangladesh regimen’ for multidrug-resistant tuberculosis among over 500 consecutive patients. Int JTuberc Lung Dis. 2014;18(10)：1180- 1187.</w:t>
      </w:r>
    </w:p>
    <w:p>
      <w:pPr>
        <w:pStyle w:val="ListParagraph"/>
        <w:numPr>
          <w:ilvl w:val="0"/>
          <w:numId w:val="180"/>
        </w:numPr>
        <w:tabs>
          <w:tab w:pos="1116" w:val="left" w:leader="none"/>
        </w:tabs>
        <w:spacing w:line="410" w:lineRule="exact" w:before="0" w:after="0"/>
        <w:ind w:left="1116" w:right="0" w:hanging="446"/>
        <w:jc w:val="both"/>
        <w:rPr>
          <w:sz w:val="26"/>
        </w:rPr>
      </w:pPr>
      <w:r>
        <w:rPr>
          <w:sz w:val="23"/>
        </w:rPr>
        <w:t>Bastos MY, Hussain H, Weyer K, et al. Treatment outcomes of patients</w:t>
      </w:r>
      <w:r>
        <w:rPr>
          <w:spacing w:val="13"/>
          <w:sz w:val="23"/>
        </w:rPr>
        <w:t> </w:t>
      </w:r>
      <w:r>
        <w:rPr>
          <w:sz w:val="23"/>
        </w:rPr>
        <w:t>with</w:t>
      </w:r>
    </w:p>
    <w:p>
      <w:pPr>
        <w:spacing w:line="232" w:lineRule="auto" w:before="0"/>
        <w:ind w:left="1115" w:right="1360" w:firstLine="0"/>
        <w:jc w:val="both"/>
        <w:rPr>
          <w:sz w:val="23"/>
        </w:rPr>
      </w:pPr>
      <w:r>
        <w:rPr>
          <w:sz w:val="23"/>
        </w:rPr>
        <w:t>multidrug-resistant and extensively drug-resistant tuberculosis according to drug susceptibility testing to first and second-line drugs： an individual patient data meta-analysis. Clin Infect Dis.</w:t>
      </w:r>
      <w:r>
        <w:rPr>
          <w:spacing w:val="25"/>
          <w:sz w:val="23"/>
        </w:rPr>
        <w:t> </w:t>
      </w:r>
      <w:r>
        <w:rPr>
          <w:sz w:val="23"/>
        </w:rPr>
        <w:t>2014：59(10)：1364-1374.</w:t>
      </w:r>
    </w:p>
    <w:p>
      <w:pPr>
        <w:pStyle w:val="ListParagraph"/>
        <w:numPr>
          <w:ilvl w:val="0"/>
          <w:numId w:val="180"/>
        </w:numPr>
        <w:tabs>
          <w:tab w:pos="1116" w:val="left" w:leader="none"/>
        </w:tabs>
        <w:spacing w:line="410" w:lineRule="exact" w:before="0" w:after="0"/>
        <w:ind w:left="1116" w:right="0" w:hanging="446"/>
        <w:jc w:val="both"/>
        <w:rPr>
          <w:sz w:val="26"/>
        </w:rPr>
      </w:pPr>
      <w:r>
        <w:rPr>
          <w:sz w:val="23"/>
        </w:rPr>
        <w:t>Cegielski</w:t>
      </w:r>
      <w:r>
        <w:rPr>
          <w:spacing w:val="9"/>
          <w:sz w:val="23"/>
        </w:rPr>
        <w:t> </w:t>
      </w:r>
      <w:r>
        <w:rPr>
          <w:sz w:val="23"/>
        </w:rPr>
        <w:t>JP,</w:t>
      </w:r>
      <w:r>
        <w:rPr>
          <w:spacing w:val="11"/>
          <w:sz w:val="23"/>
        </w:rPr>
        <w:t> </w:t>
      </w:r>
      <w:r>
        <w:rPr>
          <w:sz w:val="23"/>
        </w:rPr>
        <w:t>Kurbatova</w:t>
      </w:r>
      <w:r>
        <w:rPr>
          <w:spacing w:val="10"/>
          <w:sz w:val="23"/>
        </w:rPr>
        <w:t> </w:t>
      </w:r>
      <w:r>
        <w:rPr>
          <w:sz w:val="23"/>
        </w:rPr>
        <w:t>E,</w:t>
      </w:r>
      <w:r>
        <w:rPr>
          <w:spacing w:val="9"/>
          <w:sz w:val="23"/>
        </w:rPr>
        <w:t> </w:t>
      </w:r>
      <w:r>
        <w:rPr>
          <w:sz w:val="23"/>
        </w:rPr>
        <w:t>van</w:t>
      </w:r>
      <w:r>
        <w:rPr>
          <w:spacing w:val="10"/>
          <w:sz w:val="23"/>
        </w:rPr>
        <w:t> </w:t>
      </w:r>
      <w:r>
        <w:rPr>
          <w:sz w:val="23"/>
        </w:rPr>
        <w:t>der</w:t>
      </w:r>
      <w:r>
        <w:rPr>
          <w:spacing w:val="8"/>
          <w:sz w:val="23"/>
        </w:rPr>
        <w:t> </w:t>
      </w:r>
      <w:r>
        <w:rPr>
          <w:sz w:val="23"/>
        </w:rPr>
        <w:t>Walt</w:t>
      </w:r>
      <w:r>
        <w:rPr>
          <w:spacing w:val="10"/>
          <w:sz w:val="23"/>
        </w:rPr>
        <w:t> </w:t>
      </w:r>
      <w:r>
        <w:rPr>
          <w:sz w:val="23"/>
        </w:rPr>
        <w:t>M,</w:t>
      </w:r>
      <w:r>
        <w:rPr>
          <w:spacing w:val="9"/>
          <w:sz w:val="23"/>
        </w:rPr>
        <w:t> </w:t>
      </w:r>
      <w:r>
        <w:rPr>
          <w:sz w:val="23"/>
        </w:rPr>
        <w:t>et</w:t>
      </w:r>
      <w:r>
        <w:rPr>
          <w:spacing w:val="9"/>
          <w:sz w:val="23"/>
        </w:rPr>
        <w:t> </w:t>
      </w:r>
      <w:r>
        <w:rPr>
          <w:sz w:val="23"/>
        </w:rPr>
        <w:t>al.</w:t>
      </w:r>
      <w:r>
        <w:rPr>
          <w:spacing w:val="10"/>
          <w:sz w:val="23"/>
        </w:rPr>
        <w:t> </w:t>
      </w:r>
      <w:r>
        <w:rPr>
          <w:sz w:val="23"/>
        </w:rPr>
        <w:t>Multidrug-resistant</w:t>
      </w:r>
      <w:r>
        <w:rPr>
          <w:spacing w:val="10"/>
          <w:sz w:val="23"/>
        </w:rPr>
        <w:t> </w:t>
      </w:r>
      <w:r>
        <w:rPr>
          <w:sz w:val="23"/>
        </w:rPr>
        <w:t>tuberculosis</w:t>
      </w:r>
    </w:p>
    <w:p>
      <w:pPr>
        <w:spacing w:line="232" w:lineRule="auto" w:before="0"/>
        <w:ind w:left="1116" w:right="1359" w:hanging="1"/>
        <w:jc w:val="both"/>
        <w:rPr>
          <w:sz w:val="23"/>
        </w:rPr>
      </w:pPr>
      <w:r>
        <w:rPr>
          <w:sz w:val="23"/>
        </w:rPr>
        <w:t>treatment outcomes in relation to treatment, initial and acquired second-line drug resistance. Clin Infect Dis. 2015;doi： 10.1093/cid/civ910.</w:t>
      </w:r>
    </w:p>
    <w:p>
      <w:pPr>
        <w:pStyle w:val="ListParagraph"/>
        <w:numPr>
          <w:ilvl w:val="0"/>
          <w:numId w:val="180"/>
        </w:numPr>
        <w:tabs>
          <w:tab w:pos="1116" w:val="left" w:leader="none"/>
        </w:tabs>
        <w:spacing w:line="412" w:lineRule="exact" w:before="0" w:after="0"/>
        <w:ind w:left="1116" w:right="0" w:hanging="446"/>
        <w:jc w:val="both"/>
        <w:rPr>
          <w:sz w:val="26"/>
        </w:rPr>
      </w:pPr>
      <w:r>
        <w:rPr>
          <w:sz w:val="23"/>
        </w:rPr>
        <w:t>Chang KC, Leung CC, Yew WW, Leung ECC, Leung WM, Tam CM, Zhang</w:t>
      </w:r>
      <w:r>
        <w:rPr>
          <w:spacing w:val="44"/>
          <w:sz w:val="23"/>
        </w:rPr>
        <w:t> </w:t>
      </w:r>
      <w:r>
        <w:rPr>
          <w:sz w:val="23"/>
        </w:rPr>
        <w:t>Y.</w:t>
      </w:r>
    </w:p>
    <w:p>
      <w:pPr>
        <w:spacing w:line="232" w:lineRule="auto" w:before="0"/>
        <w:ind w:left="1116" w:right="1354" w:hanging="1"/>
        <w:jc w:val="left"/>
        <w:rPr>
          <w:sz w:val="23"/>
        </w:rPr>
      </w:pPr>
      <w:r>
        <w:rPr>
          <w:sz w:val="23"/>
        </w:rPr>
        <w:t>Pyrazinamide may improve fluoroquinolone-based treatment of multidrug- resistant tuberculosis. Antimicrob Agents Chemo-ther.</w:t>
      </w:r>
      <w:r>
        <w:rPr>
          <w:spacing w:val="55"/>
          <w:sz w:val="23"/>
        </w:rPr>
        <w:t> </w:t>
      </w:r>
      <w:r>
        <w:rPr>
          <w:sz w:val="23"/>
        </w:rPr>
        <w:t>2012;56：5465-5475.</w:t>
      </w:r>
    </w:p>
    <w:p>
      <w:pPr>
        <w:pStyle w:val="ListParagraph"/>
        <w:numPr>
          <w:ilvl w:val="0"/>
          <w:numId w:val="180"/>
        </w:numPr>
        <w:tabs>
          <w:tab w:pos="1115" w:val="left" w:leader="none"/>
          <w:tab w:pos="1116" w:val="left" w:leader="none"/>
        </w:tabs>
        <w:spacing w:line="412" w:lineRule="exact" w:before="0" w:after="0"/>
        <w:ind w:left="1116" w:right="0" w:hanging="446"/>
        <w:jc w:val="left"/>
        <w:rPr>
          <w:sz w:val="26"/>
        </w:rPr>
      </w:pPr>
      <w:r>
        <w:rPr>
          <w:sz w:val="23"/>
        </w:rPr>
        <w:t>Chang KC, Yew WW, Tam CM, Leung CC. WHO Group 5 drugs and</w:t>
      </w:r>
      <w:r>
        <w:rPr>
          <w:spacing w:val="52"/>
          <w:sz w:val="23"/>
        </w:rPr>
        <w:t> </w:t>
      </w:r>
      <w:r>
        <w:rPr>
          <w:sz w:val="23"/>
        </w:rPr>
        <w:t>difficult</w:t>
      </w:r>
    </w:p>
    <w:p>
      <w:pPr>
        <w:spacing w:line="232" w:lineRule="auto" w:before="0"/>
        <w:ind w:left="1116" w:right="1361" w:firstLine="0"/>
        <w:jc w:val="left"/>
        <w:rPr>
          <w:sz w:val="23"/>
        </w:rPr>
      </w:pPr>
      <w:r>
        <w:rPr>
          <w:sz w:val="23"/>
        </w:rPr>
        <w:t>multidrug-resistant tuber-culosis： a systematic review with cohort analysis and meta-analysis. Antimicrob Agents Chemother. 2013;57：4097-4104.</w:t>
      </w:r>
    </w:p>
    <w:p>
      <w:pPr>
        <w:pStyle w:val="ListParagraph"/>
        <w:numPr>
          <w:ilvl w:val="0"/>
          <w:numId w:val="180"/>
        </w:numPr>
        <w:tabs>
          <w:tab w:pos="1088" w:val="left" w:leader="none"/>
          <w:tab w:pos="1089" w:val="left" w:leader="none"/>
        </w:tabs>
        <w:spacing w:line="412" w:lineRule="exact" w:before="0" w:after="0"/>
        <w:ind w:left="1088" w:right="0" w:hanging="419"/>
        <w:jc w:val="left"/>
        <w:rPr>
          <w:sz w:val="26"/>
        </w:rPr>
      </w:pPr>
      <w:hyperlink r:id="rId82">
        <w:r>
          <w:rPr>
            <w:sz w:val="23"/>
          </w:rPr>
          <w:t>Chiang</w:t>
        </w:r>
        <w:r>
          <w:rPr>
            <w:spacing w:val="33"/>
            <w:sz w:val="23"/>
          </w:rPr>
          <w:t> </w:t>
        </w:r>
        <w:r>
          <w:rPr>
            <w:sz w:val="23"/>
          </w:rPr>
          <w:t>CY,</w:t>
        </w:r>
        <w:r>
          <w:rPr>
            <w:spacing w:val="32"/>
            <w:sz w:val="23"/>
          </w:rPr>
          <w:t> </w:t>
        </w:r>
      </w:hyperlink>
      <w:hyperlink r:id="rId83">
        <w:r>
          <w:rPr>
            <w:sz w:val="23"/>
          </w:rPr>
          <w:t>Schaaf</w:t>
        </w:r>
        <w:r>
          <w:rPr>
            <w:spacing w:val="33"/>
            <w:sz w:val="23"/>
          </w:rPr>
          <w:t> </w:t>
        </w:r>
        <w:r>
          <w:rPr>
            <w:sz w:val="23"/>
          </w:rPr>
          <w:t>HS.</w:t>
        </w:r>
      </w:hyperlink>
      <w:r>
        <w:rPr>
          <w:sz w:val="23"/>
        </w:rPr>
        <w:t>Management</w:t>
      </w:r>
      <w:r>
        <w:rPr>
          <w:spacing w:val="34"/>
          <w:sz w:val="23"/>
        </w:rPr>
        <w:t> </w:t>
      </w:r>
      <w:r>
        <w:rPr>
          <w:sz w:val="23"/>
        </w:rPr>
        <w:t>of</w:t>
      </w:r>
      <w:r>
        <w:rPr>
          <w:spacing w:val="31"/>
          <w:sz w:val="23"/>
        </w:rPr>
        <w:t> </w:t>
      </w:r>
      <w:r>
        <w:rPr>
          <w:sz w:val="23"/>
        </w:rPr>
        <w:t>drug-resistant</w:t>
      </w:r>
      <w:r>
        <w:rPr>
          <w:spacing w:val="32"/>
          <w:sz w:val="23"/>
        </w:rPr>
        <w:t> </w:t>
      </w:r>
      <w:r>
        <w:rPr>
          <w:sz w:val="23"/>
        </w:rPr>
        <w:t>tuberculosis.</w:t>
      </w:r>
      <w:r>
        <w:rPr>
          <w:spacing w:val="32"/>
          <w:sz w:val="23"/>
        </w:rPr>
        <w:t> </w:t>
      </w:r>
      <w:r>
        <w:rPr>
          <w:sz w:val="23"/>
        </w:rPr>
        <w:t>Int</w:t>
      </w:r>
      <w:r>
        <w:rPr>
          <w:spacing w:val="32"/>
          <w:sz w:val="23"/>
        </w:rPr>
        <w:t> </w:t>
      </w:r>
      <w:r>
        <w:rPr>
          <w:sz w:val="23"/>
        </w:rPr>
        <w:t>J</w:t>
      </w:r>
      <w:r>
        <w:rPr>
          <w:spacing w:val="32"/>
          <w:sz w:val="23"/>
        </w:rPr>
        <w:t> </w:t>
      </w:r>
      <w:r>
        <w:rPr>
          <w:sz w:val="23"/>
        </w:rPr>
        <w:t>Tuberc</w:t>
      </w:r>
    </w:p>
    <w:p>
      <w:pPr>
        <w:spacing w:line="381" w:lineRule="exact" w:before="0"/>
        <w:ind w:left="1088" w:right="0" w:firstLine="0"/>
        <w:jc w:val="left"/>
        <w:rPr>
          <w:sz w:val="23"/>
        </w:rPr>
      </w:pPr>
      <w:r>
        <w:rPr>
          <w:sz w:val="23"/>
        </w:rPr>
        <w:t>Lung Dis 2010;14(6)：672-82.</w:t>
      </w:r>
    </w:p>
    <w:p>
      <w:pPr>
        <w:pStyle w:val="ListParagraph"/>
        <w:numPr>
          <w:ilvl w:val="0"/>
          <w:numId w:val="180"/>
        </w:numPr>
        <w:tabs>
          <w:tab w:pos="1115" w:val="left" w:leader="none"/>
          <w:tab w:pos="1116" w:val="left" w:leader="none"/>
        </w:tabs>
        <w:spacing w:line="223" w:lineRule="auto" w:before="0" w:after="0"/>
        <w:ind w:left="1115" w:right="1360" w:hanging="445"/>
        <w:jc w:val="left"/>
        <w:rPr>
          <w:sz w:val="26"/>
        </w:rPr>
      </w:pPr>
      <w:r>
        <w:rPr>
          <w:sz w:val="23"/>
        </w:rPr>
        <w:t>Chiang C-Y, Trébucq A, Piubello A, et al. The looming threat of bedaquiline resistance in tuberculosis. Eur Respir J 2020; 55:</w:t>
      </w:r>
      <w:r>
        <w:rPr>
          <w:spacing w:val="35"/>
          <w:sz w:val="23"/>
        </w:rPr>
        <w:t> </w:t>
      </w:r>
      <w:r>
        <w:rPr>
          <w:sz w:val="23"/>
        </w:rPr>
        <w:t>2000718</w:t>
      </w:r>
    </w:p>
    <w:p>
      <w:pPr>
        <w:pStyle w:val="ListParagraph"/>
        <w:numPr>
          <w:ilvl w:val="0"/>
          <w:numId w:val="180"/>
        </w:numPr>
        <w:tabs>
          <w:tab w:pos="1116" w:val="left" w:leader="none"/>
        </w:tabs>
        <w:spacing w:line="420" w:lineRule="exact" w:before="0" w:after="0"/>
        <w:ind w:left="1116" w:right="0" w:hanging="446"/>
        <w:jc w:val="left"/>
        <w:rPr>
          <w:sz w:val="26"/>
        </w:rPr>
      </w:pPr>
      <w:r>
        <w:rPr>
          <w:sz w:val="23"/>
        </w:rPr>
        <w:t>Chien</w:t>
      </w:r>
      <w:r>
        <w:rPr>
          <w:spacing w:val="-6"/>
          <w:sz w:val="23"/>
        </w:rPr>
        <w:t> </w:t>
      </w:r>
      <w:r>
        <w:rPr>
          <w:sz w:val="23"/>
        </w:rPr>
        <w:t>JY,</w:t>
      </w:r>
      <w:r>
        <w:rPr>
          <w:spacing w:val="-6"/>
          <w:sz w:val="23"/>
        </w:rPr>
        <w:t> </w:t>
      </w:r>
      <w:r>
        <w:rPr>
          <w:sz w:val="23"/>
        </w:rPr>
        <w:t>Chen</w:t>
      </w:r>
      <w:r>
        <w:rPr>
          <w:spacing w:val="-5"/>
          <w:sz w:val="23"/>
        </w:rPr>
        <w:t> </w:t>
      </w:r>
      <w:r>
        <w:rPr>
          <w:sz w:val="23"/>
        </w:rPr>
        <w:t>YT,</w:t>
      </w:r>
      <w:r>
        <w:rPr>
          <w:spacing w:val="-6"/>
          <w:sz w:val="23"/>
        </w:rPr>
        <w:t> </w:t>
      </w:r>
      <w:r>
        <w:rPr>
          <w:sz w:val="23"/>
        </w:rPr>
        <w:t>Wu</w:t>
      </w:r>
      <w:r>
        <w:rPr>
          <w:spacing w:val="-5"/>
          <w:sz w:val="23"/>
        </w:rPr>
        <w:t> </w:t>
      </w:r>
      <w:r>
        <w:rPr>
          <w:sz w:val="23"/>
        </w:rPr>
        <w:t>SG,</w:t>
      </w:r>
      <w:r>
        <w:rPr>
          <w:spacing w:val="-7"/>
          <w:sz w:val="23"/>
        </w:rPr>
        <w:t> </w:t>
      </w:r>
      <w:r>
        <w:rPr>
          <w:sz w:val="23"/>
        </w:rPr>
        <w:t>Lee</w:t>
      </w:r>
      <w:r>
        <w:rPr>
          <w:spacing w:val="-6"/>
          <w:sz w:val="23"/>
        </w:rPr>
        <w:t> </w:t>
      </w:r>
      <w:r>
        <w:rPr>
          <w:sz w:val="23"/>
        </w:rPr>
        <w:t>JJ,</w:t>
      </w:r>
      <w:r>
        <w:rPr>
          <w:spacing w:val="-7"/>
          <w:sz w:val="23"/>
        </w:rPr>
        <w:t> </w:t>
      </w:r>
      <w:r>
        <w:rPr>
          <w:sz w:val="23"/>
        </w:rPr>
        <w:t>Wang</w:t>
      </w:r>
      <w:r>
        <w:rPr>
          <w:spacing w:val="-5"/>
          <w:sz w:val="23"/>
        </w:rPr>
        <w:t> </w:t>
      </w:r>
      <w:r>
        <w:rPr>
          <w:sz w:val="23"/>
        </w:rPr>
        <w:t>JY,</w:t>
      </w:r>
      <w:r>
        <w:rPr>
          <w:spacing w:val="-6"/>
          <w:sz w:val="23"/>
        </w:rPr>
        <w:t> </w:t>
      </w:r>
      <w:r>
        <w:rPr>
          <w:sz w:val="23"/>
        </w:rPr>
        <w:t>Yu</w:t>
      </w:r>
      <w:r>
        <w:rPr>
          <w:spacing w:val="-5"/>
          <w:sz w:val="23"/>
        </w:rPr>
        <w:t> </w:t>
      </w:r>
      <w:r>
        <w:rPr>
          <w:sz w:val="23"/>
        </w:rPr>
        <w:t>CJ.</w:t>
      </w:r>
      <w:r>
        <w:rPr>
          <w:spacing w:val="-6"/>
          <w:sz w:val="23"/>
        </w:rPr>
        <w:t> </w:t>
      </w:r>
      <w:r>
        <w:rPr>
          <w:sz w:val="23"/>
        </w:rPr>
        <w:t>Treatment</w:t>
      </w:r>
      <w:r>
        <w:rPr>
          <w:spacing w:val="-4"/>
          <w:sz w:val="23"/>
        </w:rPr>
        <w:t> </w:t>
      </w:r>
      <w:r>
        <w:rPr>
          <w:sz w:val="23"/>
        </w:rPr>
        <w:t>outcomes</w:t>
      </w:r>
      <w:r>
        <w:rPr>
          <w:spacing w:val="-5"/>
          <w:sz w:val="23"/>
        </w:rPr>
        <w:t> </w:t>
      </w:r>
      <w:r>
        <w:rPr>
          <w:sz w:val="23"/>
        </w:rPr>
        <w:t>of</w:t>
      </w:r>
      <w:r>
        <w:rPr>
          <w:spacing w:val="-4"/>
          <w:sz w:val="23"/>
        </w:rPr>
        <w:t> </w:t>
      </w:r>
      <w:r>
        <w:rPr>
          <w:sz w:val="23"/>
        </w:rPr>
        <w:t>patients</w:t>
      </w:r>
    </w:p>
    <w:p>
      <w:pPr>
        <w:spacing w:line="232" w:lineRule="auto" w:before="0"/>
        <w:ind w:left="1115" w:right="1363" w:firstLine="0"/>
        <w:jc w:val="left"/>
        <w:rPr>
          <w:sz w:val="23"/>
        </w:rPr>
      </w:pPr>
      <w:r>
        <w:rPr>
          <w:sz w:val="23"/>
        </w:rPr>
        <w:t>with isoniazid mono-resistant tuberculosis. Clin Microbiol Infect. 2015：21(1)： 59-68.</w:t>
      </w:r>
    </w:p>
    <w:p>
      <w:pPr>
        <w:pStyle w:val="ListParagraph"/>
        <w:numPr>
          <w:ilvl w:val="0"/>
          <w:numId w:val="180"/>
        </w:numPr>
        <w:tabs>
          <w:tab w:pos="1116" w:val="left" w:leader="none"/>
        </w:tabs>
        <w:spacing w:line="411" w:lineRule="exact" w:before="0" w:after="0"/>
        <w:ind w:left="1116" w:right="0" w:hanging="446"/>
        <w:jc w:val="left"/>
        <w:rPr>
          <w:sz w:val="26"/>
        </w:rPr>
      </w:pPr>
      <w:r>
        <w:rPr>
          <w:sz w:val="23"/>
        </w:rPr>
        <w:t>Conradie</w:t>
      </w:r>
      <w:r>
        <w:rPr>
          <w:spacing w:val="23"/>
          <w:sz w:val="23"/>
        </w:rPr>
        <w:t> </w:t>
      </w:r>
      <w:r>
        <w:rPr>
          <w:sz w:val="23"/>
        </w:rPr>
        <w:t>F,</w:t>
      </w:r>
      <w:r>
        <w:rPr>
          <w:spacing w:val="23"/>
          <w:sz w:val="23"/>
        </w:rPr>
        <w:t> </w:t>
      </w:r>
      <w:r>
        <w:rPr>
          <w:sz w:val="23"/>
        </w:rPr>
        <w:t>Diacon</w:t>
      </w:r>
      <w:r>
        <w:rPr>
          <w:spacing w:val="23"/>
          <w:sz w:val="23"/>
        </w:rPr>
        <w:t> </w:t>
      </w:r>
      <w:r>
        <w:rPr>
          <w:sz w:val="23"/>
        </w:rPr>
        <w:t>AH,</w:t>
      </w:r>
      <w:r>
        <w:rPr>
          <w:spacing w:val="23"/>
          <w:sz w:val="23"/>
        </w:rPr>
        <w:t> </w:t>
      </w:r>
      <w:r>
        <w:rPr>
          <w:sz w:val="23"/>
        </w:rPr>
        <w:t>Ngubane</w:t>
      </w:r>
      <w:r>
        <w:rPr>
          <w:spacing w:val="22"/>
          <w:sz w:val="23"/>
        </w:rPr>
        <w:t> </w:t>
      </w:r>
      <w:r>
        <w:rPr>
          <w:sz w:val="23"/>
        </w:rPr>
        <w:t>N,</w:t>
      </w:r>
      <w:r>
        <w:rPr>
          <w:spacing w:val="24"/>
          <w:sz w:val="23"/>
        </w:rPr>
        <w:t> </w:t>
      </w:r>
      <w:r>
        <w:rPr>
          <w:sz w:val="23"/>
        </w:rPr>
        <w:t>Howell</w:t>
      </w:r>
      <w:r>
        <w:rPr>
          <w:spacing w:val="25"/>
          <w:sz w:val="23"/>
        </w:rPr>
        <w:t> </w:t>
      </w:r>
      <w:r>
        <w:rPr>
          <w:sz w:val="23"/>
        </w:rPr>
        <w:t>P,</w:t>
      </w:r>
      <w:r>
        <w:rPr>
          <w:spacing w:val="23"/>
          <w:sz w:val="23"/>
        </w:rPr>
        <w:t> </w:t>
      </w:r>
      <w:r>
        <w:rPr>
          <w:sz w:val="23"/>
        </w:rPr>
        <w:t>Everitt</w:t>
      </w:r>
      <w:r>
        <w:rPr>
          <w:spacing w:val="25"/>
          <w:sz w:val="23"/>
        </w:rPr>
        <w:t> </w:t>
      </w:r>
      <w:r>
        <w:rPr>
          <w:sz w:val="23"/>
        </w:rPr>
        <w:t>D,</w:t>
      </w:r>
      <w:r>
        <w:rPr>
          <w:spacing w:val="24"/>
          <w:sz w:val="23"/>
        </w:rPr>
        <w:t> </w:t>
      </w:r>
      <w:r>
        <w:rPr>
          <w:sz w:val="23"/>
        </w:rPr>
        <w:t>Crook</w:t>
      </w:r>
      <w:r>
        <w:rPr>
          <w:spacing w:val="24"/>
          <w:sz w:val="23"/>
        </w:rPr>
        <w:t> </w:t>
      </w:r>
      <w:r>
        <w:rPr>
          <w:sz w:val="23"/>
        </w:rPr>
        <w:t>AM</w:t>
      </w:r>
      <w:r>
        <w:rPr>
          <w:spacing w:val="23"/>
          <w:sz w:val="23"/>
        </w:rPr>
        <w:t> </w:t>
      </w:r>
      <w:r>
        <w:rPr>
          <w:sz w:val="23"/>
        </w:rPr>
        <w:t>et</w:t>
      </w:r>
      <w:r>
        <w:rPr>
          <w:spacing w:val="23"/>
          <w:sz w:val="23"/>
        </w:rPr>
        <w:t> </w:t>
      </w:r>
      <w:r>
        <w:rPr>
          <w:sz w:val="23"/>
        </w:rPr>
        <w:t>al.</w:t>
      </w:r>
    </w:p>
    <w:p>
      <w:pPr>
        <w:spacing w:line="232" w:lineRule="auto" w:before="0"/>
        <w:ind w:left="1116" w:right="0" w:firstLine="0"/>
        <w:jc w:val="left"/>
        <w:rPr>
          <w:sz w:val="23"/>
        </w:rPr>
      </w:pPr>
      <w:r>
        <w:rPr>
          <w:sz w:val="23"/>
        </w:rPr>
        <w:t>Treatment of highly drug-resistant pulmonary tuberculosis. N Engl J Med. 2020;382(10):893–902.</w:t>
      </w:r>
    </w:p>
    <w:p>
      <w:pPr>
        <w:pStyle w:val="ListParagraph"/>
        <w:numPr>
          <w:ilvl w:val="0"/>
          <w:numId w:val="180"/>
        </w:numPr>
        <w:tabs>
          <w:tab w:pos="1116" w:val="left" w:leader="none"/>
        </w:tabs>
        <w:spacing w:line="427" w:lineRule="exact" w:before="0" w:after="0"/>
        <w:ind w:left="1116" w:right="0" w:hanging="446"/>
        <w:jc w:val="left"/>
        <w:rPr>
          <w:sz w:val="26"/>
        </w:rPr>
      </w:pPr>
      <w:r>
        <w:rPr>
          <w:sz w:val="23"/>
        </w:rPr>
        <w:t>Curry International Tuberculosis Center and California Department of</w:t>
      </w:r>
      <w:r>
        <w:rPr>
          <w:spacing w:val="7"/>
          <w:sz w:val="23"/>
        </w:rPr>
        <w:t> </w:t>
      </w:r>
      <w:r>
        <w:rPr>
          <w:sz w:val="23"/>
        </w:rPr>
        <w:t>Public</w:t>
      </w:r>
    </w:p>
    <w:p>
      <w:pPr>
        <w:spacing w:after="0" w:line="427" w:lineRule="exact"/>
        <w:jc w:val="left"/>
        <w:rPr>
          <w:sz w:val="26"/>
        </w:rPr>
        <w:sectPr>
          <w:pgSz w:w="12250" w:h="17190"/>
          <w:pgMar w:header="0" w:footer="734" w:top="1440" w:bottom="1020" w:left="1020" w:right="0"/>
        </w:sectPr>
      </w:pPr>
    </w:p>
    <w:p>
      <w:pPr>
        <w:spacing w:line="223" w:lineRule="auto" w:before="44"/>
        <w:ind w:left="1115" w:right="1354" w:firstLine="0"/>
        <w:jc w:val="left"/>
        <w:rPr>
          <w:i/>
          <w:sz w:val="24"/>
        </w:rPr>
      </w:pPr>
      <w:r>
        <w:rPr>
          <w:sz w:val="23"/>
        </w:rPr>
        <w:t>Health,</w:t>
      </w:r>
      <w:r>
        <w:rPr>
          <w:spacing w:val="-29"/>
          <w:sz w:val="23"/>
        </w:rPr>
        <w:t> </w:t>
      </w:r>
      <w:r>
        <w:rPr>
          <w:sz w:val="23"/>
        </w:rPr>
        <w:t>2016：</w:t>
      </w:r>
      <w:r>
        <w:rPr>
          <w:i/>
          <w:sz w:val="24"/>
        </w:rPr>
        <w:t>Drug-Resistant</w:t>
      </w:r>
      <w:r>
        <w:rPr>
          <w:i/>
          <w:spacing w:val="-31"/>
          <w:sz w:val="24"/>
        </w:rPr>
        <w:t> </w:t>
      </w:r>
      <w:r>
        <w:rPr>
          <w:i/>
          <w:sz w:val="24"/>
        </w:rPr>
        <w:t>Tuberculosis：a</w:t>
      </w:r>
      <w:r>
        <w:rPr>
          <w:i/>
          <w:spacing w:val="-32"/>
          <w:sz w:val="24"/>
        </w:rPr>
        <w:t> </w:t>
      </w:r>
      <w:r>
        <w:rPr>
          <w:i/>
          <w:sz w:val="24"/>
        </w:rPr>
        <w:t>survival</w:t>
      </w:r>
      <w:r>
        <w:rPr>
          <w:i/>
          <w:spacing w:val="-31"/>
          <w:sz w:val="24"/>
        </w:rPr>
        <w:t> </w:t>
      </w:r>
      <w:r>
        <w:rPr>
          <w:i/>
          <w:sz w:val="24"/>
        </w:rPr>
        <w:t>guide</w:t>
      </w:r>
      <w:r>
        <w:rPr>
          <w:i/>
          <w:spacing w:val="-31"/>
          <w:sz w:val="24"/>
        </w:rPr>
        <w:t> </w:t>
      </w:r>
      <w:r>
        <w:rPr>
          <w:i/>
          <w:sz w:val="24"/>
        </w:rPr>
        <w:t>for</w:t>
      </w:r>
      <w:r>
        <w:rPr>
          <w:i/>
          <w:spacing w:val="-31"/>
          <w:sz w:val="24"/>
        </w:rPr>
        <w:t> </w:t>
      </w:r>
      <w:r>
        <w:rPr>
          <w:i/>
          <w:sz w:val="24"/>
        </w:rPr>
        <w:t>Clinicians,</w:t>
      </w:r>
      <w:r>
        <w:rPr>
          <w:i/>
          <w:spacing w:val="-31"/>
          <w:sz w:val="24"/>
        </w:rPr>
        <w:t> </w:t>
      </w:r>
      <w:r>
        <w:rPr>
          <w:i/>
          <w:sz w:val="24"/>
        </w:rPr>
        <w:t>Third Edition.</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Deepa D, Achanta S, Jaju J, et al. The impact of isoniazid resistance on</w:t>
      </w:r>
      <w:r>
        <w:rPr>
          <w:spacing w:val="36"/>
          <w:sz w:val="23"/>
        </w:rPr>
        <w:t> </w:t>
      </w:r>
      <w:r>
        <w:rPr>
          <w:sz w:val="23"/>
        </w:rPr>
        <w:t>the</w:t>
      </w:r>
    </w:p>
    <w:p>
      <w:pPr>
        <w:spacing w:line="230" w:lineRule="auto" w:before="0"/>
        <w:ind w:left="1116" w:right="1354" w:firstLine="0"/>
        <w:jc w:val="left"/>
        <w:rPr>
          <w:sz w:val="23"/>
        </w:rPr>
      </w:pPr>
      <w:r>
        <w:rPr>
          <w:sz w:val="23"/>
        </w:rPr>
        <w:t>treatment outcomes of smear positive re-treatment tuberculosis patients in the state of Andrah Pradesh, India. PLoS ONE. 2013：8(10)：e76189.</w:t>
      </w:r>
    </w:p>
    <w:p>
      <w:pPr>
        <w:pStyle w:val="ListParagraph"/>
        <w:numPr>
          <w:ilvl w:val="0"/>
          <w:numId w:val="180"/>
        </w:numPr>
        <w:tabs>
          <w:tab w:pos="1116" w:val="left" w:leader="none"/>
        </w:tabs>
        <w:spacing w:line="417" w:lineRule="exact" w:before="0" w:after="0"/>
        <w:ind w:left="1116" w:right="0" w:hanging="446"/>
        <w:jc w:val="left"/>
        <w:rPr>
          <w:sz w:val="26"/>
        </w:rPr>
      </w:pPr>
      <w:r>
        <w:rPr>
          <w:sz w:val="23"/>
        </w:rPr>
        <w:t>Denti</w:t>
      </w:r>
      <w:r>
        <w:rPr>
          <w:spacing w:val="36"/>
          <w:sz w:val="23"/>
        </w:rPr>
        <w:t> </w:t>
      </w:r>
      <w:r>
        <w:rPr>
          <w:sz w:val="23"/>
        </w:rPr>
        <w:t>P,</w:t>
      </w:r>
      <w:r>
        <w:rPr>
          <w:spacing w:val="35"/>
          <w:sz w:val="23"/>
        </w:rPr>
        <w:t> </w:t>
      </w:r>
      <w:r>
        <w:rPr>
          <w:sz w:val="23"/>
        </w:rPr>
        <w:t>Garcia-Prats</w:t>
      </w:r>
      <w:r>
        <w:rPr>
          <w:spacing w:val="37"/>
          <w:sz w:val="23"/>
        </w:rPr>
        <w:t> </w:t>
      </w:r>
      <w:r>
        <w:rPr>
          <w:sz w:val="23"/>
        </w:rPr>
        <w:t>AJ,</w:t>
      </w:r>
      <w:r>
        <w:rPr>
          <w:spacing w:val="35"/>
          <w:sz w:val="23"/>
        </w:rPr>
        <w:t> </w:t>
      </w:r>
      <w:r>
        <w:rPr>
          <w:sz w:val="23"/>
        </w:rPr>
        <w:t>Draper</w:t>
      </w:r>
      <w:r>
        <w:rPr>
          <w:spacing w:val="36"/>
          <w:sz w:val="23"/>
        </w:rPr>
        <w:t> </w:t>
      </w:r>
      <w:r>
        <w:rPr>
          <w:sz w:val="23"/>
        </w:rPr>
        <w:t>HR,</w:t>
      </w:r>
      <w:r>
        <w:rPr>
          <w:spacing w:val="36"/>
          <w:sz w:val="23"/>
        </w:rPr>
        <w:t> </w:t>
      </w:r>
      <w:r>
        <w:rPr>
          <w:sz w:val="23"/>
        </w:rPr>
        <w:t>Wiesner</w:t>
      </w:r>
      <w:r>
        <w:rPr>
          <w:spacing w:val="35"/>
          <w:sz w:val="23"/>
        </w:rPr>
        <w:t> </w:t>
      </w:r>
      <w:r>
        <w:rPr>
          <w:sz w:val="23"/>
        </w:rPr>
        <w:t>L,</w:t>
      </w:r>
      <w:r>
        <w:rPr>
          <w:spacing w:val="35"/>
          <w:sz w:val="23"/>
        </w:rPr>
        <w:t> </w:t>
      </w:r>
      <w:r>
        <w:rPr>
          <w:sz w:val="23"/>
        </w:rPr>
        <w:t>Winckler</w:t>
      </w:r>
      <w:r>
        <w:rPr>
          <w:spacing w:val="36"/>
          <w:sz w:val="23"/>
        </w:rPr>
        <w:t> </w:t>
      </w:r>
      <w:r>
        <w:rPr>
          <w:sz w:val="23"/>
        </w:rPr>
        <w:t>J,</w:t>
      </w:r>
      <w:r>
        <w:rPr>
          <w:spacing w:val="35"/>
          <w:sz w:val="23"/>
        </w:rPr>
        <w:t> </w:t>
      </w:r>
      <w:r>
        <w:rPr>
          <w:sz w:val="23"/>
        </w:rPr>
        <w:t>Thee</w:t>
      </w:r>
      <w:r>
        <w:rPr>
          <w:spacing w:val="35"/>
          <w:sz w:val="23"/>
        </w:rPr>
        <w:t> </w:t>
      </w:r>
      <w:r>
        <w:rPr>
          <w:sz w:val="23"/>
        </w:rPr>
        <w:t>S,</w:t>
      </w:r>
      <w:r>
        <w:rPr>
          <w:spacing w:val="36"/>
          <w:sz w:val="23"/>
        </w:rPr>
        <w:t> </w:t>
      </w:r>
      <w:r>
        <w:rPr>
          <w:sz w:val="23"/>
        </w:rPr>
        <w:t>Dooley</w:t>
      </w:r>
      <w:r>
        <w:rPr>
          <w:spacing w:val="36"/>
          <w:sz w:val="23"/>
        </w:rPr>
        <w:t> </w:t>
      </w:r>
      <w:r>
        <w:rPr>
          <w:sz w:val="23"/>
        </w:rPr>
        <w:t>KE,</w:t>
      </w:r>
    </w:p>
    <w:p>
      <w:pPr>
        <w:spacing w:line="232" w:lineRule="auto" w:before="0"/>
        <w:ind w:left="1115" w:right="1359" w:firstLine="0"/>
        <w:jc w:val="both"/>
        <w:rPr>
          <w:sz w:val="23"/>
        </w:rPr>
      </w:pPr>
      <w:r>
        <w:rPr>
          <w:sz w:val="23"/>
        </w:rPr>
        <w:t>Savic RM, McIlleron HM, Schaaf HS, Hesseling AC. Levofloxacin Population Pharmacokinetics in South African Children Treated for Multidrug-Resistant Tuberculosis. Antimicrob Agents Chemother. 2018 Jan 25;62(2):e01521-17. doi: 10.1128/AAC.01521-17. PMID: 29133560; PMCID: PMC5786780.</w:t>
      </w:r>
    </w:p>
    <w:p>
      <w:pPr>
        <w:pStyle w:val="ListParagraph"/>
        <w:numPr>
          <w:ilvl w:val="0"/>
          <w:numId w:val="180"/>
        </w:numPr>
        <w:tabs>
          <w:tab w:pos="1116" w:val="left" w:leader="none"/>
        </w:tabs>
        <w:spacing w:line="409" w:lineRule="exact" w:before="0" w:after="0"/>
        <w:ind w:left="1116" w:right="0" w:hanging="446"/>
        <w:jc w:val="left"/>
        <w:rPr>
          <w:sz w:val="26"/>
        </w:rPr>
      </w:pPr>
      <w:r>
        <w:rPr>
          <w:sz w:val="23"/>
        </w:rPr>
        <w:t>Dey</w:t>
      </w:r>
      <w:r>
        <w:rPr>
          <w:spacing w:val="15"/>
          <w:sz w:val="23"/>
        </w:rPr>
        <w:t> </w:t>
      </w:r>
      <w:r>
        <w:rPr>
          <w:sz w:val="23"/>
        </w:rPr>
        <w:t>T,</w:t>
      </w:r>
      <w:r>
        <w:rPr>
          <w:spacing w:val="15"/>
          <w:sz w:val="23"/>
        </w:rPr>
        <w:t> </w:t>
      </w:r>
      <w:r>
        <w:rPr>
          <w:sz w:val="23"/>
        </w:rPr>
        <w:t>Brigden</w:t>
      </w:r>
      <w:r>
        <w:rPr>
          <w:spacing w:val="16"/>
          <w:sz w:val="23"/>
        </w:rPr>
        <w:t> </w:t>
      </w:r>
      <w:r>
        <w:rPr>
          <w:sz w:val="23"/>
        </w:rPr>
        <w:t>G,</w:t>
      </w:r>
      <w:r>
        <w:rPr>
          <w:spacing w:val="15"/>
          <w:sz w:val="23"/>
        </w:rPr>
        <w:t> </w:t>
      </w:r>
      <w:r>
        <w:rPr>
          <w:sz w:val="23"/>
        </w:rPr>
        <w:t>Cox</w:t>
      </w:r>
      <w:r>
        <w:rPr>
          <w:spacing w:val="15"/>
          <w:sz w:val="23"/>
        </w:rPr>
        <w:t> </w:t>
      </w:r>
      <w:r>
        <w:rPr>
          <w:sz w:val="23"/>
        </w:rPr>
        <w:t>H,</w:t>
      </w:r>
      <w:r>
        <w:rPr>
          <w:spacing w:val="16"/>
          <w:sz w:val="23"/>
        </w:rPr>
        <w:t> </w:t>
      </w:r>
      <w:r>
        <w:rPr>
          <w:sz w:val="23"/>
        </w:rPr>
        <w:t>Shubber</w:t>
      </w:r>
      <w:r>
        <w:rPr>
          <w:spacing w:val="15"/>
          <w:sz w:val="23"/>
        </w:rPr>
        <w:t> </w:t>
      </w:r>
      <w:r>
        <w:rPr>
          <w:sz w:val="23"/>
        </w:rPr>
        <w:t>Z,</w:t>
      </w:r>
      <w:r>
        <w:rPr>
          <w:spacing w:val="16"/>
          <w:sz w:val="23"/>
        </w:rPr>
        <w:t> </w:t>
      </w:r>
      <w:r>
        <w:rPr>
          <w:sz w:val="23"/>
        </w:rPr>
        <w:t>Cooke</w:t>
      </w:r>
      <w:r>
        <w:rPr>
          <w:spacing w:val="15"/>
          <w:sz w:val="23"/>
        </w:rPr>
        <w:t> </w:t>
      </w:r>
      <w:r>
        <w:rPr>
          <w:sz w:val="23"/>
        </w:rPr>
        <w:t>G,</w:t>
      </w:r>
      <w:r>
        <w:rPr>
          <w:spacing w:val="14"/>
          <w:sz w:val="23"/>
        </w:rPr>
        <w:t> </w:t>
      </w:r>
      <w:r>
        <w:rPr>
          <w:sz w:val="23"/>
        </w:rPr>
        <w:t>Ford</w:t>
      </w:r>
      <w:r>
        <w:rPr>
          <w:spacing w:val="16"/>
          <w:sz w:val="23"/>
        </w:rPr>
        <w:t> </w:t>
      </w:r>
      <w:r>
        <w:rPr>
          <w:sz w:val="23"/>
        </w:rPr>
        <w:t>N.</w:t>
      </w:r>
      <w:r>
        <w:rPr>
          <w:spacing w:val="15"/>
          <w:sz w:val="23"/>
        </w:rPr>
        <w:t> </w:t>
      </w:r>
      <w:r>
        <w:rPr>
          <w:sz w:val="23"/>
        </w:rPr>
        <w:t>Outcomes</w:t>
      </w:r>
      <w:r>
        <w:rPr>
          <w:spacing w:val="14"/>
          <w:sz w:val="23"/>
        </w:rPr>
        <w:t> </w:t>
      </w:r>
      <w:r>
        <w:rPr>
          <w:sz w:val="23"/>
        </w:rPr>
        <w:t>of</w:t>
      </w:r>
      <w:r>
        <w:rPr>
          <w:spacing w:val="16"/>
          <w:sz w:val="23"/>
        </w:rPr>
        <w:t> </w:t>
      </w:r>
      <w:r>
        <w:rPr>
          <w:sz w:val="23"/>
        </w:rPr>
        <w:t>clofazimine</w:t>
      </w:r>
    </w:p>
    <w:p>
      <w:pPr>
        <w:spacing w:line="232" w:lineRule="auto" w:before="0"/>
        <w:ind w:left="1116" w:right="1354" w:hanging="1"/>
        <w:jc w:val="left"/>
        <w:rPr>
          <w:sz w:val="23"/>
        </w:rPr>
      </w:pPr>
      <w:r>
        <w:rPr>
          <w:sz w:val="23"/>
        </w:rPr>
        <w:t>for the treatment of drug-resistant tuberculosis： a systematic review and meta- analysis. J Antimicrob Chemother. 2013：68：284-293.</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Diacon AH, Pym A, Grobusch MP, et al. Multidrug-resistant tuberculosis</w:t>
      </w:r>
      <w:r>
        <w:rPr>
          <w:spacing w:val="16"/>
          <w:sz w:val="23"/>
        </w:rPr>
        <w:t> </w:t>
      </w:r>
      <w:r>
        <w:rPr>
          <w:sz w:val="23"/>
        </w:rPr>
        <w:t>and</w:t>
      </w:r>
    </w:p>
    <w:p>
      <w:pPr>
        <w:spacing w:line="382" w:lineRule="exact" w:before="0"/>
        <w:ind w:left="1116" w:right="0" w:firstLine="0"/>
        <w:jc w:val="left"/>
        <w:rPr>
          <w:sz w:val="23"/>
        </w:rPr>
      </w:pPr>
      <w:r>
        <w:rPr>
          <w:sz w:val="23"/>
        </w:rPr>
        <w:t>culture conversion with bedaquiline. N Engl J Med.2014;371：723-732.</w:t>
      </w:r>
    </w:p>
    <w:p>
      <w:pPr>
        <w:pStyle w:val="ListParagraph"/>
        <w:numPr>
          <w:ilvl w:val="0"/>
          <w:numId w:val="180"/>
        </w:numPr>
        <w:tabs>
          <w:tab w:pos="1116" w:val="left" w:leader="none"/>
        </w:tabs>
        <w:spacing w:line="230" w:lineRule="auto" w:before="0" w:after="0"/>
        <w:ind w:left="1115" w:right="1360" w:hanging="445"/>
        <w:jc w:val="both"/>
        <w:rPr>
          <w:sz w:val="26"/>
        </w:rPr>
      </w:pPr>
      <w:r>
        <w:rPr>
          <w:sz w:val="23"/>
        </w:rPr>
        <w:t>Du Q, Dai G, Long Q, et al. Mycobacterium tuberculosis rrsA1401G mutations correlates with high-lev-el resistance to kanamycin, amikacin, and capreomycin in clinical isolates from mainland China. Diagn Microbiol Infect Dis. 2013;77： 138-142.</w:t>
      </w:r>
    </w:p>
    <w:p>
      <w:pPr>
        <w:pStyle w:val="ListParagraph"/>
        <w:numPr>
          <w:ilvl w:val="0"/>
          <w:numId w:val="180"/>
        </w:numPr>
        <w:tabs>
          <w:tab w:pos="1116" w:val="left" w:leader="none"/>
        </w:tabs>
        <w:spacing w:line="408" w:lineRule="exact" w:before="0" w:after="0"/>
        <w:ind w:left="1116" w:right="0" w:hanging="446"/>
        <w:jc w:val="both"/>
        <w:rPr>
          <w:sz w:val="26"/>
        </w:rPr>
      </w:pPr>
      <w:r>
        <w:rPr>
          <w:sz w:val="23"/>
        </w:rPr>
        <w:t>Franke MF, Becerra MC, Tierney DB, et al. Counting pyrazinamide in regimens</w:t>
      </w:r>
      <w:r>
        <w:rPr>
          <w:spacing w:val="13"/>
          <w:sz w:val="23"/>
        </w:rPr>
        <w:t> </w:t>
      </w:r>
      <w:r>
        <w:rPr>
          <w:sz w:val="23"/>
        </w:rPr>
        <w:t>for</w:t>
      </w:r>
    </w:p>
    <w:p>
      <w:pPr>
        <w:spacing w:line="382" w:lineRule="exact" w:before="0"/>
        <w:ind w:left="1116" w:right="0" w:firstLine="0"/>
        <w:jc w:val="both"/>
        <w:rPr>
          <w:sz w:val="23"/>
        </w:rPr>
      </w:pPr>
      <w:r>
        <w:rPr>
          <w:sz w:val="23"/>
        </w:rPr>
        <w:t>multidrug-resistant tuberculosis. Ann Am Thorac Soc.2015;12(5)：674-679.</w:t>
      </w:r>
    </w:p>
    <w:p>
      <w:pPr>
        <w:pStyle w:val="ListParagraph"/>
        <w:numPr>
          <w:ilvl w:val="0"/>
          <w:numId w:val="180"/>
        </w:numPr>
        <w:tabs>
          <w:tab w:pos="1116" w:val="left" w:leader="none"/>
        </w:tabs>
        <w:spacing w:line="230" w:lineRule="auto" w:before="0" w:after="0"/>
        <w:ind w:left="1116" w:right="1360" w:hanging="446"/>
        <w:jc w:val="both"/>
        <w:rPr>
          <w:sz w:val="26"/>
        </w:rPr>
      </w:pPr>
      <w:r>
        <w:rPr>
          <w:sz w:val="23"/>
        </w:rPr>
        <w:t>Georghiou SB, Magana M, Garfein RS, Catanzaro DG, Catanzaro A, Rodwell TC. Evaluation of genetic mutations associated with Mycobacterium tuberculosis resistance to amikacin, kanamycin, and capreomycin： a systematic review. PLoS ONE.2012：7(3)：e33275.</w:t>
      </w:r>
    </w:p>
    <w:p>
      <w:pPr>
        <w:pStyle w:val="ListParagraph"/>
        <w:numPr>
          <w:ilvl w:val="0"/>
          <w:numId w:val="180"/>
        </w:numPr>
        <w:tabs>
          <w:tab w:pos="1116" w:val="left" w:leader="none"/>
        </w:tabs>
        <w:spacing w:line="408" w:lineRule="exact" w:before="0" w:after="0"/>
        <w:ind w:left="1116" w:right="0" w:hanging="446"/>
        <w:jc w:val="both"/>
        <w:rPr>
          <w:sz w:val="26"/>
        </w:rPr>
      </w:pPr>
      <w:r>
        <w:rPr>
          <w:sz w:val="23"/>
        </w:rPr>
        <w:t>Gler MT, Skripconoka V, Sanchez-Garavito E, et al. Delamanid for</w:t>
      </w:r>
      <w:r>
        <w:rPr>
          <w:spacing w:val="-7"/>
          <w:sz w:val="23"/>
        </w:rPr>
        <w:t> </w:t>
      </w:r>
      <w:r>
        <w:rPr>
          <w:sz w:val="23"/>
        </w:rPr>
        <w:t>multidrug-</w:t>
      </w:r>
    </w:p>
    <w:p>
      <w:pPr>
        <w:spacing w:line="382" w:lineRule="exact" w:before="0"/>
        <w:ind w:left="1116" w:right="0" w:firstLine="0"/>
        <w:jc w:val="both"/>
        <w:rPr>
          <w:sz w:val="23"/>
        </w:rPr>
      </w:pPr>
      <w:r>
        <w:rPr>
          <w:sz w:val="23"/>
        </w:rPr>
        <w:t>resistant pulmonary tuberculosis.N Engl J Med. 2010; 366(23)：2151-2160.</w:t>
      </w:r>
    </w:p>
    <w:p>
      <w:pPr>
        <w:pStyle w:val="ListParagraph"/>
        <w:numPr>
          <w:ilvl w:val="0"/>
          <w:numId w:val="180"/>
        </w:numPr>
        <w:tabs>
          <w:tab w:pos="1116" w:val="left" w:leader="none"/>
        </w:tabs>
        <w:spacing w:line="228" w:lineRule="auto" w:before="0" w:after="0"/>
        <w:ind w:left="1116" w:right="1360" w:hanging="446"/>
        <w:jc w:val="both"/>
        <w:rPr>
          <w:sz w:val="26"/>
        </w:rPr>
      </w:pPr>
      <w:r>
        <w:rPr>
          <w:sz w:val="23"/>
        </w:rPr>
        <w:t>Gopal M, Padayatchi N, Metcalfe JZ, O’Donnell MR. Systematic review of clofazimine for the treatment of drug-resistant tuberculosis. Int J Tuberc Lung Dis.</w:t>
      </w:r>
      <w:r>
        <w:rPr>
          <w:spacing w:val="3"/>
          <w:sz w:val="23"/>
        </w:rPr>
        <w:t> </w:t>
      </w:r>
      <w:r>
        <w:rPr>
          <w:sz w:val="23"/>
        </w:rPr>
        <w:t>2013;17(8)：1001-1007.</w:t>
      </w:r>
    </w:p>
    <w:p>
      <w:pPr>
        <w:pStyle w:val="ListParagraph"/>
        <w:numPr>
          <w:ilvl w:val="0"/>
          <w:numId w:val="180"/>
        </w:numPr>
        <w:tabs>
          <w:tab w:pos="1116" w:val="left" w:leader="none"/>
        </w:tabs>
        <w:spacing w:line="415" w:lineRule="exact" w:before="0" w:after="0"/>
        <w:ind w:left="1116" w:right="0" w:hanging="446"/>
        <w:jc w:val="both"/>
        <w:rPr>
          <w:sz w:val="26"/>
        </w:rPr>
      </w:pPr>
      <w:r>
        <w:rPr>
          <w:sz w:val="23"/>
        </w:rPr>
        <w:t>Guglielmetti</w:t>
      </w:r>
      <w:r>
        <w:rPr>
          <w:spacing w:val="23"/>
          <w:sz w:val="23"/>
        </w:rPr>
        <w:t> </w:t>
      </w:r>
      <w:r>
        <w:rPr>
          <w:sz w:val="23"/>
        </w:rPr>
        <w:t>L,</w:t>
      </w:r>
      <w:r>
        <w:rPr>
          <w:spacing w:val="24"/>
          <w:sz w:val="23"/>
        </w:rPr>
        <w:t> </w:t>
      </w:r>
      <w:r>
        <w:rPr>
          <w:sz w:val="23"/>
        </w:rPr>
        <w:t>Le</w:t>
      </w:r>
      <w:r>
        <w:rPr>
          <w:spacing w:val="23"/>
          <w:sz w:val="23"/>
        </w:rPr>
        <w:t> </w:t>
      </w:r>
      <w:r>
        <w:rPr>
          <w:sz w:val="23"/>
        </w:rPr>
        <w:t>Du</w:t>
      </w:r>
      <w:r>
        <w:rPr>
          <w:spacing w:val="24"/>
          <w:sz w:val="23"/>
        </w:rPr>
        <w:t> </w:t>
      </w:r>
      <w:r>
        <w:rPr>
          <w:sz w:val="23"/>
        </w:rPr>
        <w:t>D,</w:t>
      </w:r>
      <w:r>
        <w:rPr>
          <w:spacing w:val="23"/>
          <w:sz w:val="23"/>
        </w:rPr>
        <w:t> </w:t>
      </w:r>
      <w:r>
        <w:rPr>
          <w:sz w:val="23"/>
        </w:rPr>
        <w:t>Jachym</w:t>
      </w:r>
      <w:r>
        <w:rPr>
          <w:spacing w:val="24"/>
          <w:sz w:val="23"/>
        </w:rPr>
        <w:t> </w:t>
      </w:r>
      <w:r>
        <w:rPr>
          <w:sz w:val="23"/>
        </w:rPr>
        <w:t>M,</w:t>
      </w:r>
      <w:r>
        <w:rPr>
          <w:spacing w:val="24"/>
          <w:sz w:val="23"/>
        </w:rPr>
        <w:t> </w:t>
      </w:r>
      <w:r>
        <w:rPr>
          <w:sz w:val="23"/>
        </w:rPr>
        <w:t>et</w:t>
      </w:r>
      <w:r>
        <w:rPr>
          <w:spacing w:val="25"/>
          <w:sz w:val="23"/>
        </w:rPr>
        <w:t> </w:t>
      </w:r>
      <w:r>
        <w:rPr>
          <w:sz w:val="23"/>
        </w:rPr>
        <w:t>al.</w:t>
      </w:r>
      <w:r>
        <w:rPr>
          <w:spacing w:val="23"/>
          <w:sz w:val="23"/>
        </w:rPr>
        <w:t> </w:t>
      </w:r>
      <w:r>
        <w:rPr>
          <w:sz w:val="23"/>
        </w:rPr>
        <w:t>Compassionate</w:t>
      </w:r>
      <w:r>
        <w:rPr>
          <w:spacing w:val="24"/>
          <w:sz w:val="23"/>
        </w:rPr>
        <w:t> </w:t>
      </w:r>
      <w:r>
        <w:rPr>
          <w:sz w:val="23"/>
        </w:rPr>
        <w:t>use</w:t>
      </w:r>
      <w:r>
        <w:rPr>
          <w:spacing w:val="23"/>
          <w:sz w:val="23"/>
        </w:rPr>
        <w:t> </w:t>
      </w:r>
      <w:r>
        <w:rPr>
          <w:sz w:val="23"/>
        </w:rPr>
        <w:t>of</w:t>
      </w:r>
      <w:r>
        <w:rPr>
          <w:spacing w:val="24"/>
          <w:sz w:val="23"/>
        </w:rPr>
        <w:t> </w:t>
      </w:r>
      <w:r>
        <w:rPr>
          <w:sz w:val="23"/>
        </w:rPr>
        <w:t>bedaquline</w:t>
      </w:r>
      <w:r>
        <w:rPr>
          <w:spacing w:val="24"/>
          <w:sz w:val="23"/>
        </w:rPr>
        <w:t> </w:t>
      </w:r>
      <w:r>
        <w:rPr>
          <w:sz w:val="23"/>
        </w:rPr>
        <w:t>for</w:t>
      </w:r>
    </w:p>
    <w:p>
      <w:pPr>
        <w:spacing w:line="232" w:lineRule="auto" w:before="0"/>
        <w:ind w:left="1116" w:right="1355" w:firstLine="0"/>
        <w:jc w:val="both"/>
        <w:rPr>
          <w:sz w:val="23"/>
        </w:rPr>
      </w:pPr>
      <w:r>
        <w:rPr>
          <w:sz w:val="23"/>
        </w:rPr>
        <w:t>the </w:t>
      </w:r>
      <w:r>
        <w:rPr>
          <w:spacing w:val="-3"/>
          <w:sz w:val="23"/>
        </w:rPr>
        <w:t>treatment </w:t>
      </w:r>
      <w:r>
        <w:rPr>
          <w:sz w:val="23"/>
        </w:rPr>
        <w:t>of </w:t>
      </w:r>
      <w:r>
        <w:rPr>
          <w:spacing w:val="-3"/>
          <w:sz w:val="23"/>
        </w:rPr>
        <w:t>multidrug-resistant </w:t>
      </w:r>
      <w:r>
        <w:rPr>
          <w:sz w:val="23"/>
        </w:rPr>
        <w:t>and </w:t>
      </w:r>
      <w:r>
        <w:rPr>
          <w:spacing w:val="-3"/>
          <w:sz w:val="23"/>
        </w:rPr>
        <w:t>extensively drug-resistant tuberculosis： </w:t>
      </w:r>
      <w:r>
        <w:rPr>
          <w:sz w:val="23"/>
        </w:rPr>
        <w:t>interim analysis of French cohort. Clin Infect Dis. 2015;60：188-214.</w:t>
      </w:r>
    </w:p>
    <w:p>
      <w:pPr>
        <w:pStyle w:val="ListParagraph"/>
        <w:numPr>
          <w:ilvl w:val="0"/>
          <w:numId w:val="180"/>
        </w:numPr>
        <w:tabs>
          <w:tab w:pos="446" w:val="left" w:leader="none"/>
        </w:tabs>
        <w:spacing w:line="412" w:lineRule="exact" w:before="0" w:after="0"/>
        <w:ind w:left="1116" w:right="1360" w:hanging="1116"/>
        <w:jc w:val="right"/>
        <w:rPr>
          <w:sz w:val="26"/>
        </w:rPr>
      </w:pPr>
      <w:r>
        <w:rPr>
          <w:sz w:val="23"/>
        </w:rPr>
        <w:t>Hartkoorn  RC,  Uplekar  S,  Cole  ST.  Cross-resistance  between  clofazimine </w:t>
      </w:r>
      <w:r>
        <w:rPr>
          <w:spacing w:val="41"/>
          <w:sz w:val="23"/>
        </w:rPr>
        <w:t> </w:t>
      </w:r>
      <w:r>
        <w:rPr>
          <w:sz w:val="23"/>
        </w:rPr>
        <w:t>and</w:t>
      </w:r>
    </w:p>
    <w:p>
      <w:pPr>
        <w:spacing w:line="408" w:lineRule="exact" w:before="0"/>
        <w:ind w:left="0" w:right="1360" w:firstLine="0"/>
        <w:jc w:val="right"/>
        <w:rPr>
          <w:sz w:val="23"/>
        </w:rPr>
      </w:pPr>
      <w:r>
        <w:rPr>
          <w:sz w:val="23"/>
        </w:rPr>
        <w:t>bedaquiline  through  upregulation  of  MmpL5  in  Mycobacterium </w:t>
      </w:r>
      <w:r>
        <w:rPr>
          <w:spacing w:val="34"/>
          <w:sz w:val="23"/>
        </w:rPr>
        <w:t> </w:t>
      </w:r>
      <w:r>
        <w:rPr>
          <w:sz w:val="23"/>
        </w:rPr>
        <w:t>tuberculosis.</w:t>
      </w:r>
    </w:p>
    <w:p>
      <w:pPr>
        <w:spacing w:after="0" w:line="408" w:lineRule="exact"/>
        <w:jc w:val="right"/>
        <w:rPr>
          <w:sz w:val="23"/>
        </w:rPr>
        <w:sectPr>
          <w:pgSz w:w="12250" w:h="17190"/>
          <w:pgMar w:header="0" w:footer="734" w:top="1460" w:bottom="1020" w:left="1020" w:right="0"/>
        </w:sectPr>
      </w:pPr>
    </w:p>
    <w:p>
      <w:pPr>
        <w:spacing w:line="396" w:lineRule="exact" w:before="35"/>
        <w:ind w:left="1116" w:right="0" w:firstLine="0"/>
        <w:jc w:val="both"/>
        <w:rPr>
          <w:sz w:val="23"/>
        </w:rPr>
      </w:pPr>
      <w:r>
        <w:rPr/>
        <w:pict>
          <v:group style="position:absolute;margin-left:573pt;margin-top:.73582pt;width:39.4pt;height:177.4pt;mso-position-horizontal-relative:page;mso-position-vertical-relative:paragraph;z-index:251913216" coordorigin="11460,15" coordsize="788,3548">
            <v:shape style="position:absolute;left:11460;top:14;width:788;height:3548" coordorigin="11460,15" coordsize="788,3548" path="m12247,15l11625,15,11561,28,11508,63,11473,116,11460,180,11460,3397,11473,3462,11508,3514,11561,3550,11625,3563,12247,3563,12247,15xe" filled="true" fillcolor="#a6a6a6" stroked="false">
              <v:path arrowok="t"/>
              <v:fill type="solid"/>
            </v:shape>
            <v:shape style="position:absolute;left:11460;top:1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sz w:val="23"/>
        </w:rPr>
        <w:t>Antimicrob Agents Chemother.2014;58(5)：2979-2981.</w:t>
      </w:r>
    </w:p>
    <w:p>
      <w:pPr>
        <w:pStyle w:val="ListParagraph"/>
        <w:numPr>
          <w:ilvl w:val="0"/>
          <w:numId w:val="180"/>
        </w:numPr>
        <w:tabs>
          <w:tab w:pos="1116" w:val="left" w:leader="none"/>
        </w:tabs>
        <w:spacing w:line="228" w:lineRule="auto" w:before="0" w:after="0"/>
        <w:ind w:left="1115" w:right="1361" w:hanging="446"/>
        <w:jc w:val="both"/>
        <w:rPr>
          <w:sz w:val="26"/>
        </w:rPr>
      </w:pPr>
      <w:r>
        <w:rPr>
          <w:sz w:val="23"/>
        </w:rPr>
        <w:t>Horita Y, Maeda S, Kazumi Y, Doi N. In vitro susceptibility of Mycobacterium tuberculosis isolates to an oral carbapenem alone or in combination with beta- lactamase inhibitors. Antimicrob Agents Chemother.</w:t>
      </w:r>
      <w:r>
        <w:rPr>
          <w:spacing w:val="46"/>
          <w:sz w:val="23"/>
        </w:rPr>
        <w:t> </w:t>
      </w:r>
      <w:r>
        <w:rPr>
          <w:sz w:val="23"/>
        </w:rPr>
        <w:t>2014;58(11)：7010-4.</w:t>
      </w:r>
    </w:p>
    <w:p>
      <w:pPr>
        <w:pStyle w:val="ListParagraph"/>
        <w:numPr>
          <w:ilvl w:val="0"/>
          <w:numId w:val="180"/>
        </w:numPr>
        <w:tabs>
          <w:tab w:pos="1116" w:val="left" w:leader="none"/>
        </w:tabs>
        <w:spacing w:line="415" w:lineRule="exact" w:before="0" w:after="0"/>
        <w:ind w:left="1116" w:right="0" w:hanging="446"/>
        <w:jc w:val="both"/>
        <w:rPr>
          <w:sz w:val="26"/>
        </w:rPr>
      </w:pPr>
      <w:r>
        <w:rPr>
          <w:sz w:val="23"/>
        </w:rPr>
        <w:t>Huyen</w:t>
      </w:r>
      <w:r>
        <w:rPr>
          <w:spacing w:val="28"/>
          <w:sz w:val="23"/>
        </w:rPr>
        <w:t> </w:t>
      </w:r>
      <w:r>
        <w:rPr>
          <w:sz w:val="23"/>
        </w:rPr>
        <w:t>MNT,</w:t>
      </w:r>
      <w:r>
        <w:rPr>
          <w:spacing w:val="29"/>
          <w:sz w:val="23"/>
        </w:rPr>
        <w:t> </w:t>
      </w:r>
      <w:r>
        <w:rPr>
          <w:sz w:val="23"/>
        </w:rPr>
        <w:t>Cobelens</w:t>
      </w:r>
      <w:r>
        <w:rPr>
          <w:spacing w:val="29"/>
          <w:sz w:val="23"/>
        </w:rPr>
        <w:t> </w:t>
      </w:r>
      <w:r>
        <w:rPr>
          <w:sz w:val="23"/>
        </w:rPr>
        <w:t>FGJ,</w:t>
      </w:r>
      <w:r>
        <w:rPr>
          <w:spacing w:val="29"/>
          <w:sz w:val="23"/>
        </w:rPr>
        <w:t> </w:t>
      </w:r>
      <w:r>
        <w:rPr>
          <w:sz w:val="23"/>
        </w:rPr>
        <w:t>Buu</w:t>
      </w:r>
      <w:r>
        <w:rPr>
          <w:spacing w:val="29"/>
          <w:sz w:val="23"/>
        </w:rPr>
        <w:t> </w:t>
      </w:r>
      <w:r>
        <w:rPr>
          <w:sz w:val="23"/>
        </w:rPr>
        <w:t>TN,</w:t>
      </w:r>
      <w:r>
        <w:rPr>
          <w:spacing w:val="29"/>
          <w:sz w:val="23"/>
        </w:rPr>
        <w:t> </w:t>
      </w:r>
      <w:r>
        <w:rPr>
          <w:sz w:val="23"/>
        </w:rPr>
        <w:t>et</w:t>
      </w:r>
      <w:r>
        <w:rPr>
          <w:spacing w:val="29"/>
          <w:sz w:val="23"/>
        </w:rPr>
        <w:t> </w:t>
      </w:r>
      <w:r>
        <w:rPr>
          <w:sz w:val="23"/>
        </w:rPr>
        <w:t>al.</w:t>
      </w:r>
      <w:r>
        <w:rPr>
          <w:spacing w:val="29"/>
          <w:sz w:val="23"/>
        </w:rPr>
        <w:t> </w:t>
      </w:r>
      <w:r>
        <w:rPr>
          <w:sz w:val="23"/>
        </w:rPr>
        <w:t>Epidemiology</w:t>
      </w:r>
      <w:r>
        <w:rPr>
          <w:spacing w:val="30"/>
          <w:sz w:val="23"/>
        </w:rPr>
        <w:t> </w:t>
      </w:r>
      <w:r>
        <w:rPr>
          <w:sz w:val="23"/>
        </w:rPr>
        <w:t>of</w:t>
      </w:r>
      <w:r>
        <w:rPr>
          <w:spacing w:val="28"/>
          <w:sz w:val="23"/>
        </w:rPr>
        <w:t> </w:t>
      </w:r>
      <w:r>
        <w:rPr>
          <w:sz w:val="23"/>
        </w:rPr>
        <w:t>isoniazid</w:t>
      </w:r>
      <w:r>
        <w:rPr>
          <w:spacing w:val="28"/>
          <w:sz w:val="23"/>
        </w:rPr>
        <w:t> </w:t>
      </w:r>
      <w:r>
        <w:rPr>
          <w:sz w:val="23"/>
        </w:rPr>
        <w:t>resistance</w:t>
      </w:r>
    </w:p>
    <w:p>
      <w:pPr>
        <w:spacing w:line="232" w:lineRule="auto" w:before="0"/>
        <w:ind w:left="1116" w:right="1360" w:firstLine="0"/>
        <w:jc w:val="both"/>
        <w:rPr>
          <w:sz w:val="23"/>
        </w:rPr>
      </w:pPr>
      <w:r>
        <w:rPr>
          <w:sz w:val="23"/>
        </w:rPr>
        <w:t>mutations and their effect on tuberculosis treatment outcomes. Antimicrob Agents Chemother. 2013;57：3620-3627.</w:t>
      </w:r>
    </w:p>
    <w:p>
      <w:pPr>
        <w:pStyle w:val="ListParagraph"/>
        <w:numPr>
          <w:ilvl w:val="0"/>
          <w:numId w:val="180"/>
        </w:numPr>
        <w:tabs>
          <w:tab w:pos="1116" w:val="left" w:leader="none"/>
        </w:tabs>
        <w:spacing w:line="412" w:lineRule="exact" w:before="0" w:after="0"/>
        <w:ind w:left="1116" w:right="0" w:hanging="446"/>
        <w:jc w:val="both"/>
        <w:rPr>
          <w:sz w:val="26"/>
        </w:rPr>
      </w:pPr>
      <w:r>
        <w:rPr>
          <w:sz w:val="23"/>
        </w:rPr>
        <w:t>Hwang</w:t>
      </w:r>
      <w:r>
        <w:rPr>
          <w:spacing w:val="31"/>
          <w:sz w:val="23"/>
        </w:rPr>
        <w:t> </w:t>
      </w:r>
      <w:r>
        <w:rPr>
          <w:sz w:val="23"/>
        </w:rPr>
        <w:t>TJ,</w:t>
      </w:r>
      <w:r>
        <w:rPr>
          <w:spacing w:val="30"/>
          <w:sz w:val="23"/>
        </w:rPr>
        <w:t> </w:t>
      </w:r>
      <w:r>
        <w:rPr>
          <w:sz w:val="23"/>
        </w:rPr>
        <w:t>Wares</w:t>
      </w:r>
      <w:r>
        <w:rPr>
          <w:spacing w:val="33"/>
          <w:sz w:val="23"/>
        </w:rPr>
        <w:t> </w:t>
      </w:r>
      <w:r>
        <w:rPr>
          <w:sz w:val="23"/>
        </w:rPr>
        <w:t>DF,</w:t>
      </w:r>
      <w:r>
        <w:rPr>
          <w:spacing w:val="31"/>
          <w:sz w:val="23"/>
        </w:rPr>
        <w:t> </w:t>
      </w:r>
      <w:r>
        <w:rPr>
          <w:sz w:val="23"/>
        </w:rPr>
        <w:t>Jafarov</w:t>
      </w:r>
      <w:r>
        <w:rPr>
          <w:spacing w:val="32"/>
          <w:sz w:val="23"/>
        </w:rPr>
        <w:t> </w:t>
      </w:r>
      <w:r>
        <w:rPr>
          <w:sz w:val="23"/>
        </w:rPr>
        <w:t>A,</w:t>
      </w:r>
      <w:r>
        <w:rPr>
          <w:spacing w:val="30"/>
          <w:sz w:val="23"/>
        </w:rPr>
        <w:t> </w:t>
      </w:r>
      <w:r>
        <w:rPr>
          <w:sz w:val="23"/>
        </w:rPr>
        <w:t>Jakubowiak</w:t>
      </w:r>
      <w:r>
        <w:rPr>
          <w:spacing w:val="32"/>
          <w:sz w:val="23"/>
        </w:rPr>
        <w:t> </w:t>
      </w:r>
      <w:r>
        <w:rPr>
          <w:sz w:val="23"/>
        </w:rPr>
        <w:t>W,</w:t>
      </w:r>
      <w:r>
        <w:rPr>
          <w:spacing w:val="30"/>
          <w:sz w:val="23"/>
        </w:rPr>
        <w:t> </w:t>
      </w:r>
      <w:r>
        <w:rPr>
          <w:sz w:val="23"/>
        </w:rPr>
        <w:t>Nunn</w:t>
      </w:r>
      <w:r>
        <w:rPr>
          <w:spacing w:val="31"/>
          <w:sz w:val="23"/>
        </w:rPr>
        <w:t> </w:t>
      </w:r>
      <w:r>
        <w:rPr>
          <w:sz w:val="23"/>
        </w:rPr>
        <w:t>P,</w:t>
      </w:r>
      <w:r>
        <w:rPr>
          <w:spacing w:val="33"/>
          <w:sz w:val="23"/>
        </w:rPr>
        <w:t> </w:t>
      </w:r>
      <w:r>
        <w:rPr>
          <w:sz w:val="23"/>
        </w:rPr>
        <w:t>Keshavjee</w:t>
      </w:r>
      <w:r>
        <w:rPr>
          <w:spacing w:val="31"/>
          <w:sz w:val="23"/>
        </w:rPr>
        <w:t> </w:t>
      </w:r>
      <w:r>
        <w:rPr>
          <w:sz w:val="23"/>
        </w:rPr>
        <w:t>S.</w:t>
      </w:r>
      <w:r>
        <w:rPr>
          <w:spacing w:val="30"/>
          <w:sz w:val="23"/>
        </w:rPr>
        <w:t> </w:t>
      </w:r>
      <w:r>
        <w:rPr>
          <w:sz w:val="23"/>
        </w:rPr>
        <w:t>Safety</w:t>
      </w:r>
      <w:r>
        <w:rPr>
          <w:spacing w:val="33"/>
          <w:sz w:val="23"/>
        </w:rPr>
        <w:t> </w:t>
      </w:r>
      <w:r>
        <w:rPr>
          <w:sz w:val="23"/>
        </w:rPr>
        <w:t>of</w:t>
      </w:r>
    </w:p>
    <w:p>
      <w:pPr>
        <w:spacing w:line="232" w:lineRule="auto" w:before="0"/>
        <w:ind w:left="1116" w:right="1360" w:hanging="1"/>
        <w:jc w:val="both"/>
        <w:rPr>
          <w:sz w:val="23"/>
        </w:rPr>
      </w:pPr>
      <w:r>
        <w:rPr>
          <w:sz w:val="23"/>
        </w:rPr>
        <w:t>cycloserine and terizidone for the treatment of drug-resistant tuberculosis： a meta-analysis. Int J Tuberc Lung Dis Off J Int Union Tuberc Lung Dis. 2013 Oct;17(10)：1257–66.</w:t>
      </w:r>
    </w:p>
    <w:p>
      <w:pPr>
        <w:pStyle w:val="ListParagraph"/>
        <w:numPr>
          <w:ilvl w:val="0"/>
          <w:numId w:val="180"/>
        </w:numPr>
        <w:tabs>
          <w:tab w:pos="1116" w:val="left" w:leader="none"/>
        </w:tabs>
        <w:spacing w:line="410" w:lineRule="exact" w:before="0" w:after="0"/>
        <w:ind w:left="1116" w:right="0" w:hanging="446"/>
        <w:jc w:val="both"/>
        <w:rPr>
          <w:sz w:val="26"/>
        </w:rPr>
      </w:pPr>
      <w:r>
        <w:rPr>
          <w:sz w:val="23"/>
        </w:rPr>
        <w:t>Jeong</w:t>
      </w:r>
      <w:r>
        <w:rPr>
          <w:spacing w:val="10"/>
          <w:sz w:val="23"/>
        </w:rPr>
        <w:t> </w:t>
      </w:r>
      <w:r>
        <w:rPr>
          <w:sz w:val="23"/>
        </w:rPr>
        <w:t>BH,</w:t>
      </w:r>
      <w:r>
        <w:rPr>
          <w:spacing w:val="10"/>
          <w:sz w:val="23"/>
        </w:rPr>
        <w:t> </w:t>
      </w:r>
      <w:r>
        <w:rPr>
          <w:sz w:val="23"/>
        </w:rPr>
        <w:t>Jeon</w:t>
      </w:r>
      <w:r>
        <w:rPr>
          <w:spacing w:val="11"/>
          <w:sz w:val="23"/>
        </w:rPr>
        <w:t> </w:t>
      </w:r>
      <w:r>
        <w:rPr>
          <w:sz w:val="23"/>
        </w:rPr>
        <w:t>K,</w:t>
      </w:r>
      <w:r>
        <w:rPr>
          <w:spacing w:val="10"/>
          <w:sz w:val="23"/>
        </w:rPr>
        <w:t> </w:t>
      </w:r>
      <w:r>
        <w:rPr>
          <w:sz w:val="23"/>
        </w:rPr>
        <w:t>Park</w:t>
      </w:r>
      <w:r>
        <w:rPr>
          <w:spacing w:val="11"/>
          <w:sz w:val="23"/>
        </w:rPr>
        <w:t> </w:t>
      </w:r>
      <w:r>
        <w:rPr>
          <w:sz w:val="23"/>
        </w:rPr>
        <w:t>HY,</w:t>
      </w:r>
      <w:r>
        <w:rPr>
          <w:spacing w:val="12"/>
          <w:sz w:val="23"/>
        </w:rPr>
        <w:t> </w:t>
      </w:r>
      <w:r>
        <w:rPr>
          <w:sz w:val="23"/>
        </w:rPr>
        <w:t>et</w:t>
      </w:r>
      <w:r>
        <w:rPr>
          <w:spacing w:val="10"/>
          <w:sz w:val="23"/>
        </w:rPr>
        <w:t> </w:t>
      </w:r>
      <w:r>
        <w:rPr>
          <w:sz w:val="23"/>
        </w:rPr>
        <w:t>al.</w:t>
      </w:r>
      <w:r>
        <w:rPr>
          <w:spacing w:val="10"/>
          <w:sz w:val="23"/>
        </w:rPr>
        <w:t> </w:t>
      </w:r>
      <w:r>
        <w:rPr>
          <w:sz w:val="23"/>
        </w:rPr>
        <w:t>Outcomes</w:t>
      </w:r>
      <w:r>
        <w:rPr>
          <w:spacing w:val="11"/>
          <w:sz w:val="23"/>
        </w:rPr>
        <w:t> </w:t>
      </w:r>
      <w:r>
        <w:rPr>
          <w:sz w:val="23"/>
        </w:rPr>
        <w:t>of</w:t>
      </w:r>
      <w:r>
        <w:rPr>
          <w:spacing w:val="11"/>
          <w:sz w:val="23"/>
        </w:rPr>
        <w:t> </w:t>
      </w:r>
      <w:r>
        <w:rPr>
          <w:sz w:val="23"/>
        </w:rPr>
        <w:t>pulmonary</w:t>
      </w:r>
      <w:r>
        <w:rPr>
          <w:spacing w:val="12"/>
          <w:sz w:val="23"/>
        </w:rPr>
        <w:t> </w:t>
      </w:r>
      <w:r>
        <w:rPr>
          <w:sz w:val="23"/>
        </w:rPr>
        <w:t>MDR-TB：</w:t>
      </w:r>
      <w:r>
        <w:rPr>
          <w:spacing w:val="12"/>
          <w:sz w:val="23"/>
        </w:rPr>
        <w:t> </w:t>
      </w:r>
      <w:r>
        <w:rPr>
          <w:sz w:val="23"/>
        </w:rPr>
        <w:t>impacts</w:t>
      </w:r>
      <w:r>
        <w:rPr>
          <w:spacing w:val="12"/>
          <w:sz w:val="23"/>
        </w:rPr>
        <w:t> </w:t>
      </w:r>
      <w:r>
        <w:rPr>
          <w:sz w:val="23"/>
        </w:rPr>
        <w:t>of</w:t>
      </w:r>
    </w:p>
    <w:p>
      <w:pPr>
        <w:spacing w:line="232" w:lineRule="auto" w:before="0"/>
        <w:ind w:left="1115" w:right="1360" w:firstLine="0"/>
        <w:jc w:val="both"/>
        <w:rPr>
          <w:sz w:val="23"/>
        </w:rPr>
      </w:pPr>
      <w:r>
        <w:rPr>
          <w:sz w:val="23"/>
        </w:rPr>
        <w:t>fluoroquinolone resistance and linezolid treatment. J Antmicrob Chemother. 2015;70(11)：3127-3133.</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Jiang</w:t>
      </w:r>
      <w:r>
        <w:rPr>
          <w:spacing w:val="18"/>
          <w:sz w:val="23"/>
        </w:rPr>
        <w:t> </w:t>
      </w:r>
      <w:r>
        <w:rPr>
          <w:sz w:val="23"/>
        </w:rPr>
        <w:t>RH,</w:t>
      </w:r>
      <w:r>
        <w:rPr>
          <w:spacing w:val="18"/>
          <w:sz w:val="23"/>
        </w:rPr>
        <w:t> </w:t>
      </w:r>
      <w:r>
        <w:rPr>
          <w:sz w:val="23"/>
        </w:rPr>
        <w:t>Xu</w:t>
      </w:r>
      <w:r>
        <w:rPr>
          <w:spacing w:val="19"/>
          <w:sz w:val="23"/>
        </w:rPr>
        <w:t> </w:t>
      </w:r>
      <w:r>
        <w:rPr>
          <w:sz w:val="23"/>
        </w:rPr>
        <w:t>HB,</w:t>
      </w:r>
      <w:r>
        <w:rPr>
          <w:spacing w:val="19"/>
          <w:sz w:val="23"/>
        </w:rPr>
        <w:t> </w:t>
      </w:r>
      <w:r>
        <w:rPr>
          <w:sz w:val="23"/>
        </w:rPr>
        <w:t>Li</w:t>
      </w:r>
      <w:r>
        <w:rPr>
          <w:spacing w:val="20"/>
          <w:sz w:val="23"/>
        </w:rPr>
        <w:t> </w:t>
      </w:r>
      <w:r>
        <w:rPr>
          <w:sz w:val="23"/>
        </w:rPr>
        <w:t>L.</w:t>
      </w:r>
      <w:r>
        <w:rPr>
          <w:spacing w:val="18"/>
          <w:sz w:val="23"/>
        </w:rPr>
        <w:t> </w:t>
      </w:r>
      <w:r>
        <w:rPr>
          <w:sz w:val="23"/>
        </w:rPr>
        <w:t>Comparative</w:t>
      </w:r>
      <w:r>
        <w:rPr>
          <w:spacing w:val="19"/>
          <w:sz w:val="23"/>
        </w:rPr>
        <w:t> </w:t>
      </w:r>
      <w:r>
        <w:rPr>
          <w:sz w:val="23"/>
        </w:rPr>
        <w:t>roles</w:t>
      </w:r>
      <w:r>
        <w:rPr>
          <w:spacing w:val="18"/>
          <w:sz w:val="23"/>
        </w:rPr>
        <w:t> </w:t>
      </w:r>
      <w:r>
        <w:rPr>
          <w:sz w:val="23"/>
        </w:rPr>
        <w:t>of</w:t>
      </w:r>
      <w:r>
        <w:rPr>
          <w:spacing w:val="18"/>
          <w:sz w:val="23"/>
        </w:rPr>
        <w:t> </w:t>
      </w:r>
      <w:r>
        <w:rPr>
          <w:sz w:val="23"/>
        </w:rPr>
        <w:t>moxifloxacin</w:t>
      </w:r>
      <w:r>
        <w:rPr>
          <w:spacing w:val="18"/>
          <w:sz w:val="23"/>
        </w:rPr>
        <w:t> </w:t>
      </w:r>
      <w:r>
        <w:rPr>
          <w:sz w:val="23"/>
        </w:rPr>
        <w:t>and</w:t>
      </w:r>
      <w:r>
        <w:rPr>
          <w:spacing w:val="18"/>
          <w:sz w:val="23"/>
        </w:rPr>
        <w:t> </w:t>
      </w:r>
      <w:r>
        <w:rPr>
          <w:sz w:val="23"/>
        </w:rPr>
        <w:t>levofloxacin</w:t>
      </w:r>
      <w:r>
        <w:rPr>
          <w:spacing w:val="18"/>
          <w:sz w:val="23"/>
        </w:rPr>
        <w:t> </w:t>
      </w:r>
      <w:r>
        <w:rPr>
          <w:sz w:val="23"/>
        </w:rPr>
        <w:t>in</w:t>
      </w:r>
      <w:r>
        <w:rPr>
          <w:spacing w:val="17"/>
          <w:sz w:val="23"/>
        </w:rPr>
        <w:t> </w:t>
      </w:r>
      <w:r>
        <w:rPr>
          <w:sz w:val="23"/>
        </w:rPr>
        <w:t>the</w:t>
      </w:r>
    </w:p>
    <w:p>
      <w:pPr>
        <w:spacing w:line="230" w:lineRule="auto" w:before="0"/>
        <w:ind w:left="1116" w:right="1354" w:firstLine="0"/>
        <w:jc w:val="left"/>
        <w:rPr>
          <w:sz w:val="23"/>
        </w:rPr>
      </w:pPr>
      <w:r>
        <w:rPr>
          <w:sz w:val="23"/>
        </w:rPr>
        <w:t>treatment of pulmonary multidrug-resistant tuberculosis：a retrospective study. Int J Antimicrob Agents. 2013;42(1)：36-41.</w:t>
      </w:r>
    </w:p>
    <w:p>
      <w:pPr>
        <w:pStyle w:val="ListParagraph"/>
        <w:numPr>
          <w:ilvl w:val="0"/>
          <w:numId w:val="180"/>
        </w:numPr>
        <w:tabs>
          <w:tab w:pos="1116" w:val="left" w:leader="none"/>
        </w:tabs>
        <w:spacing w:line="417" w:lineRule="exact" w:before="0" w:after="0"/>
        <w:ind w:left="1116" w:right="0" w:hanging="446"/>
        <w:jc w:val="left"/>
        <w:rPr>
          <w:sz w:val="26"/>
        </w:rPr>
      </w:pPr>
      <w:r>
        <w:rPr>
          <w:sz w:val="23"/>
        </w:rPr>
        <w:t>Jindani</w:t>
      </w:r>
      <w:r>
        <w:rPr>
          <w:spacing w:val="-4"/>
          <w:sz w:val="23"/>
        </w:rPr>
        <w:t> </w:t>
      </w:r>
      <w:r>
        <w:rPr>
          <w:sz w:val="23"/>
        </w:rPr>
        <w:t>A,</w:t>
      </w:r>
      <w:r>
        <w:rPr>
          <w:spacing w:val="-6"/>
          <w:sz w:val="23"/>
        </w:rPr>
        <w:t> </w:t>
      </w:r>
      <w:r>
        <w:rPr>
          <w:sz w:val="23"/>
        </w:rPr>
        <w:t>Harrison</w:t>
      </w:r>
      <w:r>
        <w:rPr>
          <w:spacing w:val="-5"/>
          <w:sz w:val="23"/>
        </w:rPr>
        <w:t> </w:t>
      </w:r>
      <w:r>
        <w:rPr>
          <w:sz w:val="23"/>
        </w:rPr>
        <w:t>TS,</w:t>
      </w:r>
      <w:r>
        <w:rPr>
          <w:spacing w:val="-5"/>
          <w:sz w:val="23"/>
        </w:rPr>
        <w:t> </w:t>
      </w:r>
      <w:r>
        <w:rPr>
          <w:sz w:val="23"/>
        </w:rPr>
        <w:t>Nunn</w:t>
      </w:r>
      <w:r>
        <w:rPr>
          <w:spacing w:val="-4"/>
          <w:sz w:val="23"/>
        </w:rPr>
        <w:t> </w:t>
      </w:r>
      <w:r>
        <w:rPr>
          <w:sz w:val="23"/>
        </w:rPr>
        <w:t>AJ,</w:t>
      </w:r>
      <w:r>
        <w:rPr>
          <w:spacing w:val="-5"/>
          <w:sz w:val="23"/>
        </w:rPr>
        <w:t> </w:t>
      </w:r>
      <w:r>
        <w:rPr>
          <w:sz w:val="23"/>
        </w:rPr>
        <w:t>et</w:t>
      </w:r>
      <w:r>
        <w:rPr>
          <w:spacing w:val="-3"/>
          <w:sz w:val="23"/>
        </w:rPr>
        <w:t> </w:t>
      </w:r>
      <w:r>
        <w:rPr>
          <w:sz w:val="23"/>
        </w:rPr>
        <w:t>al.</w:t>
      </w:r>
      <w:r>
        <w:rPr>
          <w:spacing w:val="-5"/>
          <w:sz w:val="23"/>
        </w:rPr>
        <w:t> </w:t>
      </w:r>
      <w:r>
        <w:rPr>
          <w:sz w:val="23"/>
        </w:rPr>
        <w:t>High-dose</w:t>
      </w:r>
      <w:r>
        <w:rPr>
          <w:spacing w:val="-5"/>
          <w:sz w:val="23"/>
        </w:rPr>
        <w:t> </w:t>
      </w:r>
      <w:r>
        <w:rPr>
          <w:sz w:val="23"/>
        </w:rPr>
        <w:t>rifapentine</w:t>
      </w:r>
      <w:r>
        <w:rPr>
          <w:spacing w:val="-4"/>
          <w:sz w:val="23"/>
        </w:rPr>
        <w:t> </w:t>
      </w:r>
      <w:r>
        <w:rPr>
          <w:sz w:val="23"/>
        </w:rPr>
        <w:t>with</w:t>
      </w:r>
      <w:r>
        <w:rPr>
          <w:spacing w:val="-5"/>
          <w:sz w:val="23"/>
        </w:rPr>
        <w:t> </w:t>
      </w:r>
      <w:r>
        <w:rPr>
          <w:sz w:val="23"/>
        </w:rPr>
        <w:t>moxifloxacin</w:t>
      </w:r>
      <w:r>
        <w:rPr>
          <w:spacing w:val="-5"/>
          <w:sz w:val="23"/>
        </w:rPr>
        <w:t> </w:t>
      </w:r>
      <w:r>
        <w:rPr>
          <w:sz w:val="23"/>
        </w:rPr>
        <w:t>for</w:t>
      </w:r>
    </w:p>
    <w:p>
      <w:pPr>
        <w:spacing w:line="382" w:lineRule="exact" w:before="0"/>
        <w:ind w:left="1115" w:right="0" w:firstLine="0"/>
        <w:jc w:val="left"/>
        <w:rPr>
          <w:sz w:val="23"/>
        </w:rPr>
      </w:pPr>
      <w:r>
        <w:rPr>
          <w:sz w:val="23"/>
        </w:rPr>
        <w:t>pulmonary tuberculosis.N Engl J Med. 2014;371：1599-1608.</w:t>
      </w:r>
    </w:p>
    <w:p>
      <w:pPr>
        <w:pStyle w:val="ListParagraph"/>
        <w:numPr>
          <w:ilvl w:val="0"/>
          <w:numId w:val="180"/>
        </w:numPr>
        <w:tabs>
          <w:tab w:pos="1116" w:val="left" w:leader="none"/>
        </w:tabs>
        <w:spacing w:line="228" w:lineRule="auto" w:before="0" w:after="0"/>
        <w:ind w:left="1115" w:right="1358" w:hanging="445"/>
        <w:jc w:val="both"/>
        <w:rPr>
          <w:sz w:val="26"/>
        </w:rPr>
      </w:pPr>
      <w:r>
        <w:rPr>
          <w:sz w:val="23"/>
        </w:rPr>
        <w:t>Jo</w:t>
      </w:r>
      <w:r>
        <w:rPr>
          <w:spacing w:val="-5"/>
          <w:sz w:val="23"/>
        </w:rPr>
        <w:t> </w:t>
      </w:r>
      <w:r>
        <w:rPr>
          <w:sz w:val="23"/>
        </w:rPr>
        <w:t>K-W,</w:t>
      </w:r>
      <w:r>
        <w:rPr>
          <w:spacing w:val="-5"/>
          <w:sz w:val="23"/>
        </w:rPr>
        <w:t> </w:t>
      </w:r>
      <w:r>
        <w:rPr>
          <w:sz w:val="23"/>
        </w:rPr>
        <w:t>Lee</w:t>
      </w:r>
      <w:r>
        <w:rPr>
          <w:spacing w:val="-5"/>
          <w:sz w:val="23"/>
        </w:rPr>
        <w:t> </w:t>
      </w:r>
      <w:r>
        <w:rPr>
          <w:sz w:val="23"/>
        </w:rPr>
        <w:t>S-D,</w:t>
      </w:r>
      <w:r>
        <w:rPr>
          <w:spacing w:val="-5"/>
          <w:sz w:val="23"/>
        </w:rPr>
        <w:t> </w:t>
      </w:r>
      <w:r>
        <w:rPr>
          <w:sz w:val="23"/>
        </w:rPr>
        <w:t>Kim</w:t>
      </w:r>
      <w:r>
        <w:rPr>
          <w:spacing w:val="-4"/>
          <w:sz w:val="23"/>
        </w:rPr>
        <w:t> </w:t>
      </w:r>
      <w:r>
        <w:rPr>
          <w:sz w:val="23"/>
        </w:rPr>
        <w:t>WS,</w:t>
      </w:r>
      <w:r>
        <w:rPr>
          <w:spacing w:val="-4"/>
          <w:sz w:val="23"/>
        </w:rPr>
        <w:t> </w:t>
      </w:r>
      <w:r>
        <w:rPr>
          <w:sz w:val="23"/>
        </w:rPr>
        <w:t>Kim</w:t>
      </w:r>
      <w:r>
        <w:rPr>
          <w:spacing w:val="-4"/>
          <w:sz w:val="23"/>
        </w:rPr>
        <w:t> </w:t>
      </w:r>
      <w:r>
        <w:rPr>
          <w:sz w:val="23"/>
        </w:rPr>
        <w:t>DS,</w:t>
      </w:r>
      <w:r>
        <w:rPr>
          <w:spacing w:val="-5"/>
          <w:sz w:val="23"/>
        </w:rPr>
        <w:t> </w:t>
      </w:r>
      <w:r>
        <w:rPr>
          <w:sz w:val="23"/>
        </w:rPr>
        <w:t>Shim</w:t>
      </w:r>
      <w:r>
        <w:rPr>
          <w:spacing w:val="-5"/>
          <w:sz w:val="23"/>
        </w:rPr>
        <w:t> </w:t>
      </w:r>
      <w:r>
        <w:rPr>
          <w:sz w:val="23"/>
        </w:rPr>
        <w:t>TS.</w:t>
      </w:r>
      <w:r>
        <w:rPr>
          <w:spacing w:val="-6"/>
          <w:sz w:val="23"/>
        </w:rPr>
        <w:t> </w:t>
      </w:r>
      <w:r>
        <w:rPr>
          <w:sz w:val="23"/>
        </w:rPr>
        <w:t>Treatment</w:t>
      </w:r>
      <w:r>
        <w:rPr>
          <w:spacing w:val="-4"/>
          <w:sz w:val="23"/>
        </w:rPr>
        <w:t> </w:t>
      </w:r>
      <w:r>
        <w:rPr>
          <w:sz w:val="23"/>
        </w:rPr>
        <w:t>outcomes</w:t>
      </w:r>
      <w:r>
        <w:rPr>
          <w:spacing w:val="-5"/>
          <w:sz w:val="23"/>
        </w:rPr>
        <w:t> </w:t>
      </w:r>
      <w:r>
        <w:rPr>
          <w:sz w:val="23"/>
        </w:rPr>
        <w:t>and</w:t>
      </w:r>
      <w:r>
        <w:rPr>
          <w:spacing w:val="-4"/>
          <w:sz w:val="23"/>
        </w:rPr>
        <w:t> </w:t>
      </w:r>
      <w:r>
        <w:rPr>
          <w:sz w:val="23"/>
        </w:rPr>
        <w:t>moxifloxacin susceptibility in ofloxacin-resistant multidrug-resistant tuberculosis. Int J Tuberc Lung</w:t>
      </w:r>
      <w:r>
        <w:rPr>
          <w:spacing w:val="4"/>
          <w:sz w:val="23"/>
        </w:rPr>
        <w:t> </w:t>
      </w:r>
      <w:r>
        <w:rPr>
          <w:sz w:val="23"/>
        </w:rPr>
        <w:t>Dis.2014;18(1)：39-43.</w:t>
      </w:r>
    </w:p>
    <w:p>
      <w:pPr>
        <w:pStyle w:val="ListParagraph"/>
        <w:numPr>
          <w:ilvl w:val="0"/>
          <w:numId w:val="180"/>
        </w:numPr>
        <w:tabs>
          <w:tab w:pos="1116" w:val="left" w:leader="none"/>
        </w:tabs>
        <w:spacing w:line="415" w:lineRule="exact" w:before="0" w:after="0"/>
        <w:ind w:left="1116" w:right="0" w:hanging="446"/>
        <w:jc w:val="both"/>
        <w:rPr>
          <w:sz w:val="26"/>
        </w:rPr>
      </w:pPr>
      <w:r>
        <w:rPr>
          <w:sz w:val="23"/>
        </w:rPr>
        <w:t>Koh</w:t>
      </w:r>
      <w:r>
        <w:rPr>
          <w:spacing w:val="36"/>
          <w:sz w:val="23"/>
        </w:rPr>
        <w:t> </w:t>
      </w:r>
      <w:r>
        <w:rPr>
          <w:sz w:val="23"/>
        </w:rPr>
        <w:t>WJ,</w:t>
      </w:r>
      <w:r>
        <w:rPr>
          <w:spacing w:val="37"/>
          <w:sz w:val="23"/>
        </w:rPr>
        <w:t> </w:t>
      </w:r>
      <w:r>
        <w:rPr>
          <w:sz w:val="23"/>
        </w:rPr>
        <w:t>Kang</w:t>
      </w:r>
      <w:r>
        <w:rPr>
          <w:spacing w:val="36"/>
          <w:sz w:val="23"/>
        </w:rPr>
        <w:t> </w:t>
      </w:r>
      <w:r>
        <w:rPr>
          <w:sz w:val="23"/>
        </w:rPr>
        <w:t>YR,</w:t>
      </w:r>
      <w:r>
        <w:rPr>
          <w:spacing w:val="35"/>
          <w:sz w:val="23"/>
        </w:rPr>
        <w:t> </w:t>
      </w:r>
      <w:r>
        <w:rPr>
          <w:sz w:val="23"/>
        </w:rPr>
        <w:t>Jeon</w:t>
      </w:r>
      <w:r>
        <w:rPr>
          <w:spacing w:val="38"/>
          <w:sz w:val="23"/>
        </w:rPr>
        <w:t> </w:t>
      </w:r>
      <w:r>
        <w:rPr>
          <w:sz w:val="23"/>
        </w:rPr>
        <w:t>K,</w:t>
      </w:r>
      <w:r>
        <w:rPr>
          <w:spacing w:val="36"/>
          <w:sz w:val="23"/>
        </w:rPr>
        <w:t> </w:t>
      </w:r>
      <w:r>
        <w:rPr>
          <w:sz w:val="23"/>
        </w:rPr>
        <w:t>et</w:t>
      </w:r>
      <w:r>
        <w:rPr>
          <w:spacing w:val="35"/>
          <w:sz w:val="23"/>
        </w:rPr>
        <w:t> </w:t>
      </w:r>
      <w:r>
        <w:rPr>
          <w:sz w:val="23"/>
        </w:rPr>
        <w:t>al.</w:t>
      </w:r>
      <w:r>
        <w:rPr>
          <w:spacing w:val="36"/>
          <w:sz w:val="23"/>
        </w:rPr>
        <w:t> </w:t>
      </w:r>
      <w:r>
        <w:rPr>
          <w:sz w:val="23"/>
        </w:rPr>
        <w:t>Daily</w:t>
      </w:r>
      <w:r>
        <w:rPr>
          <w:spacing w:val="38"/>
          <w:sz w:val="23"/>
        </w:rPr>
        <w:t> </w:t>
      </w:r>
      <w:r>
        <w:rPr>
          <w:sz w:val="23"/>
        </w:rPr>
        <w:t>300</w:t>
      </w:r>
      <w:r>
        <w:rPr>
          <w:spacing w:val="34"/>
          <w:sz w:val="23"/>
        </w:rPr>
        <w:t> </w:t>
      </w:r>
      <w:r>
        <w:rPr>
          <w:sz w:val="23"/>
        </w:rPr>
        <w:t>mg</w:t>
      </w:r>
      <w:r>
        <w:rPr>
          <w:spacing w:val="37"/>
          <w:sz w:val="23"/>
        </w:rPr>
        <w:t> </w:t>
      </w:r>
      <w:r>
        <w:rPr>
          <w:sz w:val="23"/>
        </w:rPr>
        <w:t>dose</w:t>
      </w:r>
      <w:r>
        <w:rPr>
          <w:spacing w:val="38"/>
          <w:sz w:val="23"/>
        </w:rPr>
        <w:t> </w:t>
      </w:r>
      <w:r>
        <w:rPr>
          <w:sz w:val="23"/>
        </w:rPr>
        <w:t>of</w:t>
      </w:r>
      <w:r>
        <w:rPr>
          <w:spacing w:val="37"/>
          <w:sz w:val="23"/>
        </w:rPr>
        <w:t> </w:t>
      </w:r>
      <w:r>
        <w:rPr>
          <w:sz w:val="23"/>
        </w:rPr>
        <w:t>linezolid</w:t>
      </w:r>
      <w:r>
        <w:rPr>
          <w:spacing w:val="36"/>
          <w:sz w:val="23"/>
        </w:rPr>
        <w:t> </w:t>
      </w:r>
      <w:r>
        <w:rPr>
          <w:sz w:val="23"/>
        </w:rPr>
        <w:t>for</w:t>
      </w:r>
      <w:r>
        <w:rPr>
          <w:spacing w:val="34"/>
          <w:sz w:val="23"/>
        </w:rPr>
        <w:t> </w:t>
      </w:r>
      <w:r>
        <w:rPr>
          <w:sz w:val="23"/>
        </w:rPr>
        <w:t>multidrug-</w:t>
      </w:r>
    </w:p>
    <w:p>
      <w:pPr>
        <w:spacing w:line="232" w:lineRule="auto" w:before="0"/>
        <w:ind w:left="1115" w:right="1361" w:firstLine="0"/>
        <w:jc w:val="both"/>
        <w:rPr>
          <w:sz w:val="23"/>
        </w:rPr>
      </w:pPr>
      <w:r>
        <w:rPr>
          <w:sz w:val="23"/>
        </w:rPr>
        <w:t>resistant and extensively drug-resistant tuberculosis： updated analysis of 51 patients. J Antimicrob Chemother.2012;67：1503-1507.</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Koh</w:t>
      </w:r>
      <w:r>
        <w:rPr>
          <w:spacing w:val="16"/>
          <w:sz w:val="23"/>
        </w:rPr>
        <w:t> </w:t>
      </w:r>
      <w:r>
        <w:rPr>
          <w:sz w:val="23"/>
        </w:rPr>
        <w:t>WJ,</w:t>
      </w:r>
      <w:r>
        <w:rPr>
          <w:spacing w:val="18"/>
          <w:sz w:val="23"/>
        </w:rPr>
        <w:t> </w:t>
      </w:r>
      <w:r>
        <w:rPr>
          <w:sz w:val="23"/>
        </w:rPr>
        <w:t>Lee</w:t>
      </w:r>
      <w:r>
        <w:rPr>
          <w:spacing w:val="17"/>
          <w:sz w:val="23"/>
        </w:rPr>
        <w:t> </w:t>
      </w:r>
      <w:r>
        <w:rPr>
          <w:sz w:val="23"/>
        </w:rPr>
        <w:t>SH,</w:t>
      </w:r>
      <w:r>
        <w:rPr>
          <w:spacing w:val="18"/>
          <w:sz w:val="23"/>
        </w:rPr>
        <w:t> </w:t>
      </w:r>
      <w:r>
        <w:rPr>
          <w:sz w:val="23"/>
        </w:rPr>
        <w:t>Kang</w:t>
      </w:r>
      <w:r>
        <w:rPr>
          <w:spacing w:val="19"/>
          <w:sz w:val="23"/>
        </w:rPr>
        <w:t> </w:t>
      </w:r>
      <w:r>
        <w:rPr>
          <w:sz w:val="23"/>
        </w:rPr>
        <w:t>YA,</w:t>
      </w:r>
      <w:r>
        <w:rPr>
          <w:spacing w:val="18"/>
          <w:sz w:val="23"/>
        </w:rPr>
        <w:t> </w:t>
      </w:r>
      <w:r>
        <w:rPr>
          <w:sz w:val="23"/>
        </w:rPr>
        <w:t>et</w:t>
      </w:r>
      <w:r>
        <w:rPr>
          <w:spacing w:val="18"/>
          <w:sz w:val="23"/>
        </w:rPr>
        <w:t> </w:t>
      </w:r>
      <w:r>
        <w:rPr>
          <w:sz w:val="23"/>
        </w:rPr>
        <w:t>al.</w:t>
      </w:r>
      <w:r>
        <w:rPr>
          <w:spacing w:val="17"/>
          <w:sz w:val="23"/>
        </w:rPr>
        <w:t> </w:t>
      </w:r>
      <w:r>
        <w:rPr>
          <w:sz w:val="23"/>
        </w:rPr>
        <w:t>Comparison</w:t>
      </w:r>
      <w:r>
        <w:rPr>
          <w:spacing w:val="18"/>
          <w:sz w:val="23"/>
        </w:rPr>
        <w:t> </w:t>
      </w:r>
      <w:r>
        <w:rPr>
          <w:sz w:val="23"/>
        </w:rPr>
        <w:t>of</w:t>
      </w:r>
      <w:r>
        <w:rPr>
          <w:spacing w:val="17"/>
          <w:sz w:val="23"/>
        </w:rPr>
        <w:t> </w:t>
      </w:r>
      <w:r>
        <w:rPr>
          <w:sz w:val="23"/>
        </w:rPr>
        <w:t>levofloxacin</w:t>
      </w:r>
      <w:r>
        <w:rPr>
          <w:spacing w:val="20"/>
          <w:sz w:val="23"/>
        </w:rPr>
        <w:t> </w:t>
      </w:r>
      <w:r>
        <w:rPr>
          <w:sz w:val="23"/>
        </w:rPr>
        <w:t>versus</w:t>
      </w:r>
      <w:r>
        <w:rPr>
          <w:spacing w:val="19"/>
          <w:sz w:val="23"/>
        </w:rPr>
        <w:t> </w:t>
      </w:r>
      <w:r>
        <w:rPr>
          <w:sz w:val="23"/>
        </w:rPr>
        <w:t>moxifloxacin</w:t>
      </w:r>
    </w:p>
    <w:p>
      <w:pPr>
        <w:spacing w:line="232" w:lineRule="auto" w:before="0"/>
        <w:ind w:left="1116" w:right="1362" w:firstLine="0"/>
        <w:jc w:val="left"/>
        <w:rPr>
          <w:sz w:val="23"/>
        </w:rPr>
      </w:pPr>
      <w:r>
        <w:rPr>
          <w:sz w:val="23"/>
        </w:rPr>
        <w:t>for multidrug-resistant tuberculosis. Am J Respir Crit Care Med. 2013;188(7)： 858-864.</w:t>
      </w:r>
    </w:p>
    <w:p>
      <w:pPr>
        <w:pStyle w:val="ListParagraph"/>
        <w:numPr>
          <w:ilvl w:val="0"/>
          <w:numId w:val="180"/>
        </w:numPr>
        <w:tabs>
          <w:tab w:pos="1116" w:val="left" w:leader="none"/>
        </w:tabs>
        <w:spacing w:line="411" w:lineRule="exact" w:before="0" w:after="0"/>
        <w:ind w:left="1116" w:right="0" w:hanging="446"/>
        <w:jc w:val="left"/>
        <w:rPr>
          <w:sz w:val="26"/>
        </w:rPr>
      </w:pPr>
      <w:r>
        <w:rPr>
          <w:sz w:val="23"/>
        </w:rPr>
        <w:t>Kuaban</w:t>
      </w:r>
      <w:r>
        <w:rPr>
          <w:spacing w:val="43"/>
          <w:sz w:val="23"/>
        </w:rPr>
        <w:t> </w:t>
      </w:r>
      <w:r>
        <w:rPr>
          <w:sz w:val="23"/>
        </w:rPr>
        <w:t>C,</w:t>
      </w:r>
      <w:r>
        <w:rPr>
          <w:spacing w:val="42"/>
          <w:sz w:val="23"/>
        </w:rPr>
        <w:t> </w:t>
      </w:r>
      <w:r>
        <w:rPr>
          <w:sz w:val="23"/>
        </w:rPr>
        <w:t>Noeske</w:t>
      </w:r>
      <w:r>
        <w:rPr>
          <w:spacing w:val="41"/>
          <w:sz w:val="23"/>
        </w:rPr>
        <w:t> </w:t>
      </w:r>
      <w:r>
        <w:rPr>
          <w:sz w:val="23"/>
        </w:rPr>
        <w:t>J,</w:t>
      </w:r>
      <w:r>
        <w:rPr>
          <w:spacing w:val="41"/>
          <w:sz w:val="23"/>
        </w:rPr>
        <w:t> </w:t>
      </w:r>
      <w:r>
        <w:rPr>
          <w:sz w:val="23"/>
        </w:rPr>
        <w:t>Rieder</w:t>
      </w:r>
      <w:r>
        <w:rPr>
          <w:spacing w:val="43"/>
          <w:sz w:val="23"/>
        </w:rPr>
        <w:t> </w:t>
      </w:r>
      <w:r>
        <w:rPr>
          <w:sz w:val="23"/>
        </w:rPr>
        <w:t>HL,</w:t>
      </w:r>
      <w:r>
        <w:rPr>
          <w:spacing w:val="43"/>
          <w:sz w:val="23"/>
        </w:rPr>
        <w:t> </w:t>
      </w:r>
      <w:r>
        <w:rPr>
          <w:sz w:val="23"/>
        </w:rPr>
        <w:t>Aït-Khaled</w:t>
      </w:r>
      <w:r>
        <w:rPr>
          <w:spacing w:val="42"/>
          <w:sz w:val="23"/>
        </w:rPr>
        <w:t> </w:t>
      </w:r>
      <w:r>
        <w:rPr>
          <w:sz w:val="23"/>
        </w:rPr>
        <w:t>N,</w:t>
      </w:r>
      <w:r>
        <w:rPr>
          <w:spacing w:val="41"/>
          <w:sz w:val="23"/>
        </w:rPr>
        <w:t> </w:t>
      </w:r>
      <w:r>
        <w:rPr>
          <w:sz w:val="23"/>
        </w:rPr>
        <w:t>Abena</w:t>
      </w:r>
      <w:r>
        <w:rPr>
          <w:spacing w:val="44"/>
          <w:sz w:val="23"/>
        </w:rPr>
        <w:t> </w:t>
      </w:r>
      <w:r>
        <w:rPr>
          <w:sz w:val="23"/>
        </w:rPr>
        <w:t>Foe</w:t>
      </w:r>
      <w:r>
        <w:rPr>
          <w:spacing w:val="41"/>
          <w:sz w:val="23"/>
        </w:rPr>
        <w:t> </w:t>
      </w:r>
      <w:r>
        <w:rPr>
          <w:sz w:val="23"/>
        </w:rPr>
        <w:t>JL,</w:t>
      </w:r>
      <w:r>
        <w:rPr>
          <w:spacing w:val="41"/>
          <w:sz w:val="23"/>
        </w:rPr>
        <w:t> </w:t>
      </w:r>
      <w:r>
        <w:rPr>
          <w:sz w:val="23"/>
        </w:rPr>
        <w:t>Trébucq</w:t>
      </w:r>
      <w:r>
        <w:rPr>
          <w:spacing w:val="42"/>
          <w:sz w:val="23"/>
        </w:rPr>
        <w:t> </w:t>
      </w:r>
      <w:r>
        <w:rPr>
          <w:sz w:val="23"/>
        </w:rPr>
        <w:t>A.</w:t>
      </w:r>
      <w:r>
        <w:rPr>
          <w:spacing w:val="41"/>
          <w:sz w:val="23"/>
        </w:rPr>
        <w:t> </w:t>
      </w:r>
      <w:r>
        <w:rPr>
          <w:sz w:val="23"/>
        </w:rPr>
        <w:t>High</w:t>
      </w:r>
    </w:p>
    <w:p>
      <w:pPr>
        <w:spacing w:line="232" w:lineRule="auto" w:before="0"/>
        <w:ind w:left="1115" w:right="1354" w:firstLine="0"/>
        <w:jc w:val="left"/>
        <w:rPr>
          <w:sz w:val="23"/>
        </w:rPr>
      </w:pPr>
      <w:r>
        <w:rPr>
          <w:sz w:val="23"/>
        </w:rPr>
        <w:t>effectiveness of a 12-month regimen for MDR-TB patients in Cameroon. Int J Tuberc Lung Dis Off J Int Union Tuberc Lung Dis. 2015 May;19(5)：517–24.</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Lange</w:t>
      </w:r>
      <w:r>
        <w:rPr>
          <w:spacing w:val="39"/>
          <w:sz w:val="23"/>
        </w:rPr>
        <w:t> </w:t>
      </w:r>
      <w:r>
        <w:rPr>
          <w:sz w:val="23"/>
        </w:rPr>
        <w:t>C,</w:t>
      </w:r>
      <w:r>
        <w:rPr>
          <w:spacing w:val="38"/>
          <w:sz w:val="23"/>
        </w:rPr>
        <w:t> </w:t>
      </w:r>
      <w:r>
        <w:rPr>
          <w:sz w:val="23"/>
        </w:rPr>
        <w:t>Abubakar</w:t>
      </w:r>
      <w:r>
        <w:rPr>
          <w:spacing w:val="38"/>
          <w:sz w:val="23"/>
        </w:rPr>
        <w:t> </w:t>
      </w:r>
      <w:r>
        <w:rPr>
          <w:sz w:val="23"/>
        </w:rPr>
        <w:t>I,</w:t>
      </w:r>
      <w:r>
        <w:rPr>
          <w:spacing w:val="39"/>
          <w:sz w:val="23"/>
        </w:rPr>
        <w:t> </w:t>
      </w:r>
      <w:r>
        <w:rPr>
          <w:sz w:val="23"/>
        </w:rPr>
        <w:t>Alffenaar</w:t>
      </w:r>
      <w:r>
        <w:rPr>
          <w:spacing w:val="39"/>
          <w:sz w:val="23"/>
        </w:rPr>
        <w:t> </w:t>
      </w:r>
      <w:r>
        <w:rPr>
          <w:sz w:val="23"/>
        </w:rPr>
        <w:t>JWC,</w:t>
      </w:r>
      <w:r>
        <w:rPr>
          <w:spacing w:val="38"/>
          <w:sz w:val="23"/>
        </w:rPr>
        <w:t> </w:t>
      </w:r>
      <w:r>
        <w:rPr>
          <w:sz w:val="23"/>
        </w:rPr>
        <w:t>et</w:t>
      </w:r>
      <w:r>
        <w:rPr>
          <w:spacing w:val="38"/>
          <w:sz w:val="23"/>
        </w:rPr>
        <w:t> </w:t>
      </w:r>
      <w:r>
        <w:rPr>
          <w:sz w:val="23"/>
        </w:rPr>
        <w:t>al.</w:t>
      </w:r>
      <w:r>
        <w:rPr>
          <w:spacing w:val="39"/>
          <w:sz w:val="23"/>
        </w:rPr>
        <w:t> </w:t>
      </w:r>
      <w:r>
        <w:rPr>
          <w:sz w:val="23"/>
        </w:rPr>
        <w:t>Management</w:t>
      </w:r>
      <w:r>
        <w:rPr>
          <w:spacing w:val="38"/>
          <w:sz w:val="23"/>
        </w:rPr>
        <w:t> </w:t>
      </w:r>
      <w:r>
        <w:rPr>
          <w:sz w:val="23"/>
        </w:rPr>
        <w:t>of</w:t>
      </w:r>
      <w:r>
        <w:rPr>
          <w:spacing w:val="38"/>
          <w:sz w:val="23"/>
        </w:rPr>
        <w:t> </w:t>
      </w:r>
      <w:r>
        <w:rPr>
          <w:sz w:val="23"/>
        </w:rPr>
        <w:t>patients</w:t>
      </w:r>
      <w:r>
        <w:rPr>
          <w:spacing w:val="39"/>
          <w:sz w:val="23"/>
        </w:rPr>
        <w:t> </w:t>
      </w:r>
      <w:r>
        <w:rPr>
          <w:sz w:val="23"/>
        </w:rPr>
        <w:t>with</w:t>
      </w:r>
    </w:p>
    <w:p>
      <w:pPr>
        <w:spacing w:line="232" w:lineRule="auto" w:before="0"/>
        <w:ind w:left="1116" w:right="1354" w:firstLine="0"/>
        <w:jc w:val="left"/>
        <w:rPr>
          <w:sz w:val="23"/>
        </w:rPr>
      </w:pPr>
      <w:r>
        <w:rPr>
          <w:sz w:val="23"/>
        </w:rPr>
        <w:t>multidrug-resistant/extensively drug-resistant tuberculosis in Europe：a TBNET consensus statement. Eur Respir J.2014：44：23-63.</w:t>
      </w:r>
    </w:p>
    <w:p>
      <w:pPr>
        <w:pStyle w:val="ListParagraph"/>
        <w:numPr>
          <w:ilvl w:val="0"/>
          <w:numId w:val="180"/>
        </w:numPr>
        <w:tabs>
          <w:tab w:pos="1116" w:val="left" w:leader="none"/>
        </w:tabs>
        <w:spacing w:line="426" w:lineRule="exact" w:before="0" w:after="0"/>
        <w:ind w:left="1116" w:right="0" w:hanging="446"/>
        <w:jc w:val="left"/>
        <w:rPr>
          <w:sz w:val="26"/>
        </w:rPr>
      </w:pPr>
      <w:r>
        <w:rPr>
          <w:sz w:val="23"/>
        </w:rPr>
        <w:t>Lee</w:t>
      </w:r>
      <w:r>
        <w:rPr>
          <w:spacing w:val="21"/>
          <w:sz w:val="23"/>
        </w:rPr>
        <w:t> </w:t>
      </w:r>
      <w:r>
        <w:rPr>
          <w:sz w:val="23"/>
        </w:rPr>
        <w:t>H,</w:t>
      </w:r>
      <w:r>
        <w:rPr>
          <w:spacing w:val="21"/>
          <w:sz w:val="23"/>
        </w:rPr>
        <w:t> </w:t>
      </w:r>
      <w:r>
        <w:rPr>
          <w:sz w:val="23"/>
        </w:rPr>
        <w:t>Jeong</w:t>
      </w:r>
      <w:r>
        <w:rPr>
          <w:spacing w:val="21"/>
          <w:sz w:val="23"/>
        </w:rPr>
        <w:t> </w:t>
      </w:r>
      <w:r>
        <w:rPr>
          <w:sz w:val="23"/>
        </w:rPr>
        <w:t>BH,</w:t>
      </w:r>
      <w:r>
        <w:rPr>
          <w:spacing w:val="21"/>
          <w:sz w:val="23"/>
        </w:rPr>
        <w:t> </w:t>
      </w:r>
      <w:r>
        <w:rPr>
          <w:sz w:val="23"/>
        </w:rPr>
        <w:t>Park</w:t>
      </w:r>
      <w:r>
        <w:rPr>
          <w:spacing w:val="22"/>
          <w:sz w:val="23"/>
        </w:rPr>
        <w:t> </w:t>
      </w:r>
      <w:r>
        <w:rPr>
          <w:sz w:val="23"/>
        </w:rPr>
        <w:t>HY,</w:t>
      </w:r>
      <w:r>
        <w:rPr>
          <w:spacing w:val="21"/>
          <w:sz w:val="23"/>
        </w:rPr>
        <w:t> </w:t>
      </w:r>
      <w:r>
        <w:rPr>
          <w:sz w:val="23"/>
        </w:rPr>
        <w:t>et</w:t>
      </w:r>
      <w:r>
        <w:rPr>
          <w:spacing w:val="21"/>
          <w:sz w:val="23"/>
        </w:rPr>
        <w:t> </w:t>
      </w:r>
      <w:r>
        <w:rPr>
          <w:sz w:val="23"/>
        </w:rPr>
        <w:t>al.</w:t>
      </w:r>
      <w:r>
        <w:rPr>
          <w:spacing w:val="21"/>
          <w:sz w:val="23"/>
        </w:rPr>
        <w:t> </w:t>
      </w:r>
      <w:r>
        <w:rPr>
          <w:sz w:val="23"/>
        </w:rPr>
        <w:t>Treatment</w:t>
      </w:r>
      <w:r>
        <w:rPr>
          <w:spacing w:val="22"/>
          <w:sz w:val="23"/>
        </w:rPr>
        <w:t> </w:t>
      </w:r>
      <w:r>
        <w:rPr>
          <w:sz w:val="23"/>
        </w:rPr>
        <w:t>outcomes</w:t>
      </w:r>
      <w:r>
        <w:rPr>
          <w:spacing w:val="22"/>
          <w:sz w:val="23"/>
        </w:rPr>
        <w:t> </w:t>
      </w:r>
      <w:r>
        <w:rPr>
          <w:sz w:val="23"/>
        </w:rPr>
        <w:t>of</w:t>
      </w:r>
      <w:r>
        <w:rPr>
          <w:spacing w:val="21"/>
          <w:sz w:val="23"/>
        </w:rPr>
        <w:t> </w:t>
      </w:r>
      <w:r>
        <w:rPr>
          <w:sz w:val="23"/>
        </w:rPr>
        <w:t>fluoroquinolone-</w:t>
      </w:r>
    </w:p>
    <w:p>
      <w:pPr>
        <w:spacing w:after="0" w:line="426" w:lineRule="exact"/>
        <w:jc w:val="left"/>
        <w:rPr>
          <w:sz w:val="26"/>
        </w:rPr>
        <w:sectPr>
          <w:pgSz w:w="12250" w:h="17190"/>
          <w:pgMar w:header="0" w:footer="734" w:top="1460" w:bottom="1020" w:left="1020" w:right="0"/>
        </w:sectPr>
      </w:pPr>
    </w:p>
    <w:p>
      <w:pPr>
        <w:spacing w:line="232" w:lineRule="auto" w:before="24"/>
        <w:ind w:left="1115" w:right="1354" w:firstLine="0"/>
        <w:jc w:val="left"/>
        <w:rPr>
          <w:sz w:val="23"/>
        </w:rPr>
      </w:pPr>
      <w:r>
        <w:rPr>
          <w:sz w:val="23"/>
        </w:rPr>
        <w:t>containing regimens for isoniazid-resistant pulmonary tuberculosis. Antimicrob Agents Chemother. 2015 Nov 2. [Epub ahead of print]</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Lee</w:t>
      </w:r>
      <w:r>
        <w:rPr>
          <w:spacing w:val="8"/>
          <w:sz w:val="23"/>
        </w:rPr>
        <w:t> </w:t>
      </w:r>
      <w:r>
        <w:rPr>
          <w:sz w:val="23"/>
        </w:rPr>
        <w:t>J,</w:t>
      </w:r>
      <w:r>
        <w:rPr>
          <w:spacing w:val="10"/>
          <w:sz w:val="23"/>
        </w:rPr>
        <w:t> </w:t>
      </w:r>
      <w:r>
        <w:rPr>
          <w:sz w:val="23"/>
        </w:rPr>
        <w:t>Lee</w:t>
      </w:r>
      <w:r>
        <w:rPr>
          <w:spacing w:val="11"/>
          <w:sz w:val="23"/>
        </w:rPr>
        <w:t> </w:t>
      </w:r>
      <w:r>
        <w:rPr>
          <w:sz w:val="23"/>
        </w:rPr>
        <w:t>CH,</w:t>
      </w:r>
      <w:r>
        <w:rPr>
          <w:spacing w:val="10"/>
          <w:sz w:val="23"/>
        </w:rPr>
        <w:t> </w:t>
      </w:r>
      <w:r>
        <w:rPr>
          <w:sz w:val="23"/>
        </w:rPr>
        <w:t>Kim</w:t>
      </w:r>
      <w:r>
        <w:rPr>
          <w:spacing w:val="9"/>
          <w:sz w:val="23"/>
        </w:rPr>
        <w:t> </w:t>
      </w:r>
      <w:r>
        <w:rPr>
          <w:sz w:val="23"/>
        </w:rPr>
        <w:t>DK,</w:t>
      </w:r>
      <w:r>
        <w:rPr>
          <w:spacing w:val="11"/>
          <w:sz w:val="23"/>
        </w:rPr>
        <w:t> </w:t>
      </w:r>
      <w:r>
        <w:rPr>
          <w:sz w:val="23"/>
        </w:rPr>
        <w:t>et</w:t>
      </w:r>
      <w:r>
        <w:rPr>
          <w:spacing w:val="10"/>
          <w:sz w:val="23"/>
        </w:rPr>
        <w:t> </w:t>
      </w:r>
      <w:r>
        <w:rPr>
          <w:sz w:val="23"/>
        </w:rPr>
        <w:t>al.</w:t>
      </w:r>
      <w:r>
        <w:rPr>
          <w:spacing w:val="8"/>
          <w:sz w:val="23"/>
        </w:rPr>
        <w:t> </w:t>
      </w:r>
      <w:r>
        <w:rPr>
          <w:sz w:val="23"/>
        </w:rPr>
        <w:t>Retrospective</w:t>
      </w:r>
      <w:r>
        <w:rPr>
          <w:spacing w:val="9"/>
          <w:sz w:val="23"/>
        </w:rPr>
        <w:t> </w:t>
      </w:r>
      <w:r>
        <w:rPr>
          <w:sz w:val="23"/>
        </w:rPr>
        <w:t>comparison</w:t>
      </w:r>
      <w:r>
        <w:rPr>
          <w:spacing w:val="10"/>
          <w:sz w:val="23"/>
        </w:rPr>
        <w:t> </w:t>
      </w:r>
      <w:r>
        <w:rPr>
          <w:sz w:val="23"/>
        </w:rPr>
        <w:t>of</w:t>
      </w:r>
      <w:r>
        <w:rPr>
          <w:spacing w:val="10"/>
          <w:sz w:val="23"/>
        </w:rPr>
        <w:t> </w:t>
      </w:r>
      <w:r>
        <w:rPr>
          <w:sz w:val="23"/>
        </w:rPr>
        <w:t>levofloxacin</w:t>
      </w:r>
      <w:r>
        <w:rPr>
          <w:spacing w:val="11"/>
          <w:sz w:val="23"/>
        </w:rPr>
        <w:t> </w:t>
      </w:r>
      <w:r>
        <w:rPr>
          <w:sz w:val="23"/>
        </w:rPr>
        <w:t>and</w:t>
      </w:r>
    </w:p>
    <w:p>
      <w:pPr>
        <w:spacing w:line="230" w:lineRule="auto" w:before="0"/>
        <w:ind w:left="1116" w:right="1354" w:firstLine="0"/>
        <w:jc w:val="left"/>
        <w:rPr>
          <w:sz w:val="23"/>
        </w:rPr>
      </w:pPr>
      <w:r>
        <w:rPr>
          <w:sz w:val="23"/>
        </w:rPr>
        <w:t>moxifloxacin on multi-drug-resistant tuberculosis treatment outcomes. Korean J Int Med. 2011;26(2)：153-159.</w:t>
      </w:r>
    </w:p>
    <w:p>
      <w:pPr>
        <w:pStyle w:val="ListParagraph"/>
        <w:numPr>
          <w:ilvl w:val="0"/>
          <w:numId w:val="180"/>
        </w:numPr>
        <w:tabs>
          <w:tab w:pos="1116" w:val="left" w:leader="none"/>
        </w:tabs>
        <w:spacing w:line="417" w:lineRule="exact" w:before="0" w:after="0"/>
        <w:ind w:left="1116" w:right="0" w:hanging="446"/>
        <w:jc w:val="left"/>
        <w:rPr>
          <w:sz w:val="26"/>
        </w:rPr>
      </w:pPr>
      <w:r>
        <w:rPr>
          <w:sz w:val="23"/>
        </w:rPr>
        <w:t>Lee</w:t>
      </w:r>
      <w:r>
        <w:rPr>
          <w:spacing w:val="10"/>
          <w:sz w:val="23"/>
        </w:rPr>
        <w:t> </w:t>
      </w:r>
      <w:r>
        <w:rPr>
          <w:sz w:val="23"/>
        </w:rPr>
        <w:t>M,</w:t>
      </w:r>
      <w:r>
        <w:rPr>
          <w:spacing w:val="10"/>
          <w:sz w:val="23"/>
        </w:rPr>
        <w:t> </w:t>
      </w:r>
      <w:r>
        <w:rPr>
          <w:sz w:val="23"/>
        </w:rPr>
        <w:t>Lee</w:t>
      </w:r>
      <w:r>
        <w:rPr>
          <w:spacing w:val="10"/>
          <w:sz w:val="23"/>
        </w:rPr>
        <w:t> </w:t>
      </w:r>
      <w:r>
        <w:rPr>
          <w:sz w:val="23"/>
        </w:rPr>
        <w:t>J,</w:t>
      </w:r>
      <w:r>
        <w:rPr>
          <w:spacing w:val="10"/>
          <w:sz w:val="23"/>
        </w:rPr>
        <w:t> </w:t>
      </w:r>
      <w:r>
        <w:rPr>
          <w:sz w:val="23"/>
        </w:rPr>
        <w:t>Carroll</w:t>
      </w:r>
      <w:r>
        <w:rPr>
          <w:spacing w:val="10"/>
          <w:sz w:val="23"/>
        </w:rPr>
        <w:t> </w:t>
      </w:r>
      <w:r>
        <w:rPr>
          <w:sz w:val="23"/>
        </w:rPr>
        <w:t>MW,</w:t>
      </w:r>
      <w:r>
        <w:rPr>
          <w:spacing w:val="10"/>
          <w:sz w:val="23"/>
        </w:rPr>
        <w:t> </w:t>
      </w:r>
      <w:r>
        <w:rPr>
          <w:sz w:val="23"/>
        </w:rPr>
        <w:t>Choi</w:t>
      </w:r>
      <w:r>
        <w:rPr>
          <w:spacing w:val="9"/>
          <w:sz w:val="23"/>
        </w:rPr>
        <w:t> </w:t>
      </w:r>
      <w:r>
        <w:rPr>
          <w:sz w:val="23"/>
        </w:rPr>
        <w:t>H,</w:t>
      </w:r>
      <w:r>
        <w:rPr>
          <w:spacing w:val="11"/>
          <w:sz w:val="23"/>
        </w:rPr>
        <w:t> </w:t>
      </w:r>
      <w:r>
        <w:rPr>
          <w:sz w:val="23"/>
        </w:rPr>
        <w:t>Min</w:t>
      </w:r>
      <w:r>
        <w:rPr>
          <w:spacing w:val="10"/>
          <w:sz w:val="23"/>
        </w:rPr>
        <w:t> </w:t>
      </w:r>
      <w:r>
        <w:rPr>
          <w:sz w:val="23"/>
        </w:rPr>
        <w:t>S,</w:t>
      </w:r>
      <w:r>
        <w:rPr>
          <w:spacing w:val="9"/>
          <w:sz w:val="23"/>
        </w:rPr>
        <w:t> </w:t>
      </w:r>
      <w:r>
        <w:rPr>
          <w:sz w:val="23"/>
        </w:rPr>
        <w:t>Song</w:t>
      </w:r>
      <w:r>
        <w:rPr>
          <w:spacing w:val="10"/>
          <w:sz w:val="23"/>
        </w:rPr>
        <w:t> </w:t>
      </w:r>
      <w:r>
        <w:rPr>
          <w:sz w:val="23"/>
        </w:rPr>
        <w:t>T,</w:t>
      </w:r>
      <w:r>
        <w:rPr>
          <w:spacing w:val="10"/>
          <w:sz w:val="23"/>
        </w:rPr>
        <w:t> </w:t>
      </w:r>
      <w:r>
        <w:rPr>
          <w:sz w:val="23"/>
        </w:rPr>
        <w:t>et</w:t>
      </w:r>
      <w:r>
        <w:rPr>
          <w:spacing w:val="10"/>
          <w:sz w:val="23"/>
        </w:rPr>
        <w:t> </w:t>
      </w:r>
      <w:r>
        <w:rPr>
          <w:sz w:val="23"/>
        </w:rPr>
        <w:t>al.</w:t>
      </w:r>
      <w:r>
        <w:rPr>
          <w:spacing w:val="11"/>
          <w:sz w:val="23"/>
        </w:rPr>
        <w:t> </w:t>
      </w:r>
      <w:r>
        <w:rPr>
          <w:sz w:val="23"/>
        </w:rPr>
        <w:t>Linezolid</w:t>
      </w:r>
      <w:r>
        <w:rPr>
          <w:spacing w:val="10"/>
          <w:sz w:val="23"/>
        </w:rPr>
        <w:t> </w:t>
      </w:r>
      <w:r>
        <w:rPr>
          <w:sz w:val="23"/>
        </w:rPr>
        <w:t>for</w:t>
      </w:r>
      <w:r>
        <w:rPr>
          <w:spacing w:val="9"/>
          <w:sz w:val="23"/>
        </w:rPr>
        <w:t> </w:t>
      </w:r>
      <w:r>
        <w:rPr>
          <w:sz w:val="23"/>
        </w:rPr>
        <w:t>Treatment</w:t>
      </w:r>
      <w:r>
        <w:rPr>
          <w:spacing w:val="10"/>
          <w:sz w:val="23"/>
        </w:rPr>
        <w:t> </w:t>
      </w:r>
      <w:r>
        <w:rPr>
          <w:sz w:val="23"/>
        </w:rPr>
        <w:t>of</w:t>
      </w:r>
    </w:p>
    <w:p>
      <w:pPr>
        <w:spacing w:line="232" w:lineRule="auto" w:before="0"/>
        <w:ind w:left="1116" w:right="1354" w:firstLine="0"/>
        <w:jc w:val="left"/>
        <w:rPr>
          <w:sz w:val="23"/>
        </w:rPr>
      </w:pPr>
      <w:r>
        <w:rPr>
          <w:sz w:val="23"/>
        </w:rPr>
        <w:t>Chronic Extensively Drug-Resistant Tuberculosis. N Engl J Med. 2012;367(16)： 1508–18.</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Marks SM, Flood J, Seaworth B, et al. Treatment practices, outcomes, and costs</w:t>
      </w:r>
      <w:r>
        <w:rPr>
          <w:spacing w:val="-30"/>
          <w:sz w:val="23"/>
        </w:rPr>
        <w:t> </w:t>
      </w:r>
      <w:r>
        <w:rPr>
          <w:sz w:val="23"/>
        </w:rPr>
        <w:t>of</w:t>
      </w:r>
    </w:p>
    <w:p>
      <w:pPr>
        <w:spacing w:line="230" w:lineRule="auto" w:before="0"/>
        <w:ind w:left="1115" w:right="1360" w:firstLine="0"/>
        <w:jc w:val="left"/>
        <w:rPr>
          <w:sz w:val="23"/>
        </w:rPr>
      </w:pPr>
      <w:r>
        <w:rPr>
          <w:sz w:val="23"/>
        </w:rPr>
        <w:t>multidrug-resistant tuberculosis, United States, 2005-2007. Emerg Infect Dis. 2014;20：812-820.</w:t>
      </w:r>
    </w:p>
    <w:p>
      <w:pPr>
        <w:pStyle w:val="ListParagraph"/>
        <w:numPr>
          <w:ilvl w:val="0"/>
          <w:numId w:val="180"/>
        </w:numPr>
        <w:tabs>
          <w:tab w:pos="1116" w:val="left" w:leader="none"/>
        </w:tabs>
        <w:spacing w:line="417" w:lineRule="exact" w:before="0" w:after="0"/>
        <w:ind w:left="1116" w:right="0" w:hanging="446"/>
        <w:jc w:val="left"/>
        <w:rPr>
          <w:sz w:val="26"/>
        </w:rPr>
      </w:pPr>
      <w:r>
        <w:rPr>
          <w:sz w:val="23"/>
        </w:rPr>
        <w:t>Merle</w:t>
      </w:r>
      <w:r>
        <w:rPr>
          <w:spacing w:val="-9"/>
          <w:sz w:val="23"/>
        </w:rPr>
        <w:t> </w:t>
      </w:r>
      <w:r>
        <w:rPr>
          <w:sz w:val="23"/>
        </w:rPr>
        <w:t>CS,</w:t>
      </w:r>
      <w:r>
        <w:rPr>
          <w:spacing w:val="-9"/>
          <w:sz w:val="23"/>
        </w:rPr>
        <w:t> </w:t>
      </w:r>
      <w:r>
        <w:rPr>
          <w:sz w:val="23"/>
        </w:rPr>
        <w:t>Fielding</w:t>
      </w:r>
      <w:r>
        <w:rPr>
          <w:spacing w:val="-9"/>
          <w:sz w:val="23"/>
        </w:rPr>
        <w:t> </w:t>
      </w:r>
      <w:r>
        <w:rPr>
          <w:sz w:val="23"/>
        </w:rPr>
        <w:t>K,</w:t>
      </w:r>
      <w:r>
        <w:rPr>
          <w:spacing w:val="-9"/>
          <w:sz w:val="23"/>
        </w:rPr>
        <w:t> </w:t>
      </w:r>
      <w:r>
        <w:rPr>
          <w:sz w:val="23"/>
        </w:rPr>
        <w:t>Sow</w:t>
      </w:r>
      <w:r>
        <w:rPr>
          <w:spacing w:val="-9"/>
          <w:sz w:val="23"/>
        </w:rPr>
        <w:t> </w:t>
      </w:r>
      <w:r>
        <w:rPr>
          <w:sz w:val="23"/>
        </w:rPr>
        <w:t>OB,</w:t>
      </w:r>
      <w:r>
        <w:rPr>
          <w:spacing w:val="-10"/>
          <w:sz w:val="23"/>
        </w:rPr>
        <w:t> </w:t>
      </w:r>
      <w:r>
        <w:rPr>
          <w:sz w:val="23"/>
        </w:rPr>
        <w:t>Gninafon</w:t>
      </w:r>
      <w:r>
        <w:rPr>
          <w:spacing w:val="-8"/>
          <w:sz w:val="23"/>
        </w:rPr>
        <w:t> </w:t>
      </w:r>
      <w:r>
        <w:rPr>
          <w:sz w:val="23"/>
        </w:rPr>
        <w:t>M,</w:t>
      </w:r>
      <w:r>
        <w:rPr>
          <w:spacing w:val="-8"/>
          <w:sz w:val="23"/>
        </w:rPr>
        <w:t> </w:t>
      </w:r>
      <w:r>
        <w:rPr>
          <w:sz w:val="23"/>
        </w:rPr>
        <w:t>Lo</w:t>
      </w:r>
      <w:r>
        <w:rPr>
          <w:spacing w:val="-9"/>
          <w:sz w:val="23"/>
        </w:rPr>
        <w:t> </w:t>
      </w:r>
      <w:r>
        <w:rPr>
          <w:sz w:val="23"/>
        </w:rPr>
        <w:t>MB,</w:t>
      </w:r>
      <w:r>
        <w:rPr>
          <w:spacing w:val="-8"/>
          <w:sz w:val="23"/>
        </w:rPr>
        <w:t> </w:t>
      </w:r>
      <w:r>
        <w:rPr>
          <w:sz w:val="23"/>
        </w:rPr>
        <w:t>Mthiyane</w:t>
      </w:r>
      <w:r>
        <w:rPr>
          <w:spacing w:val="-9"/>
          <w:sz w:val="23"/>
        </w:rPr>
        <w:t> </w:t>
      </w:r>
      <w:r>
        <w:rPr>
          <w:sz w:val="23"/>
        </w:rPr>
        <w:t>T,</w:t>
      </w:r>
      <w:r>
        <w:rPr>
          <w:spacing w:val="-9"/>
          <w:sz w:val="23"/>
        </w:rPr>
        <w:t> </w:t>
      </w:r>
      <w:r>
        <w:rPr>
          <w:sz w:val="23"/>
        </w:rPr>
        <w:t>et</w:t>
      </w:r>
      <w:r>
        <w:rPr>
          <w:spacing w:val="-9"/>
          <w:sz w:val="23"/>
        </w:rPr>
        <w:t> </w:t>
      </w:r>
      <w:r>
        <w:rPr>
          <w:sz w:val="23"/>
        </w:rPr>
        <w:t>al.</w:t>
      </w:r>
      <w:r>
        <w:rPr>
          <w:spacing w:val="-9"/>
          <w:sz w:val="23"/>
        </w:rPr>
        <w:t> </w:t>
      </w:r>
      <w:r>
        <w:rPr>
          <w:sz w:val="23"/>
        </w:rPr>
        <w:t>A</w:t>
      </w:r>
      <w:r>
        <w:rPr>
          <w:spacing w:val="-10"/>
          <w:sz w:val="23"/>
        </w:rPr>
        <w:t> </w:t>
      </w:r>
      <w:r>
        <w:rPr>
          <w:sz w:val="23"/>
        </w:rPr>
        <w:t>Four-Month</w:t>
      </w:r>
    </w:p>
    <w:p>
      <w:pPr>
        <w:spacing w:line="232" w:lineRule="auto" w:before="0"/>
        <w:ind w:left="1115" w:right="1354" w:firstLine="0"/>
        <w:jc w:val="left"/>
        <w:rPr>
          <w:sz w:val="23"/>
        </w:rPr>
      </w:pPr>
      <w:r>
        <w:rPr>
          <w:sz w:val="23"/>
        </w:rPr>
        <w:t>Gatifloxacin-Containing Regimen for Treating Tuberculosis. N Engl J Med. 2014 Oct 23;371(17)：1588–98.</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Miglioro GB, Sotgiu G, Gandhi NR, et al. Drug resistance beyond</w:t>
      </w:r>
      <w:r>
        <w:rPr>
          <w:spacing w:val="-2"/>
          <w:sz w:val="23"/>
        </w:rPr>
        <w:t> </w:t>
      </w:r>
      <w:r>
        <w:rPr>
          <w:sz w:val="23"/>
        </w:rPr>
        <w:t>extensively</w:t>
      </w:r>
    </w:p>
    <w:p>
      <w:pPr>
        <w:spacing w:line="230" w:lineRule="auto" w:before="0"/>
        <w:ind w:left="1116" w:right="1359" w:hanging="1"/>
        <w:jc w:val="left"/>
        <w:rPr>
          <w:sz w:val="23"/>
        </w:rPr>
      </w:pPr>
      <w:r>
        <w:rPr>
          <w:sz w:val="23"/>
        </w:rPr>
        <w:t>drug-resistant tuberculosis： individual patient data meta-analysis. Eur Respir J. 2013：42：169-179.</w:t>
      </w:r>
    </w:p>
    <w:p>
      <w:pPr>
        <w:pStyle w:val="ListParagraph"/>
        <w:numPr>
          <w:ilvl w:val="0"/>
          <w:numId w:val="180"/>
        </w:numPr>
        <w:tabs>
          <w:tab w:pos="1116" w:val="left" w:leader="none"/>
        </w:tabs>
        <w:spacing w:line="417" w:lineRule="exact" w:before="0" w:after="0"/>
        <w:ind w:left="1116" w:right="0" w:hanging="446"/>
        <w:jc w:val="left"/>
        <w:rPr>
          <w:color w:val="FF0000"/>
          <w:sz w:val="26"/>
        </w:rPr>
      </w:pPr>
      <w:r>
        <w:rPr>
          <w:color w:val="FF0000"/>
          <w:sz w:val="23"/>
        </w:rPr>
        <w:t>Yu</w:t>
      </w:r>
      <w:r>
        <w:rPr>
          <w:color w:val="FF0000"/>
          <w:spacing w:val="13"/>
          <w:sz w:val="23"/>
        </w:rPr>
        <w:t> </w:t>
      </w:r>
      <w:r>
        <w:rPr>
          <w:color w:val="FF0000"/>
          <w:sz w:val="23"/>
        </w:rPr>
        <w:t>M-C,</w:t>
      </w:r>
      <w:r>
        <w:rPr>
          <w:color w:val="FF0000"/>
          <w:spacing w:val="13"/>
          <w:sz w:val="23"/>
        </w:rPr>
        <w:t> </w:t>
      </w:r>
      <w:r>
        <w:rPr>
          <w:color w:val="FF0000"/>
          <w:sz w:val="23"/>
        </w:rPr>
        <w:t>Chiang</w:t>
      </w:r>
      <w:r>
        <w:rPr>
          <w:color w:val="FF0000"/>
          <w:spacing w:val="13"/>
          <w:sz w:val="23"/>
        </w:rPr>
        <w:t> </w:t>
      </w:r>
      <w:r>
        <w:rPr>
          <w:color w:val="FF0000"/>
          <w:sz w:val="23"/>
        </w:rPr>
        <w:t>C-Y,</w:t>
      </w:r>
      <w:r>
        <w:rPr>
          <w:color w:val="FF0000"/>
          <w:spacing w:val="12"/>
          <w:sz w:val="23"/>
        </w:rPr>
        <w:t> </w:t>
      </w:r>
      <w:r>
        <w:rPr>
          <w:color w:val="FF0000"/>
          <w:sz w:val="23"/>
        </w:rPr>
        <w:t>Lee</w:t>
      </w:r>
      <w:r>
        <w:rPr>
          <w:color w:val="FF0000"/>
          <w:spacing w:val="12"/>
          <w:sz w:val="23"/>
        </w:rPr>
        <w:t> </w:t>
      </w:r>
      <w:r>
        <w:rPr>
          <w:color w:val="FF0000"/>
          <w:sz w:val="23"/>
        </w:rPr>
        <w:t>J-J</w:t>
      </w:r>
      <w:r>
        <w:rPr>
          <w:color w:val="FF0000"/>
          <w:spacing w:val="16"/>
          <w:sz w:val="23"/>
        </w:rPr>
        <w:t> </w:t>
      </w:r>
      <w:r>
        <w:rPr>
          <w:color w:val="FF0000"/>
          <w:sz w:val="23"/>
        </w:rPr>
        <w:t>Lee,</w:t>
      </w:r>
      <w:r>
        <w:rPr>
          <w:color w:val="FF0000"/>
          <w:spacing w:val="14"/>
          <w:sz w:val="23"/>
        </w:rPr>
        <w:t> </w:t>
      </w:r>
      <w:r>
        <w:rPr>
          <w:color w:val="FF0000"/>
          <w:sz w:val="23"/>
        </w:rPr>
        <w:t>Chien</w:t>
      </w:r>
      <w:r>
        <w:rPr>
          <w:color w:val="FF0000"/>
          <w:spacing w:val="13"/>
          <w:sz w:val="23"/>
        </w:rPr>
        <w:t> </w:t>
      </w:r>
      <w:r>
        <w:rPr>
          <w:color w:val="FF0000"/>
          <w:sz w:val="23"/>
        </w:rPr>
        <w:t>S-T,</w:t>
      </w:r>
      <w:r>
        <w:rPr>
          <w:color w:val="FF0000"/>
          <w:spacing w:val="14"/>
          <w:sz w:val="23"/>
        </w:rPr>
        <w:t> </w:t>
      </w:r>
      <w:r>
        <w:rPr>
          <w:color w:val="FF0000"/>
          <w:sz w:val="23"/>
        </w:rPr>
        <w:t>Lin</w:t>
      </w:r>
      <w:r>
        <w:rPr>
          <w:color w:val="FF0000"/>
          <w:spacing w:val="13"/>
          <w:sz w:val="23"/>
        </w:rPr>
        <w:t> </w:t>
      </w:r>
      <w:r>
        <w:rPr>
          <w:color w:val="FF0000"/>
          <w:sz w:val="23"/>
        </w:rPr>
        <w:t>C-J,</w:t>
      </w:r>
      <w:r>
        <w:rPr>
          <w:color w:val="FF0000"/>
          <w:spacing w:val="12"/>
          <w:sz w:val="23"/>
        </w:rPr>
        <w:t> </w:t>
      </w:r>
      <w:r>
        <w:rPr>
          <w:color w:val="FF0000"/>
          <w:sz w:val="23"/>
        </w:rPr>
        <w:t>Lee</w:t>
      </w:r>
      <w:r>
        <w:rPr>
          <w:color w:val="FF0000"/>
          <w:spacing w:val="12"/>
          <w:sz w:val="23"/>
        </w:rPr>
        <w:t> </w:t>
      </w:r>
      <w:r>
        <w:rPr>
          <w:color w:val="FF0000"/>
          <w:sz w:val="23"/>
        </w:rPr>
        <w:t>S-W,</w:t>
      </w:r>
      <w:r>
        <w:rPr>
          <w:color w:val="FF0000"/>
          <w:spacing w:val="12"/>
          <w:sz w:val="23"/>
        </w:rPr>
        <w:t> </w:t>
      </w:r>
      <w:r>
        <w:rPr>
          <w:color w:val="FF0000"/>
          <w:sz w:val="23"/>
        </w:rPr>
        <w:t>Lin</w:t>
      </w:r>
      <w:r>
        <w:rPr>
          <w:color w:val="FF0000"/>
          <w:spacing w:val="15"/>
          <w:sz w:val="23"/>
        </w:rPr>
        <w:t> </w:t>
      </w:r>
      <w:r>
        <w:rPr>
          <w:color w:val="FF0000"/>
          <w:sz w:val="23"/>
        </w:rPr>
        <w:t>C-B,</w:t>
      </w:r>
      <w:r>
        <w:rPr>
          <w:color w:val="FF0000"/>
          <w:spacing w:val="13"/>
          <w:sz w:val="23"/>
        </w:rPr>
        <w:t> </w:t>
      </w:r>
      <w:r>
        <w:rPr>
          <w:color w:val="FF0000"/>
          <w:sz w:val="23"/>
        </w:rPr>
        <w:t>Yang</w:t>
      </w:r>
      <w:r>
        <w:rPr>
          <w:color w:val="FF0000"/>
          <w:spacing w:val="13"/>
          <w:sz w:val="23"/>
        </w:rPr>
        <w:t> </w:t>
      </w:r>
      <w:r>
        <w:rPr>
          <w:color w:val="FF0000"/>
          <w:sz w:val="23"/>
        </w:rPr>
        <w:t>W-T,</w:t>
      </w:r>
    </w:p>
    <w:p>
      <w:pPr>
        <w:spacing w:line="232" w:lineRule="auto" w:before="0"/>
        <w:ind w:left="1115" w:right="1361" w:firstLine="0"/>
        <w:jc w:val="both"/>
        <w:rPr>
          <w:sz w:val="23"/>
        </w:rPr>
      </w:pPr>
      <w:r>
        <w:rPr>
          <w:color w:val="FF0000"/>
          <w:sz w:val="23"/>
        </w:rPr>
        <w:t>Wu Y-H, Huang Y-W. Treatment outcomes of multidrug-resistant tuberculosis in Taiwan: tackling loss to follow-up. Clin Infect Dis.</w:t>
      </w:r>
      <w:r>
        <w:rPr>
          <w:color w:val="FF0000"/>
          <w:spacing w:val="52"/>
          <w:sz w:val="23"/>
        </w:rPr>
        <w:t> </w:t>
      </w:r>
      <w:r>
        <w:rPr>
          <w:color w:val="FF0000"/>
          <w:sz w:val="23"/>
        </w:rPr>
        <w:t>2018;67(2):202-210</w:t>
      </w:r>
    </w:p>
    <w:p>
      <w:pPr>
        <w:pStyle w:val="ListParagraph"/>
        <w:numPr>
          <w:ilvl w:val="0"/>
          <w:numId w:val="180"/>
        </w:numPr>
        <w:tabs>
          <w:tab w:pos="1116" w:val="left" w:leader="none"/>
        </w:tabs>
        <w:spacing w:line="412" w:lineRule="exact" w:before="0" w:after="0"/>
        <w:ind w:left="1116" w:right="0" w:hanging="446"/>
        <w:jc w:val="both"/>
        <w:rPr>
          <w:sz w:val="26"/>
        </w:rPr>
      </w:pPr>
      <w:r>
        <w:rPr>
          <w:sz w:val="23"/>
        </w:rPr>
        <w:t>Nahid</w:t>
      </w:r>
      <w:r>
        <w:rPr>
          <w:spacing w:val="-7"/>
          <w:sz w:val="23"/>
        </w:rPr>
        <w:t> </w:t>
      </w:r>
      <w:r>
        <w:rPr>
          <w:sz w:val="23"/>
        </w:rPr>
        <w:t>P,</w:t>
      </w:r>
      <w:r>
        <w:rPr>
          <w:spacing w:val="-8"/>
          <w:sz w:val="23"/>
        </w:rPr>
        <w:t> </w:t>
      </w:r>
      <w:r>
        <w:rPr>
          <w:sz w:val="23"/>
        </w:rPr>
        <w:t>Mase</w:t>
      </w:r>
      <w:r>
        <w:rPr>
          <w:spacing w:val="-8"/>
          <w:sz w:val="23"/>
        </w:rPr>
        <w:t> </w:t>
      </w:r>
      <w:r>
        <w:rPr>
          <w:sz w:val="23"/>
        </w:rPr>
        <w:t>SR,</w:t>
      </w:r>
      <w:r>
        <w:rPr>
          <w:spacing w:val="-8"/>
          <w:sz w:val="23"/>
        </w:rPr>
        <w:t> </w:t>
      </w:r>
      <w:r>
        <w:rPr>
          <w:sz w:val="23"/>
        </w:rPr>
        <w:t>Migliori</w:t>
      </w:r>
      <w:r>
        <w:rPr>
          <w:spacing w:val="-8"/>
          <w:sz w:val="23"/>
        </w:rPr>
        <w:t> </w:t>
      </w:r>
      <w:r>
        <w:rPr>
          <w:sz w:val="23"/>
        </w:rPr>
        <w:t>GB,</w:t>
      </w:r>
      <w:r>
        <w:rPr>
          <w:spacing w:val="-8"/>
          <w:sz w:val="23"/>
        </w:rPr>
        <w:t> </w:t>
      </w:r>
      <w:r>
        <w:rPr>
          <w:sz w:val="23"/>
        </w:rPr>
        <w:t>Sotgiu</w:t>
      </w:r>
      <w:r>
        <w:rPr>
          <w:spacing w:val="-9"/>
          <w:sz w:val="23"/>
        </w:rPr>
        <w:t> </w:t>
      </w:r>
      <w:r>
        <w:rPr>
          <w:sz w:val="23"/>
        </w:rPr>
        <w:t>G,</w:t>
      </w:r>
      <w:r>
        <w:rPr>
          <w:spacing w:val="-9"/>
          <w:sz w:val="23"/>
        </w:rPr>
        <w:t> </w:t>
      </w:r>
      <w:r>
        <w:rPr>
          <w:sz w:val="23"/>
        </w:rPr>
        <w:t>Bothamley</w:t>
      </w:r>
      <w:r>
        <w:rPr>
          <w:spacing w:val="-7"/>
          <w:sz w:val="23"/>
        </w:rPr>
        <w:t> </w:t>
      </w:r>
      <w:r>
        <w:rPr>
          <w:sz w:val="23"/>
        </w:rPr>
        <w:t>GH,</w:t>
      </w:r>
      <w:r>
        <w:rPr>
          <w:spacing w:val="-7"/>
          <w:sz w:val="23"/>
        </w:rPr>
        <w:t> </w:t>
      </w:r>
      <w:r>
        <w:rPr>
          <w:sz w:val="23"/>
        </w:rPr>
        <w:t>Brozek</w:t>
      </w:r>
      <w:r>
        <w:rPr>
          <w:spacing w:val="-8"/>
          <w:sz w:val="23"/>
        </w:rPr>
        <w:t> </w:t>
      </w:r>
      <w:r>
        <w:rPr>
          <w:sz w:val="23"/>
        </w:rPr>
        <w:t>JL,</w:t>
      </w:r>
      <w:r>
        <w:rPr>
          <w:spacing w:val="-7"/>
          <w:sz w:val="23"/>
        </w:rPr>
        <w:t> </w:t>
      </w:r>
      <w:r>
        <w:rPr>
          <w:sz w:val="23"/>
        </w:rPr>
        <w:t>et</w:t>
      </w:r>
      <w:r>
        <w:rPr>
          <w:spacing w:val="-8"/>
          <w:sz w:val="23"/>
        </w:rPr>
        <w:t> </w:t>
      </w:r>
      <w:r>
        <w:rPr>
          <w:sz w:val="23"/>
        </w:rPr>
        <w:t>al.</w:t>
      </w:r>
      <w:r>
        <w:rPr>
          <w:spacing w:val="-8"/>
          <w:sz w:val="23"/>
        </w:rPr>
        <w:t> </w:t>
      </w:r>
      <w:r>
        <w:rPr>
          <w:sz w:val="23"/>
        </w:rPr>
        <w:t>treatment</w:t>
      </w:r>
    </w:p>
    <w:p>
      <w:pPr>
        <w:spacing w:line="232" w:lineRule="auto" w:before="0"/>
        <w:ind w:left="1115" w:right="1359" w:firstLine="0"/>
        <w:jc w:val="both"/>
        <w:rPr>
          <w:sz w:val="23"/>
        </w:rPr>
      </w:pPr>
      <w:r>
        <w:rPr>
          <w:sz w:val="23"/>
        </w:rPr>
        <w:t>of drug-resistant tuberculosis. An official ATS/CDC/ERS/IDSA clinical practice guideline. Am J of Respi Crit Care Med 2019;200(November (10)): e93-e142, doi: 10.1164/rccm.201909-1874ST.</w:t>
      </w:r>
    </w:p>
    <w:p>
      <w:pPr>
        <w:pStyle w:val="ListParagraph"/>
        <w:numPr>
          <w:ilvl w:val="0"/>
          <w:numId w:val="180"/>
        </w:numPr>
        <w:tabs>
          <w:tab w:pos="1116" w:val="left" w:leader="none"/>
        </w:tabs>
        <w:spacing w:line="410" w:lineRule="exact" w:before="0" w:after="0"/>
        <w:ind w:left="1116" w:right="0" w:hanging="446"/>
        <w:jc w:val="both"/>
        <w:rPr>
          <w:sz w:val="26"/>
        </w:rPr>
      </w:pPr>
      <w:r>
        <w:rPr>
          <w:sz w:val="23"/>
        </w:rPr>
        <w:t>Nimmo</w:t>
      </w:r>
      <w:r>
        <w:rPr>
          <w:spacing w:val="18"/>
          <w:sz w:val="23"/>
        </w:rPr>
        <w:t> </w:t>
      </w:r>
      <w:r>
        <w:rPr>
          <w:sz w:val="23"/>
        </w:rPr>
        <w:t>C,</w:t>
      </w:r>
      <w:r>
        <w:rPr>
          <w:spacing w:val="17"/>
          <w:sz w:val="23"/>
        </w:rPr>
        <w:t> </w:t>
      </w:r>
      <w:r>
        <w:rPr>
          <w:sz w:val="23"/>
        </w:rPr>
        <w:t>Millard</w:t>
      </w:r>
      <w:r>
        <w:rPr>
          <w:spacing w:val="18"/>
          <w:sz w:val="23"/>
        </w:rPr>
        <w:t> </w:t>
      </w:r>
      <w:r>
        <w:rPr>
          <w:sz w:val="23"/>
        </w:rPr>
        <w:t>J,</w:t>
      </w:r>
      <w:r>
        <w:rPr>
          <w:spacing w:val="17"/>
          <w:sz w:val="23"/>
        </w:rPr>
        <w:t> </w:t>
      </w:r>
      <w:r>
        <w:rPr>
          <w:sz w:val="23"/>
        </w:rPr>
        <w:t>Brien</w:t>
      </w:r>
      <w:r>
        <w:rPr>
          <w:spacing w:val="19"/>
          <w:sz w:val="23"/>
        </w:rPr>
        <w:t> </w:t>
      </w:r>
      <w:r>
        <w:rPr>
          <w:sz w:val="23"/>
        </w:rPr>
        <w:t>K,</w:t>
      </w:r>
      <w:r>
        <w:rPr>
          <w:spacing w:val="15"/>
          <w:sz w:val="23"/>
        </w:rPr>
        <w:t> </w:t>
      </w:r>
      <w:r>
        <w:rPr>
          <w:sz w:val="23"/>
        </w:rPr>
        <w:t>et</w:t>
      </w:r>
      <w:r>
        <w:rPr>
          <w:spacing w:val="18"/>
          <w:sz w:val="23"/>
        </w:rPr>
        <w:t> </w:t>
      </w:r>
      <w:r>
        <w:rPr>
          <w:sz w:val="23"/>
        </w:rPr>
        <w:t>al.</w:t>
      </w:r>
      <w:r>
        <w:rPr>
          <w:spacing w:val="17"/>
          <w:sz w:val="23"/>
        </w:rPr>
        <w:t> </w:t>
      </w:r>
      <w:r>
        <w:rPr>
          <w:sz w:val="23"/>
        </w:rPr>
        <w:t>Bedaquiline</w:t>
      </w:r>
      <w:r>
        <w:rPr>
          <w:spacing w:val="19"/>
          <w:sz w:val="23"/>
        </w:rPr>
        <w:t> </w:t>
      </w:r>
      <w:r>
        <w:rPr>
          <w:sz w:val="23"/>
        </w:rPr>
        <w:t>resistance</w:t>
      </w:r>
      <w:r>
        <w:rPr>
          <w:spacing w:val="17"/>
          <w:sz w:val="23"/>
        </w:rPr>
        <w:t> </w:t>
      </w:r>
      <w:r>
        <w:rPr>
          <w:sz w:val="23"/>
        </w:rPr>
        <w:t>in</w:t>
      </w:r>
      <w:r>
        <w:rPr>
          <w:spacing w:val="17"/>
          <w:sz w:val="23"/>
        </w:rPr>
        <w:t> </w:t>
      </w:r>
      <w:r>
        <w:rPr>
          <w:sz w:val="23"/>
        </w:rPr>
        <w:t>drug-resistant</w:t>
      </w:r>
    </w:p>
    <w:p>
      <w:pPr>
        <w:spacing w:line="382" w:lineRule="exact" w:before="0"/>
        <w:ind w:left="1116" w:right="0" w:firstLine="0"/>
        <w:jc w:val="both"/>
        <w:rPr>
          <w:sz w:val="23"/>
        </w:rPr>
      </w:pPr>
      <w:r>
        <w:rPr>
          <w:sz w:val="23"/>
        </w:rPr>
        <w:t>tuberculosis HIV co-infected patients. Eur Respir J 2020; 55: 1902383</w:t>
      </w:r>
    </w:p>
    <w:p>
      <w:pPr>
        <w:pStyle w:val="ListParagraph"/>
        <w:numPr>
          <w:ilvl w:val="0"/>
          <w:numId w:val="180"/>
        </w:numPr>
        <w:tabs>
          <w:tab w:pos="1116" w:val="left" w:leader="none"/>
        </w:tabs>
        <w:spacing w:line="218" w:lineRule="auto" w:before="0" w:after="0"/>
        <w:ind w:left="1115" w:right="1360" w:hanging="446"/>
        <w:jc w:val="both"/>
        <w:rPr>
          <w:sz w:val="26"/>
        </w:rPr>
      </w:pPr>
      <w:r>
        <w:rPr>
          <w:sz w:val="23"/>
        </w:rPr>
        <w:t>Nunn AJ, Phillips PPJ, Meredith SK, et al. A trial of a shorter regimen for rifampin- resistant tuberculosis. </w:t>
      </w:r>
      <w:r>
        <w:rPr>
          <w:i/>
          <w:sz w:val="24"/>
        </w:rPr>
        <w:t>N Engl J Med.</w:t>
      </w:r>
      <w:r>
        <w:rPr>
          <w:i/>
          <w:spacing w:val="11"/>
          <w:sz w:val="24"/>
        </w:rPr>
        <w:t> </w:t>
      </w:r>
      <w:r>
        <w:rPr>
          <w:sz w:val="23"/>
        </w:rPr>
        <w:t>2019;380:1201-1213.</w:t>
      </w:r>
    </w:p>
    <w:p>
      <w:pPr>
        <w:pStyle w:val="ListParagraph"/>
        <w:numPr>
          <w:ilvl w:val="0"/>
          <w:numId w:val="180"/>
        </w:numPr>
        <w:tabs>
          <w:tab w:pos="1116" w:val="left" w:leader="none"/>
        </w:tabs>
        <w:spacing w:line="413" w:lineRule="exact" w:before="0" w:after="0"/>
        <w:ind w:left="1116" w:right="0" w:hanging="446"/>
        <w:jc w:val="both"/>
        <w:rPr>
          <w:sz w:val="26"/>
        </w:rPr>
      </w:pPr>
      <w:r>
        <w:rPr>
          <w:sz w:val="23"/>
        </w:rPr>
        <w:t>Padayatchi</w:t>
      </w:r>
      <w:r>
        <w:rPr>
          <w:spacing w:val="31"/>
          <w:sz w:val="23"/>
        </w:rPr>
        <w:t> </w:t>
      </w:r>
      <w:r>
        <w:rPr>
          <w:sz w:val="23"/>
        </w:rPr>
        <w:t>N,</w:t>
      </w:r>
      <w:r>
        <w:rPr>
          <w:spacing w:val="32"/>
          <w:sz w:val="23"/>
        </w:rPr>
        <w:t> </w:t>
      </w:r>
      <w:r>
        <w:rPr>
          <w:sz w:val="23"/>
        </w:rPr>
        <w:t>Gopal</w:t>
      </w:r>
      <w:r>
        <w:rPr>
          <w:spacing w:val="32"/>
          <w:sz w:val="23"/>
        </w:rPr>
        <w:t> </w:t>
      </w:r>
      <w:r>
        <w:rPr>
          <w:sz w:val="23"/>
        </w:rPr>
        <w:t>M,</w:t>
      </w:r>
      <w:r>
        <w:rPr>
          <w:spacing w:val="32"/>
          <w:sz w:val="23"/>
        </w:rPr>
        <w:t> </w:t>
      </w:r>
      <w:r>
        <w:rPr>
          <w:sz w:val="23"/>
        </w:rPr>
        <w:t>Naidoo</w:t>
      </w:r>
      <w:r>
        <w:rPr>
          <w:spacing w:val="33"/>
          <w:sz w:val="23"/>
        </w:rPr>
        <w:t> </w:t>
      </w:r>
      <w:r>
        <w:rPr>
          <w:sz w:val="23"/>
        </w:rPr>
        <w:t>R,</w:t>
      </w:r>
      <w:r>
        <w:rPr>
          <w:spacing w:val="32"/>
          <w:sz w:val="23"/>
        </w:rPr>
        <w:t> </w:t>
      </w:r>
      <w:r>
        <w:rPr>
          <w:sz w:val="23"/>
        </w:rPr>
        <w:t>et</w:t>
      </w:r>
      <w:r>
        <w:rPr>
          <w:spacing w:val="33"/>
          <w:sz w:val="23"/>
        </w:rPr>
        <w:t> </w:t>
      </w:r>
      <w:r>
        <w:rPr>
          <w:sz w:val="23"/>
        </w:rPr>
        <w:t>al.</w:t>
      </w:r>
      <w:r>
        <w:rPr>
          <w:spacing w:val="32"/>
          <w:sz w:val="23"/>
        </w:rPr>
        <w:t> </w:t>
      </w:r>
      <w:r>
        <w:rPr>
          <w:sz w:val="23"/>
        </w:rPr>
        <w:t>Clofazimine</w:t>
      </w:r>
      <w:r>
        <w:rPr>
          <w:spacing w:val="33"/>
          <w:sz w:val="23"/>
        </w:rPr>
        <w:t> </w:t>
      </w:r>
      <w:r>
        <w:rPr>
          <w:sz w:val="23"/>
        </w:rPr>
        <w:t>in</w:t>
      </w:r>
      <w:r>
        <w:rPr>
          <w:spacing w:val="32"/>
          <w:sz w:val="23"/>
        </w:rPr>
        <w:t> </w:t>
      </w:r>
      <w:r>
        <w:rPr>
          <w:sz w:val="23"/>
        </w:rPr>
        <w:t>the</w:t>
      </w:r>
      <w:r>
        <w:rPr>
          <w:spacing w:val="32"/>
          <w:sz w:val="23"/>
        </w:rPr>
        <w:t> </w:t>
      </w:r>
      <w:r>
        <w:rPr>
          <w:sz w:val="23"/>
        </w:rPr>
        <w:t>treatment</w:t>
      </w:r>
      <w:r>
        <w:rPr>
          <w:spacing w:val="34"/>
          <w:sz w:val="23"/>
        </w:rPr>
        <w:t> </w:t>
      </w:r>
      <w:r>
        <w:rPr>
          <w:sz w:val="23"/>
        </w:rPr>
        <w:t>of</w:t>
      </w:r>
    </w:p>
    <w:p>
      <w:pPr>
        <w:spacing w:line="232" w:lineRule="auto" w:before="0"/>
        <w:ind w:left="1116" w:right="1359" w:hanging="1"/>
        <w:jc w:val="both"/>
        <w:rPr>
          <w:sz w:val="23"/>
        </w:rPr>
      </w:pPr>
      <w:r>
        <w:rPr>
          <w:sz w:val="23"/>
        </w:rPr>
        <w:t>extensively drug-resistant tuberculosis with HIV coinfection in South Africa： a retrospective cohort study.J Antimicrob Chemother.</w:t>
      </w:r>
      <w:r>
        <w:rPr>
          <w:spacing w:val="51"/>
          <w:sz w:val="23"/>
        </w:rPr>
        <w:t> </w:t>
      </w:r>
      <w:r>
        <w:rPr>
          <w:sz w:val="23"/>
        </w:rPr>
        <w:t>2014：69：3103-3107.</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Payen</w:t>
      </w:r>
      <w:r>
        <w:rPr>
          <w:spacing w:val="19"/>
          <w:sz w:val="23"/>
        </w:rPr>
        <w:t> </w:t>
      </w:r>
      <w:r>
        <w:rPr>
          <w:sz w:val="23"/>
        </w:rPr>
        <w:t>MC,</w:t>
      </w:r>
      <w:r>
        <w:rPr>
          <w:spacing w:val="17"/>
          <w:sz w:val="23"/>
        </w:rPr>
        <w:t> </w:t>
      </w:r>
      <w:r>
        <w:rPr>
          <w:sz w:val="23"/>
        </w:rPr>
        <w:t>De</w:t>
      </w:r>
      <w:r>
        <w:rPr>
          <w:spacing w:val="18"/>
          <w:sz w:val="23"/>
        </w:rPr>
        <w:t> </w:t>
      </w:r>
      <w:r>
        <w:rPr>
          <w:sz w:val="23"/>
        </w:rPr>
        <w:t>Wit</w:t>
      </w:r>
      <w:r>
        <w:rPr>
          <w:spacing w:val="16"/>
          <w:sz w:val="23"/>
        </w:rPr>
        <w:t> </w:t>
      </w:r>
      <w:r>
        <w:rPr>
          <w:sz w:val="23"/>
        </w:rPr>
        <w:t>S,</w:t>
      </w:r>
      <w:r>
        <w:rPr>
          <w:spacing w:val="18"/>
          <w:sz w:val="23"/>
        </w:rPr>
        <w:t> </w:t>
      </w:r>
      <w:r>
        <w:rPr>
          <w:sz w:val="23"/>
        </w:rPr>
        <w:t>Martin</w:t>
      </w:r>
      <w:r>
        <w:rPr>
          <w:spacing w:val="17"/>
          <w:sz w:val="23"/>
        </w:rPr>
        <w:t> </w:t>
      </w:r>
      <w:r>
        <w:rPr>
          <w:sz w:val="23"/>
        </w:rPr>
        <w:t>C,</w:t>
      </w:r>
      <w:r>
        <w:rPr>
          <w:spacing w:val="17"/>
          <w:sz w:val="23"/>
        </w:rPr>
        <w:t> </w:t>
      </w:r>
      <w:r>
        <w:rPr>
          <w:sz w:val="23"/>
        </w:rPr>
        <w:t>et</w:t>
      </w:r>
      <w:r>
        <w:rPr>
          <w:spacing w:val="19"/>
          <w:sz w:val="23"/>
        </w:rPr>
        <w:t> </w:t>
      </w:r>
      <w:r>
        <w:rPr>
          <w:sz w:val="23"/>
        </w:rPr>
        <w:t>al.</w:t>
      </w:r>
      <w:r>
        <w:rPr>
          <w:spacing w:val="18"/>
          <w:sz w:val="23"/>
        </w:rPr>
        <w:t> </w:t>
      </w:r>
      <w:r>
        <w:rPr>
          <w:sz w:val="23"/>
        </w:rPr>
        <w:t>Clinical</w:t>
      </w:r>
      <w:r>
        <w:rPr>
          <w:spacing w:val="18"/>
          <w:sz w:val="23"/>
        </w:rPr>
        <w:t> </w:t>
      </w:r>
      <w:r>
        <w:rPr>
          <w:sz w:val="23"/>
        </w:rPr>
        <w:t>use</w:t>
      </w:r>
      <w:r>
        <w:rPr>
          <w:spacing w:val="17"/>
          <w:sz w:val="23"/>
        </w:rPr>
        <w:t> </w:t>
      </w:r>
      <w:r>
        <w:rPr>
          <w:sz w:val="23"/>
        </w:rPr>
        <w:t>of</w:t>
      </w:r>
      <w:r>
        <w:rPr>
          <w:spacing w:val="17"/>
          <w:sz w:val="23"/>
        </w:rPr>
        <w:t> </w:t>
      </w:r>
      <w:r>
        <w:rPr>
          <w:sz w:val="23"/>
        </w:rPr>
        <w:t>the</w:t>
      </w:r>
      <w:r>
        <w:rPr>
          <w:spacing w:val="18"/>
          <w:sz w:val="23"/>
        </w:rPr>
        <w:t> </w:t>
      </w:r>
      <w:r>
        <w:rPr>
          <w:sz w:val="23"/>
        </w:rPr>
        <w:t>meropenem-clavulanate</w:t>
      </w:r>
    </w:p>
    <w:p>
      <w:pPr>
        <w:spacing w:line="232" w:lineRule="auto" w:before="0"/>
        <w:ind w:left="1115" w:right="1362" w:firstLine="0"/>
        <w:jc w:val="left"/>
        <w:rPr>
          <w:sz w:val="23"/>
        </w:rPr>
      </w:pPr>
      <w:r>
        <w:rPr>
          <w:sz w:val="23"/>
        </w:rPr>
        <w:t>combination for extensively drug-resistant tuberculosis. Int J Tuberc Lung Dis. 2012;16(4)：558-560.</w:t>
      </w:r>
    </w:p>
    <w:p>
      <w:pPr>
        <w:pStyle w:val="ListParagraph"/>
        <w:numPr>
          <w:ilvl w:val="0"/>
          <w:numId w:val="180"/>
        </w:numPr>
        <w:tabs>
          <w:tab w:pos="1116" w:val="left" w:leader="none"/>
        </w:tabs>
        <w:spacing w:line="426" w:lineRule="exact" w:before="0" w:after="0"/>
        <w:ind w:left="1116" w:right="0" w:hanging="446"/>
        <w:jc w:val="left"/>
        <w:rPr>
          <w:sz w:val="26"/>
        </w:rPr>
      </w:pPr>
      <w:r>
        <w:rPr>
          <w:sz w:val="23"/>
        </w:rPr>
        <w:t>Pietersen</w:t>
      </w:r>
      <w:r>
        <w:rPr>
          <w:spacing w:val="11"/>
          <w:sz w:val="23"/>
        </w:rPr>
        <w:t> </w:t>
      </w:r>
      <w:r>
        <w:rPr>
          <w:sz w:val="23"/>
        </w:rPr>
        <w:t>E,</w:t>
      </w:r>
      <w:r>
        <w:rPr>
          <w:spacing w:val="13"/>
          <w:sz w:val="23"/>
        </w:rPr>
        <w:t> </w:t>
      </w:r>
      <w:r>
        <w:rPr>
          <w:sz w:val="23"/>
        </w:rPr>
        <w:t>Ignatius</w:t>
      </w:r>
      <w:r>
        <w:rPr>
          <w:spacing w:val="12"/>
          <w:sz w:val="23"/>
        </w:rPr>
        <w:t> </w:t>
      </w:r>
      <w:r>
        <w:rPr>
          <w:sz w:val="23"/>
        </w:rPr>
        <w:t>E,</w:t>
      </w:r>
      <w:r>
        <w:rPr>
          <w:spacing w:val="13"/>
          <w:sz w:val="23"/>
        </w:rPr>
        <w:t> </w:t>
      </w:r>
      <w:r>
        <w:rPr>
          <w:sz w:val="23"/>
        </w:rPr>
        <w:t>Streicher</w:t>
      </w:r>
      <w:r>
        <w:rPr>
          <w:spacing w:val="11"/>
          <w:sz w:val="23"/>
        </w:rPr>
        <w:t> </w:t>
      </w:r>
      <w:r>
        <w:rPr>
          <w:sz w:val="23"/>
        </w:rPr>
        <w:t>EM,</w:t>
      </w:r>
      <w:r>
        <w:rPr>
          <w:spacing w:val="12"/>
          <w:sz w:val="23"/>
        </w:rPr>
        <w:t> </w:t>
      </w:r>
      <w:r>
        <w:rPr>
          <w:sz w:val="23"/>
        </w:rPr>
        <w:t>et</w:t>
      </w:r>
      <w:r>
        <w:rPr>
          <w:spacing w:val="14"/>
          <w:sz w:val="23"/>
        </w:rPr>
        <w:t> </w:t>
      </w:r>
      <w:r>
        <w:rPr>
          <w:sz w:val="23"/>
        </w:rPr>
        <w:t>al.</w:t>
      </w:r>
      <w:r>
        <w:rPr>
          <w:spacing w:val="11"/>
          <w:sz w:val="23"/>
        </w:rPr>
        <w:t> </w:t>
      </w:r>
      <w:r>
        <w:rPr>
          <w:sz w:val="23"/>
        </w:rPr>
        <w:t>Long-term</w:t>
      </w:r>
      <w:r>
        <w:rPr>
          <w:spacing w:val="12"/>
          <w:sz w:val="23"/>
        </w:rPr>
        <w:t> </w:t>
      </w:r>
      <w:r>
        <w:rPr>
          <w:sz w:val="23"/>
        </w:rPr>
        <w:t>outcomes</w:t>
      </w:r>
      <w:r>
        <w:rPr>
          <w:spacing w:val="10"/>
          <w:sz w:val="23"/>
        </w:rPr>
        <w:t> </w:t>
      </w:r>
      <w:r>
        <w:rPr>
          <w:sz w:val="23"/>
        </w:rPr>
        <w:t>of</w:t>
      </w:r>
      <w:r>
        <w:rPr>
          <w:spacing w:val="13"/>
          <w:sz w:val="23"/>
        </w:rPr>
        <w:t> </w:t>
      </w:r>
      <w:r>
        <w:rPr>
          <w:sz w:val="23"/>
        </w:rPr>
        <w:t>patients</w:t>
      </w:r>
      <w:r>
        <w:rPr>
          <w:spacing w:val="12"/>
          <w:sz w:val="23"/>
        </w:rPr>
        <w:t> </w:t>
      </w:r>
      <w:r>
        <w:rPr>
          <w:sz w:val="23"/>
        </w:rPr>
        <w:t>with</w:t>
      </w:r>
    </w:p>
    <w:p>
      <w:pPr>
        <w:spacing w:after="0" w:line="426" w:lineRule="exact"/>
        <w:jc w:val="left"/>
        <w:rPr>
          <w:sz w:val="26"/>
        </w:rPr>
        <w:sectPr>
          <w:pgSz w:w="12250" w:h="17190"/>
          <w:pgMar w:header="0" w:footer="734" w:top="1480" w:bottom="1020" w:left="1020" w:right="0"/>
        </w:sectPr>
      </w:pPr>
    </w:p>
    <w:p>
      <w:pPr>
        <w:spacing w:line="232" w:lineRule="auto" w:before="44"/>
        <w:ind w:left="1115" w:right="1359" w:firstLine="0"/>
        <w:jc w:val="both"/>
        <w:rPr>
          <w:sz w:val="23"/>
        </w:rPr>
      </w:pPr>
      <w:r>
        <w:rPr/>
        <w:pict>
          <v:group style="position:absolute;margin-left:573pt;margin-top:.726943pt;width:39.4pt;height:177.4pt;mso-position-horizontal-relative:page;mso-position-vertical-relative:paragraph;z-index:251915264" coordorigin="11460,15" coordsize="788,3548">
            <v:shape style="position:absolute;left:11460;top:14;width:788;height:3548" coordorigin="11460,15" coordsize="788,3548" path="m12247,15l11625,15,11561,28,11508,63,11473,116,11460,180,11460,3397,11473,3462,11508,3514,11561,3550,11625,3563,12247,3563,12247,15xe" filled="true" fillcolor="#a6a6a6" stroked="false">
              <v:path arrowok="t"/>
              <v:fill type="solid"/>
            </v:shape>
            <v:shape style="position:absolute;left:11460;top:1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r>
        <w:rPr>
          <w:sz w:val="23"/>
        </w:rPr>
        <w:t>extensively drug-resistant tuberculosis in South Africa： a cohort study. Lancet. 2014;383(9924)：1230-1239.</w:t>
      </w:r>
    </w:p>
    <w:p>
      <w:pPr>
        <w:pStyle w:val="ListParagraph"/>
        <w:numPr>
          <w:ilvl w:val="0"/>
          <w:numId w:val="180"/>
        </w:numPr>
        <w:tabs>
          <w:tab w:pos="1116" w:val="left" w:leader="none"/>
        </w:tabs>
        <w:spacing w:line="412" w:lineRule="exact" w:before="0" w:after="0"/>
        <w:ind w:left="1116" w:right="0" w:hanging="446"/>
        <w:jc w:val="both"/>
        <w:rPr>
          <w:sz w:val="26"/>
        </w:rPr>
      </w:pPr>
      <w:r>
        <w:rPr>
          <w:sz w:val="23"/>
        </w:rPr>
        <w:t>Piubello</w:t>
      </w:r>
      <w:r>
        <w:rPr>
          <w:spacing w:val="22"/>
          <w:sz w:val="23"/>
        </w:rPr>
        <w:t> </w:t>
      </w:r>
      <w:r>
        <w:rPr>
          <w:sz w:val="23"/>
        </w:rPr>
        <w:t>A,</w:t>
      </w:r>
      <w:r>
        <w:rPr>
          <w:spacing w:val="22"/>
          <w:sz w:val="23"/>
        </w:rPr>
        <w:t> </w:t>
      </w:r>
      <w:r>
        <w:rPr>
          <w:sz w:val="23"/>
        </w:rPr>
        <w:t>Harouna</w:t>
      </w:r>
      <w:r>
        <w:rPr>
          <w:spacing w:val="21"/>
          <w:sz w:val="23"/>
        </w:rPr>
        <w:t> </w:t>
      </w:r>
      <w:r>
        <w:rPr>
          <w:sz w:val="23"/>
        </w:rPr>
        <w:t>SH,</w:t>
      </w:r>
      <w:r>
        <w:rPr>
          <w:spacing w:val="20"/>
          <w:sz w:val="23"/>
        </w:rPr>
        <w:t> </w:t>
      </w:r>
      <w:r>
        <w:rPr>
          <w:sz w:val="23"/>
        </w:rPr>
        <w:t>Souleymane</w:t>
      </w:r>
      <w:r>
        <w:rPr>
          <w:spacing w:val="23"/>
          <w:sz w:val="23"/>
        </w:rPr>
        <w:t> </w:t>
      </w:r>
      <w:r>
        <w:rPr>
          <w:sz w:val="23"/>
        </w:rPr>
        <w:t>MB,</w:t>
      </w:r>
      <w:r>
        <w:rPr>
          <w:spacing w:val="20"/>
          <w:sz w:val="23"/>
        </w:rPr>
        <w:t> </w:t>
      </w:r>
      <w:r>
        <w:rPr>
          <w:sz w:val="23"/>
        </w:rPr>
        <w:t>Boukary</w:t>
      </w:r>
      <w:r>
        <w:rPr>
          <w:spacing w:val="21"/>
          <w:sz w:val="23"/>
        </w:rPr>
        <w:t> </w:t>
      </w:r>
      <w:r>
        <w:rPr>
          <w:sz w:val="23"/>
        </w:rPr>
        <w:t>I,</w:t>
      </w:r>
      <w:r>
        <w:rPr>
          <w:spacing w:val="20"/>
          <w:sz w:val="23"/>
        </w:rPr>
        <w:t> </w:t>
      </w:r>
      <w:r>
        <w:rPr>
          <w:sz w:val="23"/>
        </w:rPr>
        <w:t>Morou</w:t>
      </w:r>
      <w:r>
        <w:rPr>
          <w:spacing w:val="23"/>
          <w:sz w:val="23"/>
        </w:rPr>
        <w:t> </w:t>
      </w:r>
      <w:r>
        <w:rPr>
          <w:sz w:val="23"/>
        </w:rPr>
        <w:t>S,</w:t>
      </w:r>
      <w:r>
        <w:rPr>
          <w:spacing w:val="22"/>
          <w:sz w:val="23"/>
        </w:rPr>
        <w:t> </w:t>
      </w:r>
      <w:r>
        <w:rPr>
          <w:sz w:val="23"/>
        </w:rPr>
        <w:t>Daouda</w:t>
      </w:r>
      <w:r>
        <w:rPr>
          <w:spacing w:val="22"/>
          <w:sz w:val="23"/>
        </w:rPr>
        <w:t> </w:t>
      </w:r>
      <w:r>
        <w:rPr>
          <w:sz w:val="23"/>
        </w:rPr>
        <w:t>M,</w:t>
      </w:r>
      <w:r>
        <w:rPr>
          <w:spacing w:val="22"/>
          <w:sz w:val="23"/>
        </w:rPr>
        <w:t> </w:t>
      </w:r>
      <w:r>
        <w:rPr>
          <w:sz w:val="23"/>
        </w:rPr>
        <w:t>et</w:t>
      </w:r>
      <w:r>
        <w:rPr>
          <w:spacing w:val="23"/>
          <w:sz w:val="23"/>
        </w:rPr>
        <w:t> </w:t>
      </w:r>
      <w:r>
        <w:rPr>
          <w:sz w:val="23"/>
        </w:rPr>
        <w:t>al.</w:t>
      </w:r>
    </w:p>
    <w:p>
      <w:pPr>
        <w:spacing w:line="232" w:lineRule="auto" w:before="0"/>
        <w:ind w:left="1116" w:right="1359" w:firstLine="0"/>
        <w:jc w:val="both"/>
        <w:rPr>
          <w:sz w:val="23"/>
        </w:rPr>
      </w:pPr>
      <w:r>
        <w:rPr>
          <w:sz w:val="23"/>
        </w:rPr>
        <w:t>High cure rate with standardised short-course multidrug-resistant tuberculosis treatment in Niger： no relapses. Int J Tuberc Lung Dis Off J Int Union Tuberc Lung Dis. 2014 Oct;18(10)：1188–94.</w:t>
      </w:r>
    </w:p>
    <w:p>
      <w:pPr>
        <w:pStyle w:val="ListParagraph"/>
        <w:numPr>
          <w:ilvl w:val="0"/>
          <w:numId w:val="180"/>
        </w:numPr>
        <w:tabs>
          <w:tab w:pos="1116" w:val="left" w:leader="none"/>
        </w:tabs>
        <w:spacing w:line="410" w:lineRule="exact" w:before="0" w:after="0"/>
        <w:ind w:left="1116" w:right="0" w:hanging="446"/>
        <w:jc w:val="both"/>
        <w:rPr>
          <w:sz w:val="26"/>
        </w:rPr>
      </w:pPr>
      <w:r>
        <w:rPr>
          <w:sz w:val="23"/>
        </w:rPr>
        <w:t>Reeves</w:t>
      </w:r>
      <w:r>
        <w:rPr>
          <w:spacing w:val="45"/>
          <w:sz w:val="23"/>
        </w:rPr>
        <w:t> </w:t>
      </w:r>
      <w:r>
        <w:rPr>
          <w:sz w:val="23"/>
        </w:rPr>
        <w:t>AZ,</w:t>
      </w:r>
      <w:r>
        <w:rPr>
          <w:spacing w:val="44"/>
          <w:sz w:val="23"/>
        </w:rPr>
        <w:t> </w:t>
      </w:r>
      <w:r>
        <w:rPr>
          <w:sz w:val="23"/>
        </w:rPr>
        <w:t>Campbell</w:t>
      </w:r>
      <w:r>
        <w:rPr>
          <w:spacing w:val="47"/>
          <w:sz w:val="23"/>
        </w:rPr>
        <w:t> </w:t>
      </w:r>
      <w:r>
        <w:rPr>
          <w:sz w:val="23"/>
        </w:rPr>
        <w:t>PJ,</w:t>
      </w:r>
      <w:r>
        <w:rPr>
          <w:spacing w:val="43"/>
          <w:sz w:val="23"/>
        </w:rPr>
        <w:t> </w:t>
      </w:r>
      <w:r>
        <w:rPr>
          <w:sz w:val="23"/>
        </w:rPr>
        <w:t>Willby</w:t>
      </w:r>
      <w:r>
        <w:rPr>
          <w:spacing w:val="46"/>
          <w:sz w:val="23"/>
        </w:rPr>
        <w:t> </w:t>
      </w:r>
      <w:r>
        <w:rPr>
          <w:sz w:val="23"/>
        </w:rPr>
        <w:t>MJ,</w:t>
      </w:r>
      <w:r>
        <w:rPr>
          <w:spacing w:val="44"/>
          <w:sz w:val="23"/>
        </w:rPr>
        <w:t> </w:t>
      </w:r>
      <w:r>
        <w:rPr>
          <w:sz w:val="23"/>
        </w:rPr>
        <w:t>Posey</w:t>
      </w:r>
      <w:r>
        <w:rPr>
          <w:spacing w:val="46"/>
          <w:sz w:val="23"/>
        </w:rPr>
        <w:t> </w:t>
      </w:r>
      <w:r>
        <w:rPr>
          <w:sz w:val="23"/>
        </w:rPr>
        <w:t>JE.</w:t>
      </w:r>
      <w:r>
        <w:rPr>
          <w:spacing w:val="43"/>
          <w:sz w:val="23"/>
        </w:rPr>
        <w:t> </w:t>
      </w:r>
      <w:r>
        <w:rPr>
          <w:sz w:val="23"/>
        </w:rPr>
        <w:t>Disparities</w:t>
      </w:r>
      <w:r>
        <w:rPr>
          <w:spacing w:val="46"/>
          <w:sz w:val="23"/>
        </w:rPr>
        <w:t> </w:t>
      </w:r>
      <w:r>
        <w:rPr>
          <w:sz w:val="23"/>
        </w:rPr>
        <w:t>in</w:t>
      </w:r>
      <w:r>
        <w:rPr>
          <w:spacing w:val="44"/>
          <w:sz w:val="23"/>
        </w:rPr>
        <w:t> </w:t>
      </w:r>
      <w:r>
        <w:rPr>
          <w:sz w:val="23"/>
        </w:rPr>
        <w:t>capreomycin</w:t>
      </w:r>
    </w:p>
    <w:p>
      <w:pPr>
        <w:spacing w:line="232" w:lineRule="auto" w:before="0"/>
        <w:ind w:left="0" w:right="1359" w:firstLine="0"/>
        <w:jc w:val="right"/>
        <w:rPr>
          <w:sz w:val="23"/>
        </w:rPr>
      </w:pPr>
      <w:r>
        <w:rPr>
          <w:sz w:val="23"/>
        </w:rPr>
        <w:t>resistance</w:t>
      </w:r>
      <w:r>
        <w:rPr>
          <w:spacing w:val="43"/>
          <w:sz w:val="23"/>
        </w:rPr>
        <w:t> </w:t>
      </w:r>
      <w:r>
        <w:rPr>
          <w:sz w:val="23"/>
        </w:rPr>
        <w:t>levels</w:t>
      </w:r>
      <w:r>
        <w:rPr>
          <w:spacing w:val="46"/>
          <w:sz w:val="23"/>
        </w:rPr>
        <w:t> </w:t>
      </w:r>
      <w:r>
        <w:rPr>
          <w:sz w:val="23"/>
        </w:rPr>
        <w:t>associated</w:t>
      </w:r>
      <w:r>
        <w:rPr>
          <w:spacing w:val="44"/>
          <w:sz w:val="23"/>
        </w:rPr>
        <w:t> </w:t>
      </w:r>
      <w:r>
        <w:rPr>
          <w:sz w:val="23"/>
        </w:rPr>
        <w:t>with</w:t>
      </w:r>
      <w:r>
        <w:rPr>
          <w:spacing w:val="44"/>
          <w:sz w:val="23"/>
        </w:rPr>
        <w:t> </w:t>
      </w:r>
      <w:r>
        <w:rPr>
          <w:sz w:val="23"/>
        </w:rPr>
        <w:t>the</w:t>
      </w:r>
      <w:r>
        <w:rPr>
          <w:spacing w:val="44"/>
          <w:sz w:val="23"/>
        </w:rPr>
        <w:t> </w:t>
      </w:r>
      <w:r>
        <w:rPr>
          <w:sz w:val="23"/>
        </w:rPr>
        <w:t>rrs</w:t>
      </w:r>
      <w:r>
        <w:rPr>
          <w:spacing w:val="45"/>
          <w:sz w:val="23"/>
        </w:rPr>
        <w:t> </w:t>
      </w:r>
      <w:r>
        <w:rPr>
          <w:sz w:val="23"/>
        </w:rPr>
        <w:t>A140G</w:t>
      </w:r>
      <w:r>
        <w:rPr>
          <w:spacing w:val="44"/>
          <w:sz w:val="23"/>
        </w:rPr>
        <w:t> </w:t>
      </w:r>
      <w:r>
        <w:rPr>
          <w:sz w:val="23"/>
        </w:rPr>
        <w:t>mutation</w:t>
      </w:r>
      <w:r>
        <w:rPr>
          <w:spacing w:val="43"/>
          <w:sz w:val="23"/>
        </w:rPr>
        <w:t> </w:t>
      </w:r>
      <w:r>
        <w:rPr>
          <w:sz w:val="23"/>
        </w:rPr>
        <w:t>in</w:t>
      </w:r>
      <w:r>
        <w:rPr>
          <w:spacing w:val="44"/>
          <w:sz w:val="23"/>
        </w:rPr>
        <w:t> </w:t>
      </w:r>
      <w:r>
        <w:rPr>
          <w:sz w:val="23"/>
        </w:rPr>
        <w:t>clinical</w:t>
      </w:r>
      <w:r>
        <w:rPr>
          <w:spacing w:val="44"/>
          <w:sz w:val="23"/>
        </w:rPr>
        <w:t> </w:t>
      </w:r>
      <w:r>
        <w:rPr>
          <w:sz w:val="23"/>
        </w:rPr>
        <w:t>isolates</w:t>
      </w:r>
      <w:r>
        <w:rPr>
          <w:spacing w:val="44"/>
          <w:sz w:val="23"/>
        </w:rPr>
        <w:t> </w:t>
      </w:r>
      <w:r>
        <w:rPr>
          <w:sz w:val="23"/>
        </w:rPr>
        <w:t>of</w:t>
      </w:r>
      <w:r>
        <w:rPr>
          <w:w w:val="100"/>
          <w:sz w:val="23"/>
        </w:rPr>
        <w:t> </w:t>
      </w:r>
      <w:r>
        <w:rPr>
          <w:sz w:val="23"/>
        </w:rPr>
        <w:t>Mycobacterium tuberculosis. Antimicrob Agents Chemother. 2015;59：444-</w:t>
      </w:r>
      <w:r>
        <w:rPr>
          <w:spacing w:val="30"/>
          <w:sz w:val="23"/>
        </w:rPr>
        <w:t> </w:t>
      </w:r>
      <w:r>
        <w:rPr>
          <w:sz w:val="23"/>
        </w:rPr>
        <w:t>449.</w:t>
      </w:r>
    </w:p>
    <w:p>
      <w:pPr>
        <w:pStyle w:val="ListParagraph"/>
        <w:numPr>
          <w:ilvl w:val="0"/>
          <w:numId w:val="180"/>
        </w:numPr>
        <w:tabs>
          <w:tab w:pos="446" w:val="left" w:leader="none"/>
        </w:tabs>
        <w:spacing w:line="412" w:lineRule="exact" w:before="0" w:after="0"/>
        <w:ind w:left="1116" w:right="1359" w:hanging="1116"/>
        <w:jc w:val="right"/>
        <w:rPr>
          <w:sz w:val="26"/>
        </w:rPr>
      </w:pPr>
      <w:r>
        <w:rPr>
          <w:sz w:val="23"/>
        </w:rPr>
        <w:t>Reves </w:t>
      </w:r>
      <w:r>
        <w:rPr>
          <w:spacing w:val="23"/>
          <w:sz w:val="23"/>
        </w:rPr>
        <w:t> </w:t>
      </w:r>
      <w:r>
        <w:rPr>
          <w:sz w:val="23"/>
        </w:rPr>
        <w:t>R, </w:t>
      </w:r>
      <w:r>
        <w:rPr>
          <w:spacing w:val="22"/>
          <w:sz w:val="23"/>
        </w:rPr>
        <w:t> </w:t>
      </w:r>
      <w:r>
        <w:rPr>
          <w:sz w:val="23"/>
        </w:rPr>
        <w:t>Heilig </w:t>
      </w:r>
      <w:r>
        <w:rPr>
          <w:spacing w:val="21"/>
          <w:sz w:val="23"/>
        </w:rPr>
        <w:t> </w:t>
      </w:r>
      <w:r>
        <w:rPr>
          <w:sz w:val="23"/>
        </w:rPr>
        <w:t>CM, </w:t>
      </w:r>
      <w:r>
        <w:rPr>
          <w:spacing w:val="22"/>
          <w:sz w:val="23"/>
        </w:rPr>
        <w:t> </w:t>
      </w:r>
      <w:r>
        <w:rPr>
          <w:sz w:val="23"/>
        </w:rPr>
        <w:t>Tapy </w:t>
      </w:r>
      <w:r>
        <w:rPr>
          <w:spacing w:val="21"/>
          <w:sz w:val="23"/>
        </w:rPr>
        <w:t> </w:t>
      </w:r>
      <w:r>
        <w:rPr>
          <w:sz w:val="23"/>
        </w:rPr>
        <w:t>JM, </w:t>
      </w:r>
      <w:r>
        <w:rPr>
          <w:spacing w:val="22"/>
          <w:sz w:val="23"/>
        </w:rPr>
        <w:t> </w:t>
      </w:r>
      <w:r>
        <w:rPr>
          <w:sz w:val="23"/>
        </w:rPr>
        <w:t>et </w:t>
      </w:r>
      <w:r>
        <w:rPr>
          <w:spacing w:val="22"/>
          <w:sz w:val="23"/>
        </w:rPr>
        <w:t> </w:t>
      </w:r>
      <w:r>
        <w:rPr>
          <w:sz w:val="23"/>
        </w:rPr>
        <w:t>al. </w:t>
      </w:r>
      <w:r>
        <w:rPr>
          <w:spacing w:val="21"/>
          <w:sz w:val="23"/>
        </w:rPr>
        <w:t> </w:t>
      </w:r>
      <w:r>
        <w:rPr>
          <w:sz w:val="23"/>
        </w:rPr>
        <w:t>Intermittent </w:t>
      </w:r>
      <w:r>
        <w:rPr>
          <w:spacing w:val="23"/>
          <w:sz w:val="23"/>
        </w:rPr>
        <w:t> </w:t>
      </w:r>
      <w:r>
        <w:rPr>
          <w:sz w:val="23"/>
        </w:rPr>
        <w:t>tuberculosis </w:t>
      </w:r>
      <w:r>
        <w:rPr>
          <w:spacing w:val="22"/>
          <w:sz w:val="23"/>
        </w:rPr>
        <w:t> </w:t>
      </w:r>
      <w:r>
        <w:rPr>
          <w:sz w:val="23"/>
        </w:rPr>
        <w:t>treatment </w:t>
      </w:r>
      <w:r>
        <w:rPr>
          <w:spacing w:val="24"/>
          <w:sz w:val="23"/>
        </w:rPr>
        <w:t> </w:t>
      </w:r>
      <w:r>
        <w:rPr>
          <w:sz w:val="23"/>
        </w:rPr>
        <w:t>for</w:t>
      </w:r>
    </w:p>
    <w:p>
      <w:pPr>
        <w:spacing w:line="232" w:lineRule="auto" w:before="0"/>
        <w:ind w:left="1116" w:right="1360" w:firstLine="0"/>
        <w:jc w:val="left"/>
        <w:rPr>
          <w:sz w:val="23"/>
        </w:rPr>
      </w:pPr>
      <w:r>
        <w:rPr>
          <w:sz w:val="23"/>
        </w:rPr>
        <w:t>patients with isoniazid intolerance or drug resistance. Int J Tuberc Lung Dis. 2014;18(5)：571-580.</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Schon T, Jureen P, Chryssanthou E, et al. Rifampicin-resistant and</w:t>
      </w:r>
      <w:r>
        <w:rPr>
          <w:spacing w:val="5"/>
          <w:sz w:val="23"/>
        </w:rPr>
        <w:t> </w:t>
      </w:r>
      <w:r>
        <w:rPr>
          <w:sz w:val="23"/>
        </w:rPr>
        <w:t>rifabutin-</w:t>
      </w:r>
    </w:p>
    <w:p>
      <w:pPr>
        <w:spacing w:line="232" w:lineRule="auto" w:before="0"/>
        <w:ind w:left="1116" w:right="1354" w:firstLine="0"/>
        <w:jc w:val="left"/>
        <w:rPr>
          <w:sz w:val="23"/>
        </w:rPr>
      </w:pPr>
      <w:r>
        <w:rPr>
          <w:sz w:val="23"/>
        </w:rPr>
        <w:t>susceptible Mycobacterium tuberculosis strains ： a breakpoint artifact? J Antimicrob Chemother.2013;68(9)：2074-7.</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Shean</w:t>
      </w:r>
      <w:r>
        <w:rPr>
          <w:spacing w:val="7"/>
          <w:sz w:val="23"/>
        </w:rPr>
        <w:t> </w:t>
      </w:r>
      <w:r>
        <w:rPr>
          <w:sz w:val="23"/>
        </w:rPr>
        <w:t>K,</w:t>
      </w:r>
      <w:r>
        <w:rPr>
          <w:spacing w:val="7"/>
          <w:sz w:val="23"/>
        </w:rPr>
        <w:t> </w:t>
      </w:r>
      <w:r>
        <w:rPr>
          <w:sz w:val="23"/>
        </w:rPr>
        <w:t>Streicher</w:t>
      </w:r>
      <w:r>
        <w:rPr>
          <w:spacing w:val="5"/>
          <w:sz w:val="23"/>
        </w:rPr>
        <w:t> </w:t>
      </w:r>
      <w:r>
        <w:rPr>
          <w:sz w:val="23"/>
        </w:rPr>
        <w:t>E,</w:t>
      </w:r>
      <w:r>
        <w:rPr>
          <w:spacing w:val="7"/>
          <w:sz w:val="23"/>
        </w:rPr>
        <w:t> </w:t>
      </w:r>
      <w:r>
        <w:rPr>
          <w:sz w:val="23"/>
        </w:rPr>
        <w:t>Pieterson</w:t>
      </w:r>
      <w:r>
        <w:rPr>
          <w:spacing w:val="6"/>
          <w:sz w:val="23"/>
        </w:rPr>
        <w:t> </w:t>
      </w:r>
      <w:r>
        <w:rPr>
          <w:sz w:val="23"/>
        </w:rPr>
        <w:t>E,</w:t>
      </w:r>
      <w:r>
        <w:rPr>
          <w:spacing w:val="5"/>
          <w:sz w:val="23"/>
        </w:rPr>
        <w:t> </w:t>
      </w:r>
      <w:r>
        <w:rPr>
          <w:sz w:val="23"/>
        </w:rPr>
        <w:t>et</w:t>
      </w:r>
      <w:r>
        <w:rPr>
          <w:spacing w:val="8"/>
          <w:sz w:val="23"/>
        </w:rPr>
        <w:t> </w:t>
      </w:r>
      <w:r>
        <w:rPr>
          <w:sz w:val="23"/>
        </w:rPr>
        <w:t>al.</w:t>
      </w:r>
      <w:r>
        <w:rPr>
          <w:spacing w:val="7"/>
          <w:sz w:val="23"/>
        </w:rPr>
        <w:t> </w:t>
      </w:r>
      <w:r>
        <w:rPr>
          <w:sz w:val="23"/>
        </w:rPr>
        <w:t>Drug-associated</w:t>
      </w:r>
      <w:r>
        <w:rPr>
          <w:spacing w:val="7"/>
          <w:sz w:val="23"/>
        </w:rPr>
        <w:t> </w:t>
      </w:r>
      <w:r>
        <w:rPr>
          <w:sz w:val="23"/>
        </w:rPr>
        <w:t>adverse</w:t>
      </w:r>
      <w:r>
        <w:rPr>
          <w:spacing w:val="6"/>
          <w:sz w:val="23"/>
        </w:rPr>
        <w:t> </w:t>
      </w:r>
      <w:r>
        <w:rPr>
          <w:sz w:val="23"/>
        </w:rPr>
        <w:t>events</w:t>
      </w:r>
      <w:r>
        <w:rPr>
          <w:spacing w:val="8"/>
          <w:sz w:val="23"/>
        </w:rPr>
        <w:t> </w:t>
      </w:r>
      <w:r>
        <w:rPr>
          <w:sz w:val="23"/>
        </w:rPr>
        <w:t>and</w:t>
      </w:r>
      <w:r>
        <w:rPr>
          <w:spacing w:val="7"/>
          <w:sz w:val="23"/>
        </w:rPr>
        <w:t> </w:t>
      </w:r>
      <w:r>
        <w:rPr>
          <w:sz w:val="23"/>
        </w:rPr>
        <w:t>their</w:t>
      </w:r>
    </w:p>
    <w:p>
      <w:pPr>
        <w:spacing w:line="232" w:lineRule="auto" w:before="0"/>
        <w:ind w:left="1116" w:right="1354" w:firstLine="0"/>
        <w:jc w:val="left"/>
        <w:rPr>
          <w:sz w:val="23"/>
        </w:rPr>
      </w:pPr>
      <w:r>
        <w:rPr>
          <w:sz w:val="23"/>
        </w:rPr>
        <w:t>relationship with outcomes in patients receiving treatment for extensively drug- resistant tuberculosis in South Africa. PLoS ONE.2013;8(5)：e63057.</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Somoskovi</w:t>
      </w:r>
      <w:r>
        <w:rPr>
          <w:spacing w:val="14"/>
          <w:sz w:val="23"/>
        </w:rPr>
        <w:t> </w:t>
      </w:r>
      <w:r>
        <w:rPr>
          <w:sz w:val="23"/>
        </w:rPr>
        <w:t>A,</w:t>
      </w:r>
      <w:r>
        <w:rPr>
          <w:spacing w:val="14"/>
          <w:sz w:val="23"/>
        </w:rPr>
        <w:t> </w:t>
      </w:r>
      <w:r>
        <w:rPr>
          <w:sz w:val="23"/>
        </w:rPr>
        <w:t>Bruderer</w:t>
      </w:r>
      <w:r>
        <w:rPr>
          <w:spacing w:val="14"/>
          <w:sz w:val="23"/>
        </w:rPr>
        <w:t> </w:t>
      </w:r>
      <w:r>
        <w:rPr>
          <w:sz w:val="23"/>
        </w:rPr>
        <w:t>V,</w:t>
      </w:r>
      <w:r>
        <w:rPr>
          <w:spacing w:val="14"/>
          <w:sz w:val="23"/>
        </w:rPr>
        <w:t> </w:t>
      </w:r>
      <w:r>
        <w:rPr>
          <w:sz w:val="23"/>
        </w:rPr>
        <w:t>Homke</w:t>
      </w:r>
      <w:r>
        <w:rPr>
          <w:spacing w:val="15"/>
          <w:sz w:val="23"/>
        </w:rPr>
        <w:t> </w:t>
      </w:r>
      <w:r>
        <w:rPr>
          <w:sz w:val="23"/>
        </w:rPr>
        <w:t>R,</w:t>
      </w:r>
      <w:r>
        <w:rPr>
          <w:spacing w:val="14"/>
          <w:sz w:val="23"/>
        </w:rPr>
        <w:t> </w:t>
      </w:r>
      <w:r>
        <w:rPr>
          <w:sz w:val="23"/>
        </w:rPr>
        <w:t>Blumberg</w:t>
      </w:r>
      <w:r>
        <w:rPr>
          <w:spacing w:val="14"/>
          <w:sz w:val="23"/>
        </w:rPr>
        <w:t> </w:t>
      </w:r>
      <w:r>
        <w:rPr>
          <w:sz w:val="23"/>
        </w:rPr>
        <w:t>GV,</w:t>
      </w:r>
      <w:r>
        <w:rPr>
          <w:spacing w:val="15"/>
          <w:sz w:val="23"/>
        </w:rPr>
        <w:t> </w:t>
      </w:r>
      <w:r>
        <w:rPr>
          <w:sz w:val="23"/>
        </w:rPr>
        <w:t>Bottger</w:t>
      </w:r>
      <w:r>
        <w:rPr>
          <w:spacing w:val="12"/>
          <w:sz w:val="23"/>
        </w:rPr>
        <w:t> </w:t>
      </w:r>
      <w:r>
        <w:rPr>
          <w:sz w:val="23"/>
        </w:rPr>
        <w:t>EC.</w:t>
      </w:r>
      <w:r>
        <w:rPr>
          <w:spacing w:val="14"/>
          <w:sz w:val="23"/>
        </w:rPr>
        <w:t> </w:t>
      </w:r>
      <w:r>
        <w:rPr>
          <w:sz w:val="23"/>
        </w:rPr>
        <w:t>A</w:t>
      </w:r>
      <w:r>
        <w:rPr>
          <w:spacing w:val="14"/>
          <w:sz w:val="23"/>
        </w:rPr>
        <w:t> </w:t>
      </w:r>
      <w:r>
        <w:rPr>
          <w:sz w:val="23"/>
        </w:rPr>
        <w:t>mutation</w:t>
      </w:r>
    </w:p>
    <w:p>
      <w:pPr>
        <w:spacing w:line="232" w:lineRule="auto" w:before="0"/>
        <w:ind w:left="1116" w:right="1354" w:hanging="1"/>
        <w:jc w:val="left"/>
        <w:rPr>
          <w:sz w:val="23"/>
        </w:rPr>
      </w:pPr>
      <w:r>
        <w:rPr>
          <w:sz w:val="23"/>
        </w:rPr>
        <w:t>associated with clofazimine and bedaquiline cross-resistance in MDR-TB following bedaquiline treatment. Eur Respir J.2015;45： 554-557.</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Sotgiu</w:t>
      </w:r>
      <w:r>
        <w:rPr>
          <w:spacing w:val="11"/>
          <w:sz w:val="23"/>
        </w:rPr>
        <w:t> </w:t>
      </w:r>
      <w:r>
        <w:rPr>
          <w:sz w:val="23"/>
        </w:rPr>
        <w:t>G,</w:t>
      </w:r>
      <w:r>
        <w:rPr>
          <w:spacing w:val="12"/>
          <w:sz w:val="23"/>
        </w:rPr>
        <w:t> </w:t>
      </w:r>
      <w:r>
        <w:rPr>
          <w:sz w:val="23"/>
        </w:rPr>
        <w:t>Sentis</w:t>
      </w:r>
      <w:r>
        <w:rPr>
          <w:spacing w:val="12"/>
          <w:sz w:val="23"/>
        </w:rPr>
        <w:t> </w:t>
      </w:r>
      <w:r>
        <w:rPr>
          <w:sz w:val="23"/>
        </w:rPr>
        <w:t>R,</w:t>
      </w:r>
      <w:r>
        <w:rPr>
          <w:spacing w:val="12"/>
          <w:sz w:val="23"/>
        </w:rPr>
        <w:t> </w:t>
      </w:r>
      <w:r>
        <w:rPr>
          <w:sz w:val="23"/>
        </w:rPr>
        <w:t>D’Ambrosio</w:t>
      </w:r>
      <w:r>
        <w:rPr>
          <w:spacing w:val="11"/>
          <w:sz w:val="23"/>
        </w:rPr>
        <w:t> </w:t>
      </w:r>
      <w:r>
        <w:rPr>
          <w:sz w:val="23"/>
        </w:rPr>
        <w:t>L,</w:t>
      </w:r>
      <w:r>
        <w:rPr>
          <w:spacing w:val="12"/>
          <w:sz w:val="23"/>
        </w:rPr>
        <w:t> </w:t>
      </w:r>
      <w:r>
        <w:rPr>
          <w:sz w:val="23"/>
        </w:rPr>
        <w:t>et</w:t>
      </w:r>
      <w:r>
        <w:rPr>
          <w:spacing w:val="13"/>
          <w:sz w:val="23"/>
        </w:rPr>
        <w:t> </w:t>
      </w:r>
      <w:r>
        <w:rPr>
          <w:sz w:val="23"/>
        </w:rPr>
        <w:t>al.</w:t>
      </w:r>
      <w:r>
        <w:rPr>
          <w:spacing w:val="12"/>
          <w:sz w:val="23"/>
        </w:rPr>
        <w:t> </w:t>
      </w:r>
      <w:r>
        <w:rPr>
          <w:sz w:val="23"/>
        </w:rPr>
        <w:t>Efficacy,</w:t>
      </w:r>
      <w:r>
        <w:rPr>
          <w:spacing w:val="11"/>
          <w:sz w:val="23"/>
        </w:rPr>
        <w:t> </w:t>
      </w:r>
      <w:r>
        <w:rPr>
          <w:sz w:val="23"/>
        </w:rPr>
        <w:t>safety</w:t>
      </w:r>
      <w:r>
        <w:rPr>
          <w:spacing w:val="13"/>
          <w:sz w:val="23"/>
        </w:rPr>
        <w:t> </w:t>
      </w:r>
      <w:r>
        <w:rPr>
          <w:sz w:val="23"/>
        </w:rPr>
        <w:t>and</w:t>
      </w:r>
      <w:r>
        <w:rPr>
          <w:spacing w:val="11"/>
          <w:sz w:val="23"/>
        </w:rPr>
        <w:t> </w:t>
      </w:r>
      <w:r>
        <w:rPr>
          <w:sz w:val="23"/>
        </w:rPr>
        <w:t>tolerability</w:t>
      </w:r>
      <w:r>
        <w:rPr>
          <w:spacing w:val="13"/>
          <w:sz w:val="23"/>
        </w:rPr>
        <w:t> </w:t>
      </w:r>
      <w:r>
        <w:rPr>
          <w:sz w:val="23"/>
        </w:rPr>
        <w:t>of</w:t>
      </w:r>
    </w:p>
    <w:p>
      <w:pPr>
        <w:spacing w:line="232" w:lineRule="auto" w:before="0"/>
        <w:ind w:left="1116" w:right="1354" w:firstLine="0"/>
        <w:jc w:val="left"/>
        <w:rPr>
          <w:sz w:val="23"/>
        </w:rPr>
      </w:pPr>
      <w:r>
        <w:rPr>
          <w:sz w:val="23"/>
        </w:rPr>
        <w:t>linezolid containing regimens in treating MDR-TB and XDR-TB： a systematic review and meta-analysis. Eur Respir J. 2012;40：1430-1442.</w:t>
      </w:r>
    </w:p>
    <w:p>
      <w:pPr>
        <w:pStyle w:val="ListParagraph"/>
        <w:numPr>
          <w:ilvl w:val="0"/>
          <w:numId w:val="180"/>
        </w:numPr>
        <w:tabs>
          <w:tab w:pos="1116" w:val="left" w:leader="none"/>
        </w:tabs>
        <w:spacing w:line="412" w:lineRule="exact" w:before="0" w:after="0"/>
        <w:ind w:left="1116" w:right="0" w:hanging="446"/>
        <w:jc w:val="both"/>
        <w:rPr>
          <w:sz w:val="26"/>
        </w:rPr>
      </w:pPr>
      <w:r>
        <w:rPr>
          <w:spacing w:val="2"/>
          <w:sz w:val="23"/>
        </w:rPr>
        <w:t>Tang S, Yao </w:t>
      </w:r>
      <w:r>
        <w:rPr>
          <w:sz w:val="23"/>
        </w:rPr>
        <w:t>L, </w:t>
      </w:r>
      <w:r>
        <w:rPr>
          <w:spacing w:val="2"/>
          <w:sz w:val="23"/>
        </w:rPr>
        <w:t>Hao X, </w:t>
      </w:r>
      <w:r>
        <w:rPr>
          <w:spacing w:val="3"/>
          <w:sz w:val="23"/>
        </w:rPr>
        <w:t>Liu </w:t>
      </w:r>
      <w:r>
        <w:rPr>
          <w:sz w:val="23"/>
        </w:rPr>
        <w:t>Y, </w:t>
      </w:r>
      <w:r>
        <w:rPr>
          <w:spacing w:val="3"/>
          <w:sz w:val="23"/>
        </w:rPr>
        <w:t>Zeng </w:t>
      </w:r>
      <w:r>
        <w:rPr>
          <w:sz w:val="23"/>
        </w:rPr>
        <w:t>L, </w:t>
      </w:r>
      <w:r>
        <w:rPr>
          <w:spacing w:val="3"/>
          <w:sz w:val="23"/>
        </w:rPr>
        <w:t>Liu </w:t>
      </w:r>
      <w:r>
        <w:rPr>
          <w:sz w:val="23"/>
        </w:rPr>
        <w:t>G, et </w:t>
      </w:r>
      <w:r>
        <w:rPr>
          <w:spacing w:val="3"/>
          <w:sz w:val="23"/>
        </w:rPr>
        <w:t>al. </w:t>
      </w:r>
      <w:r>
        <w:rPr>
          <w:spacing w:val="4"/>
          <w:sz w:val="23"/>
        </w:rPr>
        <w:t>Clofazimine </w:t>
      </w:r>
      <w:r>
        <w:rPr>
          <w:spacing w:val="2"/>
          <w:sz w:val="23"/>
        </w:rPr>
        <w:t>for </w:t>
      </w:r>
      <w:r>
        <w:rPr>
          <w:spacing w:val="3"/>
          <w:sz w:val="23"/>
        </w:rPr>
        <w:t>the treatment</w:t>
      </w:r>
      <w:r>
        <w:rPr>
          <w:spacing w:val="8"/>
          <w:sz w:val="23"/>
        </w:rPr>
        <w:t> </w:t>
      </w:r>
      <w:r>
        <w:rPr>
          <w:sz w:val="23"/>
        </w:rPr>
        <w:t>of</w:t>
      </w:r>
    </w:p>
    <w:p>
      <w:pPr>
        <w:spacing w:line="232" w:lineRule="auto" w:before="0"/>
        <w:ind w:left="1115" w:right="1357" w:firstLine="0"/>
        <w:jc w:val="both"/>
        <w:rPr>
          <w:sz w:val="23"/>
        </w:rPr>
      </w:pPr>
      <w:r>
        <w:rPr>
          <w:sz w:val="23"/>
        </w:rPr>
        <w:t>multidrug-resistant tuberculosis ： prospective, multicenter, randomized controlled study in China. Clin Infect Dis Off Publ Infect Dis Soc Am. 2015 May 1;60(9)：1361–7.</w:t>
      </w:r>
    </w:p>
    <w:p>
      <w:pPr>
        <w:pStyle w:val="ListParagraph"/>
        <w:numPr>
          <w:ilvl w:val="0"/>
          <w:numId w:val="180"/>
        </w:numPr>
        <w:tabs>
          <w:tab w:pos="1116" w:val="left" w:leader="none"/>
        </w:tabs>
        <w:spacing w:line="410" w:lineRule="exact" w:before="0" w:after="0"/>
        <w:ind w:left="1116" w:right="0" w:hanging="446"/>
        <w:jc w:val="both"/>
        <w:rPr>
          <w:sz w:val="26"/>
        </w:rPr>
      </w:pPr>
      <w:r>
        <w:rPr>
          <w:sz w:val="23"/>
        </w:rPr>
        <w:t>Tang S, Yao L, Hao X, Zhang X, Liu G, Liu X, et al. Efficacy, safety and tolerability</w:t>
      </w:r>
      <w:r>
        <w:rPr>
          <w:spacing w:val="-4"/>
          <w:sz w:val="23"/>
        </w:rPr>
        <w:t> </w:t>
      </w:r>
      <w:r>
        <w:rPr>
          <w:sz w:val="23"/>
        </w:rPr>
        <w:t>of</w:t>
      </w:r>
    </w:p>
    <w:p>
      <w:pPr>
        <w:spacing w:line="232" w:lineRule="auto" w:before="0"/>
        <w:ind w:left="1116" w:right="1359" w:hanging="1"/>
        <w:jc w:val="both"/>
        <w:rPr>
          <w:sz w:val="23"/>
        </w:rPr>
      </w:pPr>
      <w:r>
        <w:rPr>
          <w:sz w:val="23"/>
        </w:rPr>
        <w:t>linezolid for the treatment of XDR-TB： a study in China. Eur Respir J. 2015 Jan;45(1)：161–70.</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Tang,</w:t>
      </w:r>
      <w:r>
        <w:rPr>
          <w:spacing w:val="9"/>
          <w:sz w:val="23"/>
        </w:rPr>
        <w:t> </w:t>
      </w:r>
      <w:r>
        <w:rPr>
          <w:sz w:val="23"/>
        </w:rPr>
        <w:t>S,</w:t>
      </w:r>
      <w:r>
        <w:rPr>
          <w:spacing w:val="11"/>
          <w:sz w:val="23"/>
        </w:rPr>
        <w:t> </w:t>
      </w:r>
      <w:r>
        <w:rPr>
          <w:sz w:val="23"/>
        </w:rPr>
        <w:t>Yao</w:t>
      </w:r>
      <w:r>
        <w:rPr>
          <w:spacing w:val="12"/>
          <w:sz w:val="23"/>
        </w:rPr>
        <w:t> </w:t>
      </w:r>
      <w:r>
        <w:rPr>
          <w:sz w:val="23"/>
        </w:rPr>
        <w:t>L,</w:t>
      </w:r>
      <w:r>
        <w:rPr>
          <w:spacing w:val="11"/>
          <w:sz w:val="23"/>
        </w:rPr>
        <w:t> </w:t>
      </w:r>
      <w:r>
        <w:rPr>
          <w:sz w:val="23"/>
        </w:rPr>
        <w:t>Hao</w:t>
      </w:r>
      <w:r>
        <w:rPr>
          <w:spacing w:val="11"/>
          <w:sz w:val="23"/>
        </w:rPr>
        <w:t> </w:t>
      </w:r>
      <w:r>
        <w:rPr>
          <w:sz w:val="23"/>
        </w:rPr>
        <w:t>X,</w:t>
      </w:r>
      <w:r>
        <w:rPr>
          <w:spacing w:val="12"/>
          <w:sz w:val="23"/>
        </w:rPr>
        <w:t> </w:t>
      </w:r>
      <w:r>
        <w:rPr>
          <w:sz w:val="23"/>
        </w:rPr>
        <w:t>et</w:t>
      </w:r>
      <w:r>
        <w:rPr>
          <w:spacing w:val="12"/>
          <w:sz w:val="23"/>
        </w:rPr>
        <w:t> </w:t>
      </w:r>
      <w:r>
        <w:rPr>
          <w:sz w:val="23"/>
        </w:rPr>
        <w:t>al.</w:t>
      </w:r>
      <w:r>
        <w:rPr>
          <w:spacing w:val="12"/>
          <w:sz w:val="23"/>
        </w:rPr>
        <w:t> </w:t>
      </w:r>
      <w:r>
        <w:rPr>
          <w:sz w:val="23"/>
        </w:rPr>
        <w:t>Clofazimine</w:t>
      </w:r>
      <w:r>
        <w:rPr>
          <w:spacing w:val="10"/>
          <w:sz w:val="23"/>
        </w:rPr>
        <w:t> </w:t>
      </w:r>
      <w:r>
        <w:rPr>
          <w:sz w:val="23"/>
        </w:rPr>
        <w:t>for</w:t>
      </w:r>
      <w:r>
        <w:rPr>
          <w:spacing w:val="10"/>
          <w:sz w:val="23"/>
        </w:rPr>
        <w:t> </w:t>
      </w:r>
      <w:r>
        <w:rPr>
          <w:sz w:val="23"/>
        </w:rPr>
        <w:t>the</w:t>
      </w:r>
      <w:r>
        <w:rPr>
          <w:spacing w:val="11"/>
          <w:sz w:val="23"/>
        </w:rPr>
        <w:t> </w:t>
      </w:r>
      <w:r>
        <w:rPr>
          <w:sz w:val="23"/>
        </w:rPr>
        <w:t>treatment</w:t>
      </w:r>
      <w:r>
        <w:rPr>
          <w:spacing w:val="13"/>
          <w:sz w:val="23"/>
        </w:rPr>
        <w:t> </w:t>
      </w:r>
      <w:r>
        <w:rPr>
          <w:sz w:val="23"/>
        </w:rPr>
        <w:t>of</w:t>
      </w:r>
      <w:r>
        <w:rPr>
          <w:spacing w:val="11"/>
          <w:sz w:val="23"/>
        </w:rPr>
        <w:t> </w:t>
      </w:r>
      <w:r>
        <w:rPr>
          <w:sz w:val="23"/>
        </w:rPr>
        <w:t>multidrug-resistant</w:t>
      </w:r>
    </w:p>
    <w:p>
      <w:pPr>
        <w:spacing w:line="232" w:lineRule="auto" w:before="0"/>
        <w:ind w:left="1116" w:right="1354" w:firstLine="0"/>
        <w:jc w:val="left"/>
        <w:rPr>
          <w:sz w:val="23"/>
        </w:rPr>
      </w:pPr>
      <w:r>
        <w:rPr>
          <w:sz w:val="23"/>
        </w:rPr>
        <w:t>tuberculosis： prospective multicenter, randomized controlled study in China. Clin Infect Dis.2015;60：1361-1367.</w:t>
      </w:r>
    </w:p>
    <w:p>
      <w:pPr>
        <w:pStyle w:val="ListParagraph"/>
        <w:numPr>
          <w:ilvl w:val="0"/>
          <w:numId w:val="180"/>
        </w:numPr>
        <w:tabs>
          <w:tab w:pos="1116" w:val="left" w:leader="none"/>
        </w:tabs>
        <w:spacing w:line="426" w:lineRule="exact" w:before="0" w:after="0"/>
        <w:ind w:left="1116" w:right="0" w:hanging="446"/>
        <w:jc w:val="left"/>
        <w:rPr>
          <w:sz w:val="26"/>
        </w:rPr>
      </w:pPr>
      <w:r>
        <w:rPr>
          <w:sz w:val="23"/>
        </w:rPr>
        <w:t>The use of molecular line probe assays for the detection of resistance to</w:t>
      </w:r>
      <w:r>
        <w:rPr>
          <w:spacing w:val="14"/>
          <w:sz w:val="23"/>
        </w:rPr>
        <w:t> </w:t>
      </w:r>
      <w:r>
        <w:rPr>
          <w:sz w:val="23"/>
        </w:rPr>
        <w:t>second-</w:t>
      </w:r>
    </w:p>
    <w:p>
      <w:pPr>
        <w:spacing w:after="0" w:line="426" w:lineRule="exact"/>
        <w:jc w:val="left"/>
        <w:rPr>
          <w:sz w:val="26"/>
        </w:rPr>
        <w:sectPr>
          <w:pgSz w:w="12250" w:h="17190"/>
          <w:pgMar w:header="0" w:footer="734" w:top="1460" w:bottom="1020" w:left="1020" w:right="0"/>
        </w:sectPr>
      </w:pPr>
    </w:p>
    <w:p>
      <w:pPr>
        <w:tabs>
          <w:tab w:pos="1771" w:val="left" w:leader="none"/>
          <w:tab w:pos="3884" w:val="left" w:leader="none"/>
          <w:tab w:pos="4829" w:val="left" w:leader="none"/>
          <w:tab w:pos="5735" w:val="left" w:leader="none"/>
          <w:tab w:pos="7066" w:val="left" w:leader="none"/>
          <w:tab w:pos="8203" w:val="left" w:leader="none"/>
          <w:tab w:pos="9139" w:val="left" w:leader="none"/>
        </w:tabs>
        <w:spacing w:line="232" w:lineRule="auto" w:before="24"/>
        <w:ind w:left="1115" w:right="1361" w:firstLine="0"/>
        <w:jc w:val="left"/>
        <w:rPr>
          <w:sz w:val="23"/>
        </w:rPr>
      </w:pPr>
      <w:r>
        <w:rPr>
          <w:sz w:val="23"/>
        </w:rPr>
        <w:t>line</w:t>
        <w:tab/>
        <w:t>anti-tuberculosis</w:t>
        <w:tab/>
        <w:t>drugs.</w:t>
        <w:tab/>
        <w:t>Policy</w:t>
        <w:tab/>
        <w:t>guidance.</w:t>
        <w:tab/>
        <w:t>Geneva,</w:t>
        <w:tab/>
        <w:t>World</w:t>
        <w:tab/>
        <w:t>Health Organization. 2016. Available from： </w:t>
      </w:r>
      <w:r>
        <w:rPr>
          <w:sz w:val="23"/>
          <w:u w:val="single"/>
        </w:rPr>
        <w:t>http//</w:t>
      </w:r>
      <w:hyperlink r:id="rId84">
        <w:r>
          <w:rPr>
            <w:sz w:val="23"/>
            <w:u w:val="single"/>
          </w:rPr>
          <w:t>www.who.int/tb/WHOPolicyStatementSLLPA.pdf</w:t>
        </w:r>
      </w:hyperlink>
    </w:p>
    <w:p>
      <w:pPr>
        <w:pStyle w:val="ListParagraph"/>
        <w:numPr>
          <w:ilvl w:val="0"/>
          <w:numId w:val="180"/>
        </w:numPr>
        <w:tabs>
          <w:tab w:pos="1116" w:val="left" w:leader="none"/>
        </w:tabs>
        <w:spacing w:line="411" w:lineRule="exact" w:before="0" w:after="0"/>
        <w:ind w:left="1116" w:right="0" w:hanging="446"/>
        <w:jc w:val="left"/>
        <w:rPr>
          <w:sz w:val="26"/>
        </w:rPr>
      </w:pPr>
      <w:r>
        <w:rPr>
          <w:sz w:val="23"/>
        </w:rPr>
        <w:t>Van</w:t>
      </w:r>
      <w:r>
        <w:rPr>
          <w:spacing w:val="23"/>
          <w:sz w:val="23"/>
        </w:rPr>
        <w:t> </w:t>
      </w:r>
      <w:r>
        <w:rPr>
          <w:sz w:val="23"/>
        </w:rPr>
        <w:t>Deun</w:t>
      </w:r>
      <w:r>
        <w:rPr>
          <w:spacing w:val="22"/>
          <w:sz w:val="23"/>
        </w:rPr>
        <w:t> </w:t>
      </w:r>
      <w:r>
        <w:rPr>
          <w:sz w:val="23"/>
        </w:rPr>
        <w:t>A,</w:t>
      </w:r>
      <w:r>
        <w:rPr>
          <w:spacing w:val="24"/>
          <w:sz w:val="23"/>
        </w:rPr>
        <w:t> </w:t>
      </w:r>
      <w:r>
        <w:rPr>
          <w:sz w:val="23"/>
        </w:rPr>
        <w:t>Maug</w:t>
      </w:r>
      <w:r>
        <w:rPr>
          <w:spacing w:val="25"/>
          <w:sz w:val="23"/>
        </w:rPr>
        <w:t> </w:t>
      </w:r>
      <w:r>
        <w:rPr>
          <w:sz w:val="23"/>
        </w:rPr>
        <w:t>AK,</w:t>
      </w:r>
      <w:r>
        <w:rPr>
          <w:spacing w:val="23"/>
          <w:sz w:val="23"/>
        </w:rPr>
        <w:t> </w:t>
      </w:r>
      <w:r>
        <w:rPr>
          <w:sz w:val="23"/>
        </w:rPr>
        <w:t>Salim</w:t>
      </w:r>
      <w:r>
        <w:rPr>
          <w:spacing w:val="23"/>
          <w:sz w:val="23"/>
        </w:rPr>
        <w:t> </w:t>
      </w:r>
      <w:r>
        <w:rPr>
          <w:sz w:val="23"/>
        </w:rPr>
        <w:t>MA,</w:t>
      </w:r>
      <w:r>
        <w:rPr>
          <w:spacing w:val="23"/>
          <w:sz w:val="23"/>
        </w:rPr>
        <w:t> </w:t>
      </w:r>
      <w:r>
        <w:rPr>
          <w:sz w:val="23"/>
        </w:rPr>
        <w:t>Das</w:t>
      </w:r>
      <w:r>
        <w:rPr>
          <w:spacing w:val="25"/>
          <w:sz w:val="23"/>
        </w:rPr>
        <w:t> </w:t>
      </w:r>
      <w:r>
        <w:rPr>
          <w:sz w:val="23"/>
        </w:rPr>
        <w:t>PK,</w:t>
      </w:r>
      <w:r>
        <w:rPr>
          <w:spacing w:val="23"/>
          <w:sz w:val="23"/>
        </w:rPr>
        <w:t> </w:t>
      </w:r>
      <w:r>
        <w:rPr>
          <w:sz w:val="23"/>
        </w:rPr>
        <w:t>Sarker</w:t>
      </w:r>
      <w:r>
        <w:rPr>
          <w:spacing w:val="23"/>
          <w:sz w:val="23"/>
        </w:rPr>
        <w:t> </w:t>
      </w:r>
      <w:r>
        <w:rPr>
          <w:sz w:val="23"/>
        </w:rPr>
        <w:t>MR,</w:t>
      </w:r>
      <w:r>
        <w:rPr>
          <w:spacing w:val="23"/>
          <w:sz w:val="23"/>
        </w:rPr>
        <w:t> </w:t>
      </w:r>
      <w:r>
        <w:rPr>
          <w:sz w:val="23"/>
        </w:rPr>
        <w:t>Daru</w:t>
      </w:r>
      <w:r>
        <w:rPr>
          <w:spacing w:val="24"/>
          <w:sz w:val="23"/>
        </w:rPr>
        <w:t> </w:t>
      </w:r>
      <w:r>
        <w:rPr>
          <w:sz w:val="23"/>
        </w:rPr>
        <w:t>P,</w:t>
      </w:r>
      <w:r>
        <w:rPr>
          <w:spacing w:val="23"/>
          <w:sz w:val="23"/>
        </w:rPr>
        <w:t> </w:t>
      </w:r>
      <w:r>
        <w:rPr>
          <w:sz w:val="23"/>
        </w:rPr>
        <w:t>Rieder</w:t>
      </w:r>
      <w:r>
        <w:rPr>
          <w:spacing w:val="24"/>
          <w:sz w:val="23"/>
        </w:rPr>
        <w:t> </w:t>
      </w:r>
      <w:r>
        <w:rPr>
          <w:sz w:val="23"/>
        </w:rPr>
        <w:t>HL.</w:t>
      </w:r>
      <w:r>
        <w:rPr>
          <w:spacing w:val="23"/>
          <w:sz w:val="23"/>
        </w:rPr>
        <w:t> </w:t>
      </w:r>
      <w:r>
        <w:rPr>
          <w:sz w:val="23"/>
        </w:rPr>
        <w:t>Short,</w:t>
      </w:r>
    </w:p>
    <w:p>
      <w:pPr>
        <w:spacing w:line="232" w:lineRule="auto" w:before="0"/>
        <w:ind w:left="1115" w:right="1358" w:firstLine="0"/>
        <w:jc w:val="both"/>
        <w:rPr>
          <w:sz w:val="23"/>
        </w:rPr>
      </w:pPr>
      <w:r>
        <w:rPr>
          <w:sz w:val="23"/>
        </w:rPr>
        <w:t>highly effective, and inexpensive standardized treatment of multidrug-resistant tuberculosis. Am J Respir Crit Care Med. 2010 Sep 1;182(5):684-92. doi: 10.1164/rccm.201001-0077OC. Epub 2010 May 4. PMID: 20442432.Velasquez</w:t>
      </w:r>
    </w:p>
    <w:p>
      <w:pPr>
        <w:spacing w:line="232" w:lineRule="auto" w:before="0"/>
        <w:ind w:left="1116" w:right="1361" w:hanging="1"/>
        <w:jc w:val="both"/>
        <w:rPr>
          <w:sz w:val="23"/>
        </w:rPr>
      </w:pPr>
      <w:r>
        <w:rPr>
          <w:sz w:val="23"/>
        </w:rPr>
        <w:t>GE, Becerra MC, Gelmanova IR, et al. Improving outcomes for multidrug- resistant tuberculosis ： aggressive regimens prevent treatment failure and death. Clin Infect</w:t>
      </w:r>
      <w:r>
        <w:rPr>
          <w:spacing w:val="11"/>
          <w:sz w:val="23"/>
        </w:rPr>
        <w:t> </w:t>
      </w:r>
      <w:r>
        <w:rPr>
          <w:sz w:val="23"/>
        </w:rPr>
        <w:t>Dis.2014：59：9-15.</w:t>
      </w:r>
    </w:p>
    <w:p>
      <w:pPr>
        <w:pStyle w:val="ListParagraph"/>
        <w:numPr>
          <w:ilvl w:val="0"/>
          <w:numId w:val="180"/>
        </w:numPr>
        <w:tabs>
          <w:tab w:pos="1116" w:val="left" w:leader="none"/>
        </w:tabs>
        <w:spacing w:line="410" w:lineRule="exact" w:before="0" w:after="0"/>
        <w:ind w:left="1116" w:right="0" w:hanging="446"/>
        <w:jc w:val="left"/>
        <w:rPr>
          <w:sz w:val="26"/>
        </w:rPr>
      </w:pPr>
      <w:r>
        <w:rPr>
          <w:sz w:val="23"/>
        </w:rPr>
        <w:t>Wang</w:t>
      </w:r>
      <w:r>
        <w:rPr>
          <w:spacing w:val="15"/>
          <w:sz w:val="23"/>
        </w:rPr>
        <w:t> </w:t>
      </w:r>
      <w:r>
        <w:rPr>
          <w:sz w:val="23"/>
        </w:rPr>
        <w:t>TY,</w:t>
      </w:r>
      <w:r>
        <w:rPr>
          <w:spacing w:val="15"/>
          <w:sz w:val="23"/>
        </w:rPr>
        <w:t> </w:t>
      </w:r>
      <w:r>
        <w:rPr>
          <w:sz w:val="23"/>
        </w:rPr>
        <w:t>Lin</w:t>
      </w:r>
      <w:r>
        <w:rPr>
          <w:spacing w:val="17"/>
          <w:sz w:val="23"/>
        </w:rPr>
        <w:t> </w:t>
      </w:r>
      <w:r>
        <w:rPr>
          <w:sz w:val="23"/>
        </w:rPr>
        <w:t>SM,</w:t>
      </w:r>
      <w:r>
        <w:rPr>
          <w:spacing w:val="14"/>
          <w:sz w:val="23"/>
        </w:rPr>
        <w:t> </w:t>
      </w:r>
      <w:r>
        <w:rPr>
          <w:sz w:val="23"/>
        </w:rPr>
        <w:t>Shie</w:t>
      </w:r>
      <w:r>
        <w:rPr>
          <w:spacing w:val="17"/>
          <w:sz w:val="23"/>
        </w:rPr>
        <w:t> </w:t>
      </w:r>
      <w:r>
        <w:rPr>
          <w:sz w:val="23"/>
        </w:rPr>
        <w:t>SS,</w:t>
      </w:r>
      <w:r>
        <w:rPr>
          <w:spacing w:val="17"/>
          <w:sz w:val="23"/>
        </w:rPr>
        <w:t> </w:t>
      </w:r>
      <w:r>
        <w:rPr>
          <w:sz w:val="23"/>
        </w:rPr>
        <w:t>et</w:t>
      </w:r>
      <w:r>
        <w:rPr>
          <w:spacing w:val="17"/>
          <w:sz w:val="23"/>
        </w:rPr>
        <w:t> </w:t>
      </w:r>
      <w:r>
        <w:rPr>
          <w:sz w:val="23"/>
        </w:rPr>
        <w:t>al.</w:t>
      </w:r>
      <w:r>
        <w:rPr>
          <w:spacing w:val="14"/>
          <w:sz w:val="23"/>
        </w:rPr>
        <w:t> </w:t>
      </w:r>
      <w:r>
        <w:rPr>
          <w:sz w:val="23"/>
        </w:rPr>
        <w:t>Clinical</w:t>
      </w:r>
      <w:r>
        <w:rPr>
          <w:spacing w:val="16"/>
          <w:sz w:val="23"/>
        </w:rPr>
        <w:t> </w:t>
      </w:r>
      <w:r>
        <w:rPr>
          <w:sz w:val="23"/>
        </w:rPr>
        <w:t>characteristics</w:t>
      </w:r>
      <w:r>
        <w:rPr>
          <w:spacing w:val="18"/>
          <w:sz w:val="23"/>
        </w:rPr>
        <w:t> </w:t>
      </w:r>
      <w:r>
        <w:rPr>
          <w:sz w:val="23"/>
        </w:rPr>
        <w:t>and</w:t>
      </w:r>
      <w:r>
        <w:rPr>
          <w:spacing w:val="16"/>
          <w:sz w:val="23"/>
        </w:rPr>
        <w:t> </w:t>
      </w:r>
      <w:r>
        <w:rPr>
          <w:sz w:val="23"/>
        </w:rPr>
        <w:t>treatment</w:t>
      </w:r>
      <w:r>
        <w:rPr>
          <w:spacing w:val="17"/>
          <w:sz w:val="23"/>
        </w:rPr>
        <w:t> </w:t>
      </w:r>
      <w:r>
        <w:rPr>
          <w:sz w:val="23"/>
        </w:rPr>
        <w:t>outcomes</w:t>
      </w:r>
    </w:p>
    <w:p>
      <w:pPr>
        <w:spacing w:line="232" w:lineRule="auto" w:before="0"/>
        <w:ind w:left="1116" w:right="1354" w:firstLine="0"/>
        <w:jc w:val="left"/>
        <w:rPr>
          <w:sz w:val="23"/>
        </w:rPr>
      </w:pPr>
      <w:r>
        <w:rPr>
          <w:sz w:val="23"/>
        </w:rPr>
        <w:t>of </w:t>
      </w:r>
      <w:r>
        <w:rPr>
          <w:spacing w:val="-3"/>
          <w:sz w:val="23"/>
        </w:rPr>
        <w:t>patients with low-and high-concentration isoniazid-monoresistant tuberculosis. </w:t>
      </w:r>
      <w:r>
        <w:rPr>
          <w:sz w:val="23"/>
        </w:rPr>
        <w:t>PLoS ONE. 2014：9(1)：e86316.</w:t>
      </w:r>
    </w:p>
    <w:p>
      <w:pPr>
        <w:pStyle w:val="ListParagraph"/>
        <w:numPr>
          <w:ilvl w:val="0"/>
          <w:numId w:val="180"/>
        </w:numPr>
        <w:tabs>
          <w:tab w:pos="1116" w:val="left" w:leader="none"/>
        </w:tabs>
        <w:spacing w:line="412" w:lineRule="exact" w:before="0" w:after="0"/>
        <w:ind w:left="1116" w:right="0" w:hanging="446"/>
        <w:jc w:val="left"/>
        <w:rPr>
          <w:sz w:val="26"/>
        </w:rPr>
      </w:pPr>
      <w:r>
        <w:rPr>
          <w:sz w:val="23"/>
        </w:rPr>
        <w:t>WHO consolidated guidelines on drug-resistant tuberculosis treatment.</w:t>
      </w:r>
      <w:r>
        <w:rPr>
          <w:spacing w:val="4"/>
          <w:sz w:val="23"/>
        </w:rPr>
        <w:t> </w:t>
      </w:r>
      <w:r>
        <w:rPr>
          <w:sz w:val="23"/>
        </w:rPr>
        <w:t>Geneva:</w:t>
      </w:r>
    </w:p>
    <w:p>
      <w:pPr>
        <w:spacing w:line="382" w:lineRule="exact" w:before="0"/>
        <w:ind w:left="1116" w:right="0" w:firstLine="0"/>
        <w:jc w:val="left"/>
        <w:rPr>
          <w:sz w:val="23"/>
        </w:rPr>
      </w:pPr>
      <w:r>
        <w:rPr>
          <w:sz w:val="23"/>
        </w:rPr>
        <w:t>World Health Organization; 2019.Lcence:CC BY-NC-SA 3.0 IGO.</w:t>
      </w:r>
    </w:p>
    <w:p>
      <w:pPr>
        <w:pStyle w:val="ListParagraph"/>
        <w:numPr>
          <w:ilvl w:val="0"/>
          <w:numId w:val="180"/>
        </w:numPr>
        <w:tabs>
          <w:tab w:pos="1116" w:val="left" w:leader="none"/>
        </w:tabs>
        <w:spacing w:line="228" w:lineRule="auto" w:before="0" w:after="0"/>
        <w:ind w:left="1115" w:right="1360" w:hanging="446"/>
        <w:jc w:val="both"/>
        <w:rPr>
          <w:sz w:val="26"/>
        </w:rPr>
      </w:pPr>
      <w:r>
        <w:rPr>
          <w:sz w:val="23"/>
        </w:rPr>
        <w:t>WHO consolidated guidelines on tuberculosis. Module 4: treatment - drug- resistant tuberculosis treatment. Geneva: World Health Organization; 2020. Licence: CC BY-NC-SA 3.0</w:t>
      </w:r>
      <w:r>
        <w:rPr>
          <w:spacing w:val="16"/>
          <w:sz w:val="23"/>
        </w:rPr>
        <w:t> </w:t>
      </w:r>
      <w:r>
        <w:rPr>
          <w:sz w:val="23"/>
        </w:rPr>
        <w:t>IGO.</w:t>
      </w:r>
    </w:p>
    <w:p>
      <w:pPr>
        <w:pStyle w:val="ListParagraph"/>
        <w:numPr>
          <w:ilvl w:val="0"/>
          <w:numId w:val="180"/>
        </w:numPr>
        <w:tabs>
          <w:tab w:pos="1116" w:val="left" w:leader="none"/>
        </w:tabs>
        <w:spacing w:line="415" w:lineRule="exact" w:before="0" w:after="0"/>
        <w:ind w:left="1116" w:right="0" w:hanging="446"/>
        <w:jc w:val="left"/>
        <w:rPr>
          <w:sz w:val="26"/>
        </w:rPr>
      </w:pPr>
      <w:r>
        <w:rPr>
          <w:sz w:val="23"/>
        </w:rPr>
        <w:t>WHO announces updated definitions of extensively drug-resistant</w:t>
      </w:r>
      <w:r>
        <w:rPr>
          <w:spacing w:val="46"/>
          <w:sz w:val="23"/>
        </w:rPr>
        <w:t> </w:t>
      </w:r>
      <w:r>
        <w:rPr>
          <w:sz w:val="23"/>
        </w:rPr>
        <w:t>tuberculosis.</w:t>
      </w:r>
    </w:p>
    <w:p>
      <w:pPr>
        <w:spacing w:line="232" w:lineRule="auto" w:before="0"/>
        <w:ind w:left="1115" w:right="1577" w:firstLine="0"/>
        <w:jc w:val="left"/>
        <w:rPr>
          <w:sz w:val="23"/>
        </w:rPr>
      </w:pPr>
      <w:r>
        <w:rPr>
          <w:sz w:val="23"/>
        </w:rPr>
        <w:t>Available from: https://</w:t>
      </w:r>
      <w:hyperlink r:id="rId85">
        <w:r>
          <w:rPr>
            <w:sz w:val="23"/>
          </w:rPr>
          <w:t>www.who.int/news/item/27-01-2021-who-announces-</w:t>
        </w:r>
      </w:hyperlink>
      <w:r>
        <w:rPr>
          <w:sz w:val="23"/>
        </w:rPr>
        <w:t> updated-definitions-of-extensively-drug-resistant-tuberculosis</w:t>
      </w:r>
    </w:p>
    <w:p>
      <w:pPr>
        <w:spacing w:after="0" w:line="232" w:lineRule="auto"/>
        <w:jc w:val="left"/>
        <w:rPr>
          <w:sz w:val="23"/>
        </w:rPr>
        <w:sectPr>
          <w:pgSz w:w="12250" w:h="17190"/>
          <w:pgMar w:header="0" w:footer="734" w:top="1480" w:bottom="1020" w:left="1020" w:right="0"/>
        </w:sectPr>
      </w:pPr>
    </w:p>
    <w:p>
      <w:pPr>
        <w:pStyle w:val="Heading6"/>
        <w:tabs>
          <w:tab w:pos="3997" w:val="left" w:leader="none"/>
        </w:tabs>
        <w:spacing w:before="8"/>
        <w:ind w:left="2874"/>
      </w:pPr>
      <w:r>
        <w:rPr/>
        <w:pict>
          <v:group style="position:absolute;margin-left:573pt;margin-top:2.695757pt;width:39.4pt;height:177.4pt;mso-position-horizontal-relative:page;mso-position-vertical-relative:paragraph;z-index:251917312" coordorigin="11460,54" coordsize="788,3548">
            <v:shape style="position:absolute;left:11460;top:53;width:788;height:3548" coordorigin="11460,54" coordsize="788,3548" path="m12247,54l11625,54,11561,67,11508,102,11473,155,11460,219,11460,3437,11473,3501,11508,3553,11561,3589,11625,3602,12247,3602,12247,54xe" filled="true" fillcolor="#a6a6a6" stroked="false">
              <v:path arrowok="t"/>
              <v:fill type="solid"/>
            </v:shape>
            <v:shape style="position:absolute;left:11460;top:53;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bookmarkStart w:name="表12-1  MDR-TB短期治療處方建議表" w:id="157"/>
      <w:bookmarkEnd w:id="157"/>
      <w:r>
        <w:rPr>
          <w:b w:val="0"/>
        </w:rPr>
      </w:r>
      <w:r>
        <w:rPr/>
        <w:t>表</w:t>
      </w:r>
      <w:r>
        <w:rPr>
          <w:spacing w:val="44"/>
        </w:rPr>
        <w:t> </w:t>
      </w:r>
      <w:r>
        <w:rPr/>
        <w:t>12-1</w:t>
        <w:tab/>
        <w:t>MDR-TB</w:t>
      </w:r>
      <w:r>
        <w:rPr>
          <w:spacing w:val="1"/>
        </w:rPr>
        <w:t> </w:t>
      </w:r>
      <w:r>
        <w:rPr/>
        <w:t>短期治療處方建議表</w:t>
      </w:r>
    </w:p>
    <w:p>
      <w:pPr>
        <w:pStyle w:val="BodyText"/>
        <w:spacing w:before="15"/>
        <w:rPr>
          <w:b/>
          <w:sz w:val="6"/>
        </w:rPr>
      </w:pPr>
    </w:p>
    <w:tbl>
      <w:tblPr>
        <w:tblW w:w="0" w:type="auto"/>
        <w:jc w:val="left"/>
        <w:tblInd w:w="4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007"/>
        <w:gridCol w:w="4292"/>
      </w:tblGrid>
      <w:tr>
        <w:trPr>
          <w:trHeight w:val="1247" w:hRule="atLeast"/>
        </w:trPr>
        <w:tc>
          <w:tcPr>
            <w:tcW w:w="5007" w:type="dxa"/>
            <w:tcBorders>
              <w:bottom w:val="single" w:sz="6" w:space="0" w:color="000000"/>
              <w:right w:val="single" w:sz="6" w:space="0" w:color="000000"/>
            </w:tcBorders>
            <w:shd w:val="clear" w:color="auto" w:fill="F1F1F1"/>
          </w:tcPr>
          <w:p>
            <w:pPr>
              <w:pStyle w:val="TableParagraph"/>
              <w:spacing w:line="172" w:lineRule="auto" w:before="171"/>
              <w:ind w:left="107" w:right="1616"/>
              <w:rPr>
                <w:b/>
                <w:sz w:val="24"/>
              </w:rPr>
            </w:pPr>
            <w:r>
              <w:rPr>
                <w:b/>
                <w:sz w:val="24"/>
              </w:rPr>
              <w:t>加強期（Intensive phase）： GEZC KHP</w:t>
            </w:r>
          </w:p>
          <w:p>
            <w:pPr>
              <w:pStyle w:val="TableParagraph"/>
              <w:spacing w:line="356" w:lineRule="exact"/>
              <w:ind w:left="107"/>
              <w:rPr>
                <w:b/>
                <w:sz w:val="24"/>
              </w:rPr>
            </w:pPr>
            <w:r>
              <w:rPr>
                <w:b/>
                <w:sz w:val="24"/>
                <w:u w:val="single"/>
              </w:rPr>
              <w:t>4 months</w:t>
            </w:r>
            <w:r>
              <w:rPr>
                <w:b/>
                <w:sz w:val="24"/>
              </w:rPr>
              <w:t>，延長治療到痰陰轉，最長 6 個月</w:t>
            </w:r>
          </w:p>
        </w:tc>
        <w:tc>
          <w:tcPr>
            <w:tcW w:w="4292" w:type="dxa"/>
            <w:tcBorders>
              <w:left w:val="single" w:sz="6" w:space="0" w:color="000000"/>
              <w:bottom w:val="single" w:sz="6" w:space="0" w:color="000000"/>
            </w:tcBorders>
            <w:shd w:val="clear" w:color="auto" w:fill="F1F1F1"/>
          </w:tcPr>
          <w:p>
            <w:pPr>
              <w:pStyle w:val="TableParagraph"/>
              <w:spacing w:line="172" w:lineRule="auto" w:before="171"/>
              <w:ind w:left="115" w:right="422"/>
              <w:rPr>
                <w:b/>
                <w:sz w:val="24"/>
              </w:rPr>
            </w:pPr>
            <w:r>
              <w:rPr>
                <w:b/>
                <w:sz w:val="24"/>
              </w:rPr>
              <w:t>持續期（Continuation phase）： GEZC</w:t>
            </w:r>
          </w:p>
          <w:p>
            <w:pPr>
              <w:pStyle w:val="TableParagraph"/>
              <w:spacing w:line="356" w:lineRule="exact"/>
              <w:ind w:left="115"/>
              <w:rPr>
                <w:b/>
                <w:sz w:val="24"/>
              </w:rPr>
            </w:pPr>
            <w:r>
              <w:rPr>
                <w:b/>
                <w:sz w:val="24"/>
                <w:u w:val="single"/>
              </w:rPr>
              <w:t>5 months</w:t>
            </w:r>
          </w:p>
        </w:tc>
      </w:tr>
      <w:tr>
        <w:trPr>
          <w:trHeight w:val="466" w:hRule="atLeast"/>
        </w:trPr>
        <w:tc>
          <w:tcPr>
            <w:tcW w:w="5007" w:type="dxa"/>
            <w:tcBorders>
              <w:top w:val="single" w:sz="6" w:space="0" w:color="000000"/>
              <w:bottom w:val="single" w:sz="6" w:space="0" w:color="000000"/>
              <w:right w:val="single" w:sz="6" w:space="0" w:color="000000"/>
            </w:tcBorders>
          </w:tcPr>
          <w:p>
            <w:pPr>
              <w:pStyle w:val="TableParagraph"/>
              <w:spacing w:line="436" w:lineRule="exact" w:before="10"/>
              <w:ind w:left="107"/>
              <w:rPr>
                <w:sz w:val="24"/>
              </w:rPr>
            </w:pPr>
            <w:r>
              <w:rPr>
                <w:sz w:val="24"/>
              </w:rPr>
              <w:t>Amikacin (AM) Kanamycin (K)</w:t>
            </w:r>
          </w:p>
        </w:tc>
        <w:tc>
          <w:tcPr>
            <w:tcW w:w="4292" w:type="dxa"/>
            <w:tcBorders>
              <w:top w:val="single" w:sz="6" w:space="0" w:color="000000"/>
              <w:left w:val="single" w:sz="6" w:space="0" w:color="000000"/>
              <w:bottom w:val="single" w:sz="6" w:space="0" w:color="000000"/>
            </w:tcBorders>
          </w:tcPr>
          <w:p>
            <w:pPr>
              <w:pStyle w:val="TableParagraph"/>
              <w:rPr>
                <w:rFonts w:ascii="Times New Roman"/>
                <w:sz w:val="22"/>
              </w:rPr>
            </w:pPr>
          </w:p>
        </w:tc>
      </w:tr>
      <w:tr>
        <w:trPr>
          <w:trHeight w:val="467" w:hRule="atLeast"/>
        </w:trPr>
        <w:tc>
          <w:tcPr>
            <w:tcW w:w="5007" w:type="dxa"/>
            <w:tcBorders>
              <w:top w:val="single" w:sz="6" w:space="0" w:color="000000"/>
              <w:bottom w:val="single" w:sz="6" w:space="0" w:color="000000"/>
              <w:right w:val="single" w:sz="6" w:space="0" w:color="000000"/>
            </w:tcBorders>
          </w:tcPr>
          <w:p>
            <w:pPr>
              <w:pStyle w:val="TableParagraph"/>
              <w:spacing w:line="436" w:lineRule="exact" w:before="11"/>
              <w:ind w:left="107"/>
              <w:rPr>
                <w:sz w:val="24"/>
              </w:rPr>
            </w:pPr>
            <w:r>
              <w:rPr>
                <w:sz w:val="24"/>
              </w:rPr>
              <w:t>Prothionamide (P)</w:t>
            </w:r>
          </w:p>
        </w:tc>
        <w:tc>
          <w:tcPr>
            <w:tcW w:w="4292" w:type="dxa"/>
            <w:tcBorders>
              <w:top w:val="single" w:sz="6" w:space="0" w:color="000000"/>
              <w:left w:val="single" w:sz="6" w:space="0" w:color="000000"/>
              <w:bottom w:val="single" w:sz="6" w:space="0" w:color="000000"/>
            </w:tcBorders>
          </w:tcPr>
          <w:p>
            <w:pPr>
              <w:pStyle w:val="TableParagraph"/>
              <w:rPr>
                <w:rFonts w:ascii="Times New Roman"/>
                <w:sz w:val="22"/>
              </w:rPr>
            </w:pPr>
          </w:p>
        </w:tc>
      </w:tr>
      <w:tr>
        <w:trPr>
          <w:trHeight w:val="467" w:hRule="atLeast"/>
        </w:trPr>
        <w:tc>
          <w:tcPr>
            <w:tcW w:w="5007" w:type="dxa"/>
            <w:tcBorders>
              <w:top w:val="single" w:sz="6" w:space="0" w:color="000000"/>
              <w:bottom w:val="single" w:sz="6" w:space="0" w:color="000000"/>
              <w:right w:val="single" w:sz="6" w:space="0" w:color="000000"/>
            </w:tcBorders>
          </w:tcPr>
          <w:p>
            <w:pPr>
              <w:pStyle w:val="TableParagraph"/>
              <w:spacing w:line="437" w:lineRule="exact" w:before="10"/>
              <w:ind w:left="107"/>
              <w:rPr>
                <w:sz w:val="24"/>
              </w:rPr>
            </w:pPr>
            <w:r>
              <w:rPr>
                <w:sz w:val="24"/>
              </w:rPr>
              <w:t>Isoniazid (H)*</w:t>
            </w:r>
          </w:p>
        </w:tc>
        <w:tc>
          <w:tcPr>
            <w:tcW w:w="4292" w:type="dxa"/>
            <w:tcBorders>
              <w:top w:val="single" w:sz="6" w:space="0" w:color="000000"/>
              <w:left w:val="single" w:sz="6" w:space="0" w:color="000000"/>
              <w:bottom w:val="single" w:sz="6" w:space="0" w:color="000000"/>
            </w:tcBorders>
          </w:tcPr>
          <w:p>
            <w:pPr>
              <w:pStyle w:val="TableParagraph"/>
              <w:rPr>
                <w:rFonts w:ascii="Times New Roman"/>
                <w:sz w:val="22"/>
              </w:rPr>
            </w:pPr>
          </w:p>
        </w:tc>
      </w:tr>
      <w:tr>
        <w:trPr>
          <w:trHeight w:val="466" w:hRule="atLeast"/>
        </w:trPr>
        <w:tc>
          <w:tcPr>
            <w:tcW w:w="5007" w:type="dxa"/>
            <w:tcBorders>
              <w:top w:val="single" w:sz="6" w:space="0" w:color="000000"/>
              <w:bottom w:val="single" w:sz="6" w:space="0" w:color="000000"/>
              <w:right w:val="single" w:sz="6" w:space="0" w:color="000000"/>
            </w:tcBorders>
          </w:tcPr>
          <w:p>
            <w:pPr>
              <w:pStyle w:val="TableParagraph"/>
              <w:spacing w:line="436" w:lineRule="exact" w:before="10"/>
              <w:ind w:left="107"/>
              <w:rPr>
                <w:sz w:val="24"/>
              </w:rPr>
            </w:pPr>
            <w:r>
              <w:rPr>
                <w:sz w:val="24"/>
              </w:rPr>
              <w:t>Gatifloxacin (G)*或 moxifloxacin (M)*</w:t>
            </w:r>
          </w:p>
        </w:tc>
        <w:tc>
          <w:tcPr>
            <w:tcW w:w="4292" w:type="dxa"/>
            <w:tcBorders>
              <w:top w:val="single" w:sz="6" w:space="0" w:color="000000"/>
              <w:left w:val="single" w:sz="6" w:space="0" w:color="000000"/>
              <w:bottom w:val="single" w:sz="6" w:space="0" w:color="000000"/>
            </w:tcBorders>
          </w:tcPr>
          <w:p>
            <w:pPr>
              <w:pStyle w:val="TableParagraph"/>
              <w:spacing w:line="379" w:lineRule="exact"/>
              <w:ind w:left="115"/>
              <w:rPr>
                <w:sz w:val="24"/>
              </w:rPr>
            </w:pPr>
            <w:r>
              <w:rPr>
                <w:spacing w:val="-3"/>
                <w:sz w:val="24"/>
              </w:rPr>
              <w:t>Gatifloxacin (G)*</w:t>
            </w:r>
            <w:r>
              <w:rPr>
                <w:spacing w:val="55"/>
                <w:sz w:val="24"/>
              </w:rPr>
              <w:t>或</w:t>
            </w:r>
            <w:r>
              <w:rPr>
                <w:spacing w:val="-3"/>
                <w:sz w:val="24"/>
              </w:rPr>
              <w:t>moxifloxacin</w:t>
            </w:r>
            <w:r>
              <w:rPr>
                <w:spacing w:val="-1"/>
                <w:sz w:val="24"/>
              </w:rPr>
              <w:t> (</w:t>
            </w:r>
            <w:r>
              <w:rPr>
                <w:sz w:val="24"/>
              </w:rPr>
              <w:t>M)</w:t>
            </w:r>
          </w:p>
        </w:tc>
      </w:tr>
      <w:tr>
        <w:trPr>
          <w:trHeight w:val="467" w:hRule="atLeast"/>
        </w:trPr>
        <w:tc>
          <w:tcPr>
            <w:tcW w:w="5007" w:type="dxa"/>
            <w:tcBorders>
              <w:top w:val="single" w:sz="6" w:space="0" w:color="000000"/>
              <w:bottom w:val="single" w:sz="6" w:space="0" w:color="000000"/>
              <w:right w:val="single" w:sz="6" w:space="0" w:color="000000"/>
            </w:tcBorders>
          </w:tcPr>
          <w:p>
            <w:pPr>
              <w:pStyle w:val="TableParagraph"/>
              <w:spacing w:line="436" w:lineRule="exact" w:before="11"/>
              <w:ind w:left="107"/>
              <w:rPr>
                <w:sz w:val="24"/>
              </w:rPr>
            </w:pPr>
            <w:r>
              <w:rPr>
                <w:sz w:val="24"/>
              </w:rPr>
              <w:t>Clofazimine (C)</w:t>
            </w:r>
          </w:p>
        </w:tc>
        <w:tc>
          <w:tcPr>
            <w:tcW w:w="4292" w:type="dxa"/>
            <w:tcBorders>
              <w:top w:val="single" w:sz="6" w:space="0" w:color="000000"/>
              <w:left w:val="single" w:sz="6" w:space="0" w:color="000000"/>
              <w:bottom w:val="single" w:sz="6" w:space="0" w:color="000000"/>
            </w:tcBorders>
          </w:tcPr>
          <w:p>
            <w:pPr>
              <w:pStyle w:val="TableParagraph"/>
              <w:spacing w:line="436" w:lineRule="exact" w:before="11"/>
              <w:ind w:left="115"/>
              <w:rPr>
                <w:sz w:val="24"/>
              </w:rPr>
            </w:pPr>
            <w:r>
              <w:rPr>
                <w:sz w:val="24"/>
              </w:rPr>
              <w:t>Clofazimine (C)</w:t>
            </w:r>
          </w:p>
        </w:tc>
      </w:tr>
      <w:tr>
        <w:trPr>
          <w:trHeight w:val="467" w:hRule="atLeast"/>
        </w:trPr>
        <w:tc>
          <w:tcPr>
            <w:tcW w:w="5007" w:type="dxa"/>
            <w:tcBorders>
              <w:top w:val="single" w:sz="6" w:space="0" w:color="000000"/>
              <w:bottom w:val="single" w:sz="6" w:space="0" w:color="000000"/>
              <w:right w:val="single" w:sz="6" w:space="0" w:color="000000"/>
            </w:tcBorders>
          </w:tcPr>
          <w:p>
            <w:pPr>
              <w:pStyle w:val="TableParagraph"/>
              <w:spacing w:line="437" w:lineRule="exact" w:before="10"/>
              <w:ind w:left="107"/>
              <w:rPr>
                <w:sz w:val="24"/>
              </w:rPr>
            </w:pPr>
            <w:r>
              <w:rPr>
                <w:sz w:val="24"/>
              </w:rPr>
              <w:t>Ethambutol (E)</w:t>
            </w:r>
          </w:p>
        </w:tc>
        <w:tc>
          <w:tcPr>
            <w:tcW w:w="4292" w:type="dxa"/>
            <w:tcBorders>
              <w:top w:val="single" w:sz="6" w:space="0" w:color="000000"/>
              <w:left w:val="single" w:sz="6" w:space="0" w:color="000000"/>
              <w:bottom w:val="single" w:sz="6" w:space="0" w:color="000000"/>
            </w:tcBorders>
          </w:tcPr>
          <w:p>
            <w:pPr>
              <w:pStyle w:val="TableParagraph"/>
              <w:spacing w:line="437" w:lineRule="exact" w:before="10"/>
              <w:ind w:left="115"/>
              <w:rPr>
                <w:sz w:val="24"/>
              </w:rPr>
            </w:pPr>
            <w:r>
              <w:rPr>
                <w:sz w:val="24"/>
              </w:rPr>
              <w:t>Ethambutol (E)</w:t>
            </w:r>
          </w:p>
        </w:tc>
      </w:tr>
      <w:tr>
        <w:trPr>
          <w:trHeight w:val="466" w:hRule="atLeast"/>
        </w:trPr>
        <w:tc>
          <w:tcPr>
            <w:tcW w:w="5007" w:type="dxa"/>
            <w:tcBorders>
              <w:top w:val="single" w:sz="6" w:space="0" w:color="000000"/>
              <w:right w:val="single" w:sz="6" w:space="0" w:color="000000"/>
            </w:tcBorders>
          </w:tcPr>
          <w:p>
            <w:pPr>
              <w:pStyle w:val="TableParagraph"/>
              <w:spacing w:line="436" w:lineRule="exact" w:before="10"/>
              <w:ind w:left="107"/>
              <w:rPr>
                <w:sz w:val="24"/>
              </w:rPr>
            </w:pPr>
            <w:r>
              <w:rPr>
                <w:sz w:val="24"/>
              </w:rPr>
              <w:t>Pyrazinamide (Z)</w:t>
            </w:r>
          </w:p>
        </w:tc>
        <w:tc>
          <w:tcPr>
            <w:tcW w:w="4292" w:type="dxa"/>
            <w:tcBorders>
              <w:top w:val="single" w:sz="6" w:space="0" w:color="000000"/>
              <w:left w:val="single" w:sz="6" w:space="0" w:color="000000"/>
            </w:tcBorders>
          </w:tcPr>
          <w:p>
            <w:pPr>
              <w:pStyle w:val="TableParagraph"/>
              <w:spacing w:line="436" w:lineRule="exact" w:before="10"/>
              <w:ind w:left="115"/>
              <w:rPr>
                <w:sz w:val="24"/>
              </w:rPr>
            </w:pPr>
            <w:r>
              <w:rPr>
                <w:sz w:val="24"/>
              </w:rPr>
              <w:t>Pyrazinamide (Z)</w:t>
            </w:r>
          </w:p>
        </w:tc>
      </w:tr>
    </w:tbl>
    <w:p>
      <w:pPr>
        <w:pStyle w:val="BodyText"/>
        <w:spacing w:before="16"/>
        <w:ind w:left="508"/>
      </w:pPr>
      <w:r>
        <w:rPr/>
        <w:t>*high dose</w:t>
      </w:r>
    </w:p>
    <w:p>
      <w:pPr>
        <w:spacing w:after="0"/>
        <w:sectPr>
          <w:pgSz w:w="12250" w:h="17190"/>
          <w:pgMar w:header="0" w:footer="734" w:top="1420" w:bottom="1020" w:left="1020" w:right="0"/>
        </w:sectPr>
      </w:pPr>
    </w:p>
    <w:p>
      <w:pPr>
        <w:pStyle w:val="Heading6"/>
        <w:tabs>
          <w:tab w:pos="3028" w:val="left" w:leader="none"/>
        </w:tabs>
        <w:spacing w:before="8"/>
        <w:ind w:left="1911"/>
      </w:pPr>
      <w:bookmarkStart w:name="表12-2  9-12個月MDR-TB短期治療處方之劑量建議表" w:id="158"/>
      <w:bookmarkEnd w:id="158"/>
      <w:r>
        <w:rPr>
          <w:b w:val="0"/>
        </w:rPr>
      </w:r>
      <w:r>
        <w:rPr/>
        <w:t>表</w:t>
      </w:r>
      <w:r>
        <w:rPr>
          <w:spacing w:val="-2"/>
        </w:rPr>
        <w:t> </w:t>
      </w:r>
      <w:r>
        <w:rPr/>
        <w:t>12-2</w:t>
        <w:tab/>
        <w:t>9-12</w:t>
      </w:r>
      <w:r>
        <w:rPr>
          <w:spacing w:val="-1"/>
        </w:rPr>
        <w:t> </w:t>
      </w:r>
      <w:r>
        <w:rPr/>
        <w:t>個月</w:t>
      </w:r>
      <w:r>
        <w:rPr>
          <w:spacing w:val="1"/>
        </w:rPr>
        <w:t> </w:t>
      </w:r>
      <w:r>
        <w:rPr/>
        <w:t>MDR-TB</w:t>
      </w:r>
      <w:r>
        <w:rPr>
          <w:spacing w:val="1"/>
        </w:rPr>
        <w:t> </w:t>
      </w:r>
      <w:r>
        <w:rPr/>
        <w:t>短期治療處方之劑量建議表</w:t>
      </w:r>
    </w:p>
    <w:p>
      <w:pPr>
        <w:pStyle w:val="BodyText"/>
        <w:spacing w:before="10"/>
        <w:rPr>
          <w:b/>
          <w:sz w:val="3"/>
        </w:rPr>
      </w:pPr>
    </w:p>
    <w:tbl>
      <w:tblPr>
        <w:tblW w:w="0" w:type="auto"/>
        <w:jc w:val="left"/>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72"/>
        <w:gridCol w:w="2363"/>
        <w:gridCol w:w="2362"/>
        <w:gridCol w:w="2361"/>
      </w:tblGrid>
      <w:tr>
        <w:trPr>
          <w:trHeight w:val="456" w:hRule="atLeast"/>
        </w:trPr>
        <w:tc>
          <w:tcPr>
            <w:tcW w:w="2372" w:type="dxa"/>
            <w:vMerge w:val="restart"/>
            <w:tcBorders>
              <w:bottom w:val="single" w:sz="6" w:space="0" w:color="000000"/>
              <w:right w:val="single" w:sz="6" w:space="0" w:color="000000"/>
            </w:tcBorders>
            <w:shd w:val="clear" w:color="auto" w:fill="F1F1F1"/>
          </w:tcPr>
          <w:p>
            <w:pPr>
              <w:pStyle w:val="TableParagraph"/>
              <w:spacing w:before="258"/>
              <w:ind w:left="880" w:right="860"/>
              <w:jc w:val="center"/>
              <w:rPr>
                <w:sz w:val="24"/>
              </w:rPr>
            </w:pPr>
            <w:r>
              <w:rPr>
                <w:sz w:val="24"/>
              </w:rPr>
              <w:t>Drug</w:t>
            </w:r>
          </w:p>
        </w:tc>
        <w:tc>
          <w:tcPr>
            <w:tcW w:w="7086" w:type="dxa"/>
            <w:gridSpan w:val="3"/>
            <w:tcBorders>
              <w:left w:val="single" w:sz="6" w:space="0" w:color="000000"/>
              <w:bottom w:val="single" w:sz="6" w:space="0" w:color="000000"/>
            </w:tcBorders>
            <w:shd w:val="clear" w:color="auto" w:fill="F1F1F1"/>
          </w:tcPr>
          <w:p>
            <w:pPr>
              <w:pStyle w:val="TableParagraph"/>
              <w:spacing w:line="431" w:lineRule="exact" w:before="6"/>
              <w:ind w:left="2742" w:right="2706"/>
              <w:jc w:val="center"/>
              <w:rPr>
                <w:sz w:val="24"/>
              </w:rPr>
            </w:pPr>
            <w:r>
              <w:rPr>
                <w:sz w:val="24"/>
              </w:rPr>
              <w:t>Weight group</w:t>
            </w:r>
          </w:p>
        </w:tc>
      </w:tr>
      <w:tr>
        <w:trPr>
          <w:trHeight w:val="489" w:hRule="atLeast"/>
        </w:trPr>
        <w:tc>
          <w:tcPr>
            <w:tcW w:w="2372" w:type="dxa"/>
            <w:vMerge/>
            <w:tcBorders>
              <w:top w:val="nil"/>
              <w:bottom w:val="single" w:sz="6" w:space="0" w:color="000000"/>
              <w:right w:val="single" w:sz="6" w:space="0" w:color="000000"/>
            </w:tcBorders>
            <w:shd w:val="clear" w:color="auto" w:fill="F1F1F1"/>
          </w:tcPr>
          <w:p>
            <w:pPr>
              <w:rPr>
                <w:sz w:val="2"/>
                <w:szCs w:val="2"/>
              </w:rPr>
            </w:pPr>
          </w:p>
        </w:tc>
        <w:tc>
          <w:tcPr>
            <w:tcW w:w="2363" w:type="dxa"/>
            <w:tcBorders>
              <w:top w:val="single" w:sz="6" w:space="0" w:color="000000"/>
              <w:left w:val="single" w:sz="6" w:space="0" w:color="000000"/>
              <w:bottom w:val="single" w:sz="6" w:space="0" w:color="000000"/>
              <w:right w:val="single" w:sz="6" w:space="0" w:color="000000"/>
            </w:tcBorders>
            <w:shd w:val="clear" w:color="auto" w:fill="F1F1F1"/>
          </w:tcPr>
          <w:p>
            <w:pPr>
              <w:pStyle w:val="TableParagraph"/>
              <w:spacing w:before="22"/>
              <w:ind w:left="325"/>
              <w:rPr>
                <w:sz w:val="24"/>
              </w:rPr>
            </w:pPr>
            <w:r>
              <w:rPr>
                <w:sz w:val="24"/>
              </w:rPr>
              <w:t>Less than 30 kg</w:t>
            </w:r>
          </w:p>
        </w:tc>
        <w:tc>
          <w:tcPr>
            <w:tcW w:w="2362" w:type="dxa"/>
            <w:tcBorders>
              <w:top w:val="single" w:sz="6" w:space="0" w:color="000000"/>
              <w:left w:val="single" w:sz="6" w:space="0" w:color="000000"/>
              <w:bottom w:val="single" w:sz="6" w:space="0" w:color="000000"/>
              <w:right w:val="single" w:sz="6" w:space="0" w:color="000000"/>
            </w:tcBorders>
            <w:shd w:val="clear" w:color="auto" w:fill="F1F1F1"/>
          </w:tcPr>
          <w:p>
            <w:pPr>
              <w:pStyle w:val="TableParagraph"/>
              <w:spacing w:before="22"/>
              <w:ind w:left="388"/>
              <w:rPr>
                <w:sz w:val="24"/>
              </w:rPr>
            </w:pPr>
            <w:r>
              <w:rPr>
                <w:sz w:val="24"/>
              </w:rPr>
              <w:t>30 kg to 50 kg</w:t>
            </w:r>
          </w:p>
        </w:tc>
        <w:tc>
          <w:tcPr>
            <w:tcW w:w="2361" w:type="dxa"/>
            <w:tcBorders>
              <w:top w:val="single" w:sz="6" w:space="0" w:color="000000"/>
              <w:left w:val="single" w:sz="6" w:space="0" w:color="000000"/>
              <w:bottom w:val="single" w:sz="6" w:space="0" w:color="000000"/>
            </w:tcBorders>
            <w:shd w:val="clear" w:color="auto" w:fill="F1F1F1"/>
          </w:tcPr>
          <w:p>
            <w:pPr>
              <w:pStyle w:val="TableParagraph"/>
              <w:spacing w:before="22"/>
              <w:ind w:left="257"/>
              <w:rPr>
                <w:sz w:val="24"/>
              </w:rPr>
            </w:pPr>
            <w:r>
              <w:rPr>
                <w:sz w:val="24"/>
              </w:rPr>
              <w:t>More than 50 kg</w:t>
            </w:r>
          </w:p>
        </w:tc>
      </w:tr>
      <w:tr>
        <w:trPr>
          <w:trHeight w:val="467" w:hRule="atLeast"/>
        </w:trPr>
        <w:tc>
          <w:tcPr>
            <w:tcW w:w="2372" w:type="dxa"/>
            <w:tcBorders>
              <w:top w:val="single" w:sz="6" w:space="0" w:color="000000"/>
              <w:bottom w:val="single" w:sz="6" w:space="0" w:color="000000"/>
              <w:right w:val="single" w:sz="6" w:space="0" w:color="000000"/>
            </w:tcBorders>
          </w:tcPr>
          <w:p>
            <w:pPr>
              <w:pStyle w:val="TableParagraph"/>
              <w:spacing w:line="436" w:lineRule="exact" w:before="11"/>
              <w:ind w:left="107"/>
              <w:rPr>
                <w:sz w:val="24"/>
              </w:rPr>
            </w:pPr>
            <w:r>
              <w:rPr>
                <w:sz w:val="24"/>
              </w:rPr>
              <w:t>Gatifloxacin</w:t>
            </w:r>
          </w:p>
        </w:tc>
        <w:tc>
          <w:tcPr>
            <w:tcW w:w="2363" w:type="dxa"/>
            <w:tcBorders>
              <w:top w:val="single" w:sz="6" w:space="0" w:color="000000"/>
              <w:left w:val="single" w:sz="6" w:space="0" w:color="000000"/>
              <w:bottom w:val="single" w:sz="6" w:space="0" w:color="000000"/>
              <w:right w:val="single" w:sz="6" w:space="0" w:color="000000"/>
            </w:tcBorders>
          </w:tcPr>
          <w:p>
            <w:pPr>
              <w:pStyle w:val="TableParagraph"/>
              <w:spacing w:line="436" w:lineRule="exact" w:before="11"/>
              <w:ind w:left="903"/>
              <w:rPr>
                <w:sz w:val="24"/>
              </w:rPr>
            </w:pPr>
            <w:r>
              <w:rPr>
                <w:sz w:val="24"/>
              </w:rPr>
              <w:t>400 mg</w:t>
            </w:r>
          </w:p>
        </w:tc>
        <w:tc>
          <w:tcPr>
            <w:tcW w:w="2362" w:type="dxa"/>
            <w:tcBorders>
              <w:top w:val="single" w:sz="6" w:space="0" w:color="000000"/>
              <w:left w:val="single" w:sz="6" w:space="0" w:color="000000"/>
              <w:bottom w:val="single" w:sz="6" w:space="0" w:color="000000"/>
              <w:right w:val="single" w:sz="6" w:space="0" w:color="000000"/>
            </w:tcBorders>
          </w:tcPr>
          <w:p>
            <w:pPr>
              <w:pStyle w:val="TableParagraph"/>
              <w:spacing w:line="436" w:lineRule="exact" w:before="11"/>
              <w:ind w:left="902"/>
              <w:rPr>
                <w:sz w:val="24"/>
              </w:rPr>
            </w:pPr>
            <w:r>
              <w:rPr>
                <w:sz w:val="24"/>
              </w:rPr>
              <w:t>600 mg</w:t>
            </w:r>
          </w:p>
        </w:tc>
        <w:tc>
          <w:tcPr>
            <w:tcW w:w="2361" w:type="dxa"/>
            <w:tcBorders>
              <w:top w:val="single" w:sz="6" w:space="0" w:color="000000"/>
              <w:left w:val="single" w:sz="6" w:space="0" w:color="000000"/>
              <w:bottom w:val="single" w:sz="6" w:space="0" w:color="000000"/>
            </w:tcBorders>
          </w:tcPr>
          <w:p>
            <w:pPr>
              <w:pStyle w:val="TableParagraph"/>
              <w:spacing w:line="436" w:lineRule="exact" w:before="11"/>
              <w:ind w:left="901"/>
              <w:rPr>
                <w:sz w:val="24"/>
              </w:rPr>
            </w:pPr>
            <w:r>
              <w:rPr>
                <w:sz w:val="24"/>
              </w:rPr>
              <w:t>800 mg</w:t>
            </w:r>
          </w:p>
        </w:tc>
      </w:tr>
      <w:tr>
        <w:trPr>
          <w:trHeight w:val="467" w:hRule="atLeast"/>
        </w:trPr>
        <w:tc>
          <w:tcPr>
            <w:tcW w:w="2372" w:type="dxa"/>
            <w:tcBorders>
              <w:top w:val="single" w:sz="6" w:space="0" w:color="000000"/>
              <w:bottom w:val="single" w:sz="6" w:space="0" w:color="000000"/>
              <w:right w:val="single" w:sz="6" w:space="0" w:color="000000"/>
            </w:tcBorders>
          </w:tcPr>
          <w:p>
            <w:pPr>
              <w:pStyle w:val="TableParagraph"/>
              <w:spacing w:line="437" w:lineRule="exact" w:before="10"/>
              <w:ind w:left="107"/>
              <w:rPr>
                <w:rFonts w:ascii="Symbol" w:hAnsi="Symbol"/>
                <w:sz w:val="16"/>
              </w:rPr>
            </w:pPr>
            <w:r>
              <w:rPr>
                <w:sz w:val="24"/>
              </w:rPr>
              <w:t>Moxifloxacin</w:t>
            </w:r>
            <w:r>
              <w:rPr>
                <w:rFonts w:ascii="Symbol" w:hAnsi="Symbol"/>
                <w:position w:val="8"/>
                <w:sz w:val="16"/>
              </w:rPr>
              <w:t></w:t>
            </w:r>
          </w:p>
        </w:tc>
        <w:tc>
          <w:tcPr>
            <w:tcW w:w="2363" w:type="dxa"/>
            <w:tcBorders>
              <w:top w:val="single" w:sz="6" w:space="0" w:color="000000"/>
              <w:left w:val="single" w:sz="6" w:space="0" w:color="000000"/>
              <w:bottom w:val="single" w:sz="6" w:space="0" w:color="000000"/>
              <w:right w:val="single" w:sz="6" w:space="0" w:color="000000"/>
            </w:tcBorders>
          </w:tcPr>
          <w:p>
            <w:pPr>
              <w:pStyle w:val="TableParagraph"/>
              <w:spacing w:line="437" w:lineRule="exact" w:before="10"/>
              <w:ind w:left="903"/>
              <w:rPr>
                <w:sz w:val="24"/>
              </w:rPr>
            </w:pPr>
            <w:r>
              <w:rPr>
                <w:sz w:val="24"/>
              </w:rPr>
              <w:t>400 mg</w:t>
            </w:r>
          </w:p>
        </w:tc>
        <w:tc>
          <w:tcPr>
            <w:tcW w:w="2362" w:type="dxa"/>
            <w:tcBorders>
              <w:top w:val="single" w:sz="6" w:space="0" w:color="000000"/>
              <w:left w:val="single" w:sz="6" w:space="0" w:color="000000"/>
              <w:bottom w:val="single" w:sz="6" w:space="0" w:color="000000"/>
              <w:right w:val="single" w:sz="6" w:space="0" w:color="000000"/>
            </w:tcBorders>
          </w:tcPr>
          <w:p>
            <w:pPr>
              <w:pStyle w:val="TableParagraph"/>
              <w:spacing w:line="437" w:lineRule="exact" w:before="10"/>
              <w:ind w:left="902"/>
              <w:rPr>
                <w:sz w:val="24"/>
              </w:rPr>
            </w:pPr>
            <w:r>
              <w:rPr>
                <w:sz w:val="24"/>
              </w:rPr>
              <w:t>600 mg</w:t>
            </w:r>
          </w:p>
        </w:tc>
        <w:tc>
          <w:tcPr>
            <w:tcW w:w="2361" w:type="dxa"/>
            <w:tcBorders>
              <w:top w:val="single" w:sz="6" w:space="0" w:color="000000"/>
              <w:left w:val="single" w:sz="6" w:space="0" w:color="000000"/>
              <w:bottom w:val="single" w:sz="6" w:space="0" w:color="000000"/>
            </w:tcBorders>
          </w:tcPr>
          <w:p>
            <w:pPr>
              <w:pStyle w:val="TableParagraph"/>
              <w:spacing w:line="437" w:lineRule="exact" w:before="10"/>
              <w:ind w:left="901"/>
              <w:rPr>
                <w:sz w:val="24"/>
              </w:rPr>
            </w:pPr>
            <w:r>
              <w:rPr>
                <w:sz w:val="24"/>
              </w:rPr>
              <w:t>800 mg</w:t>
            </w:r>
          </w:p>
        </w:tc>
      </w:tr>
      <w:tr>
        <w:trPr>
          <w:trHeight w:val="466" w:hRule="atLeast"/>
        </w:trPr>
        <w:tc>
          <w:tcPr>
            <w:tcW w:w="2372" w:type="dxa"/>
            <w:tcBorders>
              <w:top w:val="single" w:sz="6" w:space="0" w:color="000000"/>
              <w:bottom w:val="single" w:sz="6" w:space="0" w:color="000000"/>
              <w:right w:val="single" w:sz="6" w:space="0" w:color="000000"/>
            </w:tcBorders>
          </w:tcPr>
          <w:p>
            <w:pPr>
              <w:pStyle w:val="TableParagraph"/>
              <w:spacing w:line="436" w:lineRule="exact" w:before="10"/>
              <w:ind w:left="107"/>
              <w:rPr>
                <w:sz w:val="24"/>
              </w:rPr>
            </w:pPr>
            <w:r>
              <w:rPr>
                <w:sz w:val="24"/>
              </w:rPr>
              <w:t>Clofazimine</w:t>
            </w:r>
          </w:p>
        </w:tc>
        <w:tc>
          <w:tcPr>
            <w:tcW w:w="2363" w:type="dxa"/>
            <w:tcBorders>
              <w:top w:val="single" w:sz="6" w:space="0" w:color="000000"/>
              <w:left w:val="single" w:sz="6" w:space="0" w:color="000000"/>
              <w:bottom w:val="single" w:sz="6" w:space="0" w:color="000000"/>
              <w:right w:val="single" w:sz="6" w:space="0" w:color="000000"/>
            </w:tcBorders>
          </w:tcPr>
          <w:p>
            <w:pPr>
              <w:pStyle w:val="TableParagraph"/>
              <w:spacing w:line="436" w:lineRule="exact" w:before="10"/>
              <w:ind w:left="1042"/>
              <w:rPr>
                <w:sz w:val="24"/>
              </w:rPr>
            </w:pPr>
            <w:r>
              <w:rPr>
                <w:sz w:val="24"/>
              </w:rPr>
              <w:t>50 mg</w:t>
            </w:r>
          </w:p>
        </w:tc>
        <w:tc>
          <w:tcPr>
            <w:tcW w:w="2362" w:type="dxa"/>
            <w:tcBorders>
              <w:top w:val="single" w:sz="6" w:space="0" w:color="000000"/>
              <w:left w:val="single" w:sz="6" w:space="0" w:color="000000"/>
              <w:bottom w:val="single" w:sz="6" w:space="0" w:color="000000"/>
              <w:right w:val="single" w:sz="6" w:space="0" w:color="000000"/>
            </w:tcBorders>
          </w:tcPr>
          <w:p>
            <w:pPr>
              <w:pStyle w:val="TableParagraph"/>
              <w:spacing w:line="436" w:lineRule="exact" w:before="10"/>
              <w:ind w:left="902"/>
              <w:rPr>
                <w:sz w:val="24"/>
              </w:rPr>
            </w:pPr>
            <w:r>
              <w:rPr>
                <w:sz w:val="24"/>
              </w:rPr>
              <w:t>100 mg</w:t>
            </w:r>
          </w:p>
        </w:tc>
        <w:tc>
          <w:tcPr>
            <w:tcW w:w="2361" w:type="dxa"/>
            <w:tcBorders>
              <w:top w:val="single" w:sz="6" w:space="0" w:color="000000"/>
              <w:left w:val="single" w:sz="6" w:space="0" w:color="000000"/>
              <w:bottom w:val="single" w:sz="6" w:space="0" w:color="000000"/>
            </w:tcBorders>
          </w:tcPr>
          <w:p>
            <w:pPr>
              <w:pStyle w:val="TableParagraph"/>
              <w:spacing w:line="436" w:lineRule="exact" w:before="10"/>
              <w:ind w:left="901"/>
              <w:rPr>
                <w:sz w:val="24"/>
              </w:rPr>
            </w:pPr>
            <w:r>
              <w:rPr>
                <w:sz w:val="24"/>
              </w:rPr>
              <w:t>100 mg</w:t>
            </w:r>
          </w:p>
        </w:tc>
      </w:tr>
      <w:tr>
        <w:trPr>
          <w:trHeight w:val="467" w:hRule="atLeast"/>
        </w:trPr>
        <w:tc>
          <w:tcPr>
            <w:tcW w:w="2372" w:type="dxa"/>
            <w:tcBorders>
              <w:top w:val="single" w:sz="6" w:space="0" w:color="000000"/>
              <w:bottom w:val="single" w:sz="6" w:space="0" w:color="000000"/>
              <w:right w:val="single" w:sz="6" w:space="0" w:color="000000"/>
            </w:tcBorders>
          </w:tcPr>
          <w:p>
            <w:pPr>
              <w:pStyle w:val="TableParagraph"/>
              <w:spacing w:line="436" w:lineRule="exact" w:before="11"/>
              <w:ind w:left="107"/>
              <w:rPr>
                <w:sz w:val="24"/>
              </w:rPr>
            </w:pPr>
            <w:r>
              <w:rPr>
                <w:sz w:val="24"/>
              </w:rPr>
              <w:t>Ethambutol</w:t>
            </w:r>
          </w:p>
        </w:tc>
        <w:tc>
          <w:tcPr>
            <w:tcW w:w="2363" w:type="dxa"/>
            <w:tcBorders>
              <w:top w:val="single" w:sz="6" w:space="0" w:color="000000"/>
              <w:left w:val="single" w:sz="6" w:space="0" w:color="000000"/>
              <w:bottom w:val="single" w:sz="6" w:space="0" w:color="000000"/>
              <w:right w:val="single" w:sz="6" w:space="0" w:color="000000"/>
            </w:tcBorders>
          </w:tcPr>
          <w:p>
            <w:pPr>
              <w:pStyle w:val="TableParagraph"/>
              <w:spacing w:line="436" w:lineRule="exact" w:before="11"/>
              <w:ind w:left="903"/>
              <w:rPr>
                <w:sz w:val="24"/>
              </w:rPr>
            </w:pPr>
            <w:r>
              <w:rPr>
                <w:sz w:val="24"/>
              </w:rPr>
              <w:t>800 mg</w:t>
            </w:r>
          </w:p>
        </w:tc>
        <w:tc>
          <w:tcPr>
            <w:tcW w:w="2362" w:type="dxa"/>
            <w:tcBorders>
              <w:top w:val="single" w:sz="6" w:space="0" w:color="000000"/>
              <w:left w:val="single" w:sz="6" w:space="0" w:color="000000"/>
              <w:bottom w:val="single" w:sz="6" w:space="0" w:color="000000"/>
              <w:right w:val="single" w:sz="6" w:space="0" w:color="000000"/>
            </w:tcBorders>
          </w:tcPr>
          <w:p>
            <w:pPr>
              <w:pStyle w:val="TableParagraph"/>
              <w:spacing w:line="436" w:lineRule="exact" w:before="11"/>
              <w:ind w:left="902"/>
              <w:rPr>
                <w:sz w:val="24"/>
              </w:rPr>
            </w:pPr>
            <w:r>
              <w:rPr>
                <w:sz w:val="24"/>
              </w:rPr>
              <w:t>800 mg</w:t>
            </w:r>
          </w:p>
        </w:tc>
        <w:tc>
          <w:tcPr>
            <w:tcW w:w="2361" w:type="dxa"/>
            <w:tcBorders>
              <w:top w:val="single" w:sz="6" w:space="0" w:color="000000"/>
              <w:left w:val="single" w:sz="6" w:space="0" w:color="000000"/>
              <w:bottom w:val="single" w:sz="6" w:space="0" w:color="000000"/>
            </w:tcBorders>
          </w:tcPr>
          <w:p>
            <w:pPr>
              <w:pStyle w:val="TableParagraph"/>
              <w:spacing w:line="436" w:lineRule="exact" w:before="11"/>
              <w:ind w:left="762"/>
              <w:rPr>
                <w:sz w:val="24"/>
              </w:rPr>
            </w:pPr>
            <w:r>
              <w:rPr>
                <w:sz w:val="24"/>
              </w:rPr>
              <w:t>1200 mg</w:t>
            </w:r>
          </w:p>
        </w:tc>
      </w:tr>
      <w:tr>
        <w:trPr>
          <w:trHeight w:val="467" w:hRule="atLeast"/>
        </w:trPr>
        <w:tc>
          <w:tcPr>
            <w:tcW w:w="2372" w:type="dxa"/>
            <w:tcBorders>
              <w:top w:val="single" w:sz="6" w:space="0" w:color="000000"/>
              <w:bottom w:val="single" w:sz="6" w:space="0" w:color="000000"/>
              <w:right w:val="single" w:sz="6" w:space="0" w:color="000000"/>
            </w:tcBorders>
          </w:tcPr>
          <w:p>
            <w:pPr>
              <w:pStyle w:val="TableParagraph"/>
              <w:spacing w:line="437" w:lineRule="exact" w:before="10"/>
              <w:ind w:left="107"/>
              <w:rPr>
                <w:sz w:val="24"/>
              </w:rPr>
            </w:pPr>
            <w:r>
              <w:rPr>
                <w:sz w:val="24"/>
              </w:rPr>
              <w:t>Pyrazinamide</w:t>
            </w:r>
          </w:p>
        </w:tc>
        <w:tc>
          <w:tcPr>
            <w:tcW w:w="2363" w:type="dxa"/>
            <w:tcBorders>
              <w:top w:val="single" w:sz="6" w:space="0" w:color="000000"/>
              <w:left w:val="single" w:sz="6" w:space="0" w:color="000000"/>
              <w:bottom w:val="single" w:sz="6" w:space="0" w:color="000000"/>
              <w:right w:val="single" w:sz="6" w:space="0" w:color="000000"/>
            </w:tcBorders>
          </w:tcPr>
          <w:p>
            <w:pPr>
              <w:pStyle w:val="TableParagraph"/>
              <w:spacing w:line="437" w:lineRule="exact" w:before="10"/>
              <w:ind w:left="764"/>
              <w:rPr>
                <w:sz w:val="24"/>
              </w:rPr>
            </w:pPr>
            <w:r>
              <w:rPr>
                <w:sz w:val="24"/>
              </w:rPr>
              <w:t>1000 mg</w:t>
            </w:r>
          </w:p>
        </w:tc>
        <w:tc>
          <w:tcPr>
            <w:tcW w:w="2362" w:type="dxa"/>
            <w:tcBorders>
              <w:top w:val="single" w:sz="6" w:space="0" w:color="000000"/>
              <w:left w:val="single" w:sz="6" w:space="0" w:color="000000"/>
              <w:bottom w:val="single" w:sz="6" w:space="0" w:color="000000"/>
              <w:right w:val="single" w:sz="6" w:space="0" w:color="000000"/>
            </w:tcBorders>
          </w:tcPr>
          <w:p>
            <w:pPr>
              <w:pStyle w:val="TableParagraph"/>
              <w:spacing w:line="437" w:lineRule="exact" w:before="10"/>
              <w:ind w:left="763"/>
              <w:rPr>
                <w:sz w:val="24"/>
              </w:rPr>
            </w:pPr>
            <w:r>
              <w:rPr>
                <w:sz w:val="24"/>
              </w:rPr>
              <w:t>1500 mg</w:t>
            </w:r>
          </w:p>
        </w:tc>
        <w:tc>
          <w:tcPr>
            <w:tcW w:w="2361" w:type="dxa"/>
            <w:tcBorders>
              <w:top w:val="single" w:sz="6" w:space="0" w:color="000000"/>
              <w:left w:val="single" w:sz="6" w:space="0" w:color="000000"/>
              <w:bottom w:val="single" w:sz="6" w:space="0" w:color="000000"/>
            </w:tcBorders>
          </w:tcPr>
          <w:p>
            <w:pPr>
              <w:pStyle w:val="TableParagraph"/>
              <w:spacing w:line="437" w:lineRule="exact" w:before="10"/>
              <w:ind w:left="762"/>
              <w:rPr>
                <w:sz w:val="24"/>
              </w:rPr>
            </w:pPr>
            <w:r>
              <w:rPr>
                <w:sz w:val="24"/>
              </w:rPr>
              <w:t>2000 mg</w:t>
            </w:r>
          </w:p>
        </w:tc>
      </w:tr>
      <w:tr>
        <w:trPr>
          <w:trHeight w:val="466" w:hRule="atLeast"/>
        </w:trPr>
        <w:tc>
          <w:tcPr>
            <w:tcW w:w="2372" w:type="dxa"/>
            <w:tcBorders>
              <w:top w:val="single" w:sz="6" w:space="0" w:color="000000"/>
              <w:bottom w:val="single" w:sz="6" w:space="0" w:color="000000"/>
              <w:right w:val="single" w:sz="6" w:space="0" w:color="000000"/>
            </w:tcBorders>
          </w:tcPr>
          <w:p>
            <w:pPr>
              <w:pStyle w:val="TableParagraph"/>
              <w:spacing w:line="436" w:lineRule="exact" w:before="10"/>
              <w:ind w:left="107"/>
              <w:rPr>
                <w:sz w:val="24"/>
              </w:rPr>
            </w:pPr>
            <w:r>
              <w:rPr>
                <w:sz w:val="24"/>
              </w:rPr>
              <w:t>Isoniazid</w:t>
            </w:r>
          </w:p>
        </w:tc>
        <w:tc>
          <w:tcPr>
            <w:tcW w:w="2363" w:type="dxa"/>
            <w:tcBorders>
              <w:top w:val="single" w:sz="6" w:space="0" w:color="000000"/>
              <w:left w:val="single" w:sz="6" w:space="0" w:color="000000"/>
              <w:bottom w:val="single" w:sz="6" w:space="0" w:color="000000"/>
              <w:right w:val="single" w:sz="6" w:space="0" w:color="000000"/>
            </w:tcBorders>
          </w:tcPr>
          <w:p>
            <w:pPr>
              <w:pStyle w:val="TableParagraph"/>
              <w:spacing w:line="436" w:lineRule="exact" w:before="10"/>
              <w:ind w:left="903"/>
              <w:rPr>
                <w:sz w:val="24"/>
              </w:rPr>
            </w:pPr>
            <w:r>
              <w:rPr>
                <w:sz w:val="24"/>
              </w:rPr>
              <w:t>300 mg</w:t>
            </w:r>
          </w:p>
        </w:tc>
        <w:tc>
          <w:tcPr>
            <w:tcW w:w="2362" w:type="dxa"/>
            <w:tcBorders>
              <w:top w:val="single" w:sz="6" w:space="0" w:color="000000"/>
              <w:left w:val="single" w:sz="6" w:space="0" w:color="000000"/>
              <w:bottom w:val="single" w:sz="6" w:space="0" w:color="000000"/>
              <w:right w:val="single" w:sz="6" w:space="0" w:color="000000"/>
            </w:tcBorders>
          </w:tcPr>
          <w:p>
            <w:pPr>
              <w:pStyle w:val="TableParagraph"/>
              <w:spacing w:line="436" w:lineRule="exact" w:before="10"/>
              <w:ind w:left="902"/>
              <w:rPr>
                <w:sz w:val="24"/>
              </w:rPr>
            </w:pPr>
            <w:r>
              <w:rPr>
                <w:sz w:val="24"/>
              </w:rPr>
              <w:t>400 mg</w:t>
            </w:r>
          </w:p>
        </w:tc>
        <w:tc>
          <w:tcPr>
            <w:tcW w:w="2361" w:type="dxa"/>
            <w:tcBorders>
              <w:top w:val="single" w:sz="6" w:space="0" w:color="000000"/>
              <w:left w:val="single" w:sz="6" w:space="0" w:color="000000"/>
              <w:bottom w:val="single" w:sz="6" w:space="0" w:color="000000"/>
            </w:tcBorders>
          </w:tcPr>
          <w:p>
            <w:pPr>
              <w:pStyle w:val="TableParagraph"/>
              <w:spacing w:line="436" w:lineRule="exact" w:before="10"/>
              <w:ind w:left="901"/>
              <w:rPr>
                <w:sz w:val="24"/>
              </w:rPr>
            </w:pPr>
            <w:r>
              <w:rPr>
                <w:sz w:val="24"/>
              </w:rPr>
              <w:t>600 mg</w:t>
            </w:r>
          </w:p>
        </w:tc>
      </w:tr>
      <w:tr>
        <w:trPr>
          <w:trHeight w:val="467" w:hRule="atLeast"/>
        </w:trPr>
        <w:tc>
          <w:tcPr>
            <w:tcW w:w="2372" w:type="dxa"/>
            <w:tcBorders>
              <w:top w:val="single" w:sz="6" w:space="0" w:color="000000"/>
              <w:bottom w:val="single" w:sz="6" w:space="0" w:color="000000"/>
              <w:right w:val="single" w:sz="6" w:space="0" w:color="000000"/>
            </w:tcBorders>
          </w:tcPr>
          <w:p>
            <w:pPr>
              <w:pStyle w:val="TableParagraph"/>
              <w:spacing w:line="436" w:lineRule="exact" w:before="11"/>
              <w:ind w:left="107"/>
              <w:rPr>
                <w:sz w:val="24"/>
              </w:rPr>
            </w:pPr>
            <w:r>
              <w:rPr>
                <w:sz w:val="24"/>
              </w:rPr>
              <w:t>Prothionamide</w:t>
            </w:r>
          </w:p>
        </w:tc>
        <w:tc>
          <w:tcPr>
            <w:tcW w:w="2363" w:type="dxa"/>
            <w:tcBorders>
              <w:top w:val="single" w:sz="6" w:space="0" w:color="000000"/>
              <w:left w:val="single" w:sz="6" w:space="0" w:color="000000"/>
              <w:bottom w:val="single" w:sz="6" w:space="0" w:color="000000"/>
              <w:right w:val="single" w:sz="6" w:space="0" w:color="000000"/>
            </w:tcBorders>
          </w:tcPr>
          <w:p>
            <w:pPr>
              <w:pStyle w:val="TableParagraph"/>
              <w:spacing w:line="436" w:lineRule="exact" w:before="11"/>
              <w:ind w:left="903"/>
              <w:rPr>
                <w:sz w:val="24"/>
              </w:rPr>
            </w:pPr>
            <w:r>
              <w:rPr>
                <w:sz w:val="24"/>
              </w:rPr>
              <w:t>250 mg</w:t>
            </w:r>
          </w:p>
        </w:tc>
        <w:tc>
          <w:tcPr>
            <w:tcW w:w="2362" w:type="dxa"/>
            <w:tcBorders>
              <w:top w:val="single" w:sz="6" w:space="0" w:color="000000"/>
              <w:left w:val="single" w:sz="6" w:space="0" w:color="000000"/>
              <w:bottom w:val="single" w:sz="6" w:space="0" w:color="000000"/>
              <w:right w:val="single" w:sz="6" w:space="0" w:color="000000"/>
            </w:tcBorders>
          </w:tcPr>
          <w:p>
            <w:pPr>
              <w:pStyle w:val="TableParagraph"/>
              <w:spacing w:line="436" w:lineRule="exact" w:before="11"/>
              <w:ind w:left="902"/>
              <w:rPr>
                <w:sz w:val="24"/>
              </w:rPr>
            </w:pPr>
            <w:r>
              <w:rPr>
                <w:sz w:val="24"/>
              </w:rPr>
              <w:t>500 mg</w:t>
            </w:r>
          </w:p>
        </w:tc>
        <w:tc>
          <w:tcPr>
            <w:tcW w:w="2361" w:type="dxa"/>
            <w:tcBorders>
              <w:top w:val="single" w:sz="6" w:space="0" w:color="000000"/>
              <w:left w:val="single" w:sz="6" w:space="0" w:color="000000"/>
              <w:bottom w:val="single" w:sz="6" w:space="0" w:color="000000"/>
            </w:tcBorders>
          </w:tcPr>
          <w:p>
            <w:pPr>
              <w:pStyle w:val="TableParagraph"/>
              <w:spacing w:line="436" w:lineRule="exact" w:before="11"/>
              <w:ind w:left="901"/>
              <w:rPr>
                <w:sz w:val="24"/>
              </w:rPr>
            </w:pPr>
            <w:r>
              <w:rPr>
                <w:sz w:val="24"/>
              </w:rPr>
              <w:t>750 mg</w:t>
            </w:r>
          </w:p>
        </w:tc>
      </w:tr>
      <w:tr>
        <w:trPr>
          <w:trHeight w:val="467" w:hRule="atLeast"/>
        </w:trPr>
        <w:tc>
          <w:tcPr>
            <w:tcW w:w="2372" w:type="dxa"/>
            <w:tcBorders>
              <w:top w:val="single" w:sz="6" w:space="0" w:color="000000"/>
              <w:bottom w:val="single" w:sz="6" w:space="0" w:color="000000"/>
              <w:right w:val="single" w:sz="6" w:space="0" w:color="000000"/>
            </w:tcBorders>
          </w:tcPr>
          <w:p>
            <w:pPr>
              <w:pStyle w:val="TableParagraph"/>
              <w:spacing w:line="437" w:lineRule="exact" w:before="10"/>
              <w:ind w:left="107"/>
              <w:rPr>
                <w:rFonts w:ascii="Symbol" w:hAnsi="Symbol"/>
                <w:sz w:val="18"/>
              </w:rPr>
            </w:pPr>
            <w:r>
              <w:rPr>
                <w:sz w:val="24"/>
              </w:rPr>
              <w:t>Kanamycin</w:t>
            </w:r>
            <w:r>
              <w:rPr>
                <w:rFonts w:ascii="Symbol" w:hAnsi="Symbol"/>
                <w:position w:val="10"/>
                <w:sz w:val="18"/>
              </w:rPr>
              <w:t></w:t>
            </w:r>
          </w:p>
        </w:tc>
        <w:tc>
          <w:tcPr>
            <w:tcW w:w="7086" w:type="dxa"/>
            <w:gridSpan w:val="3"/>
            <w:tcBorders>
              <w:top w:val="single" w:sz="6" w:space="0" w:color="000000"/>
              <w:left w:val="single" w:sz="6" w:space="0" w:color="000000"/>
              <w:bottom w:val="single" w:sz="6" w:space="0" w:color="000000"/>
            </w:tcBorders>
          </w:tcPr>
          <w:p>
            <w:pPr>
              <w:pStyle w:val="TableParagraph"/>
              <w:spacing w:line="437" w:lineRule="exact" w:before="10"/>
              <w:ind w:left="115"/>
              <w:rPr>
                <w:sz w:val="24"/>
              </w:rPr>
            </w:pPr>
            <w:r>
              <w:rPr>
                <w:sz w:val="24"/>
              </w:rPr>
              <w:t>15 mg per kilogram body weight (maximum 1 g)</w:t>
            </w:r>
          </w:p>
        </w:tc>
      </w:tr>
      <w:tr>
        <w:trPr>
          <w:trHeight w:val="466" w:hRule="atLeast"/>
        </w:trPr>
        <w:tc>
          <w:tcPr>
            <w:tcW w:w="2372" w:type="dxa"/>
            <w:tcBorders>
              <w:top w:val="single" w:sz="6" w:space="0" w:color="000000"/>
              <w:right w:val="single" w:sz="6" w:space="0" w:color="000000"/>
            </w:tcBorders>
          </w:tcPr>
          <w:p>
            <w:pPr>
              <w:pStyle w:val="TableParagraph"/>
              <w:spacing w:line="436" w:lineRule="exact" w:before="10"/>
              <w:ind w:left="107"/>
              <w:rPr>
                <w:rFonts w:ascii="Symbol" w:hAnsi="Symbol"/>
                <w:sz w:val="18"/>
              </w:rPr>
            </w:pPr>
            <w:r>
              <w:rPr>
                <w:sz w:val="24"/>
              </w:rPr>
              <w:t>Amikacin</w:t>
            </w:r>
            <w:r>
              <w:rPr>
                <w:rFonts w:ascii="Symbol" w:hAnsi="Symbol"/>
                <w:position w:val="10"/>
                <w:sz w:val="18"/>
              </w:rPr>
              <w:t></w:t>
            </w:r>
          </w:p>
        </w:tc>
        <w:tc>
          <w:tcPr>
            <w:tcW w:w="7086" w:type="dxa"/>
            <w:gridSpan w:val="3"/>
            <w:tcBorders>
              <w:top w:val="single" w:sz="6" w:space="0" w:color="000000"/>
              <w:left w:val="single" w:sz="6" w:space="0" w:color="000000"/>
            </w:tcBorders>
          </w:tcPr>
          <w:p>
            <w:pPr>
              <w:pStyle w:val="TableParagraph"/>
              <w:spacing w:line="436" w:lineRule="exact" w:before="10"/>
              <w:ind w:left="115"/>
              <w:rPr>
                <w:sz w:val="24"/>
              </w:rPr>
            </w:pPr>
            <w:r>
              <w:rPr>
                <w:sz w:val="24"/>
              </w:rPr>
              <w:t>15 mg per kilogram body weight (maximum 1 g)</w:t>
            </w:r>
          </w:p>
        </w:tc>
      </w:tr>
    </w:tbl>
    <w:p>
      <w:pPr>
        <w:spacing w:before="27"/>
        <w:ind w:left="3607" w:right="0" w:firstLine="0"/>
        <w:jc w:val="left"/>
        <w:rPr>
          <w:sz w:val="16"/>
        </w:rPr>
      </w:pPr>
      <w:r>
        <w:rPr>
          <w:sz w:val="16"/>
        </w:rPr>
        <w:t>Reference:WHO treatment guidelines for drug-resistant tuberculosis, 2016 update</w:t>
      </w:r>
    </w:p>
    <w:p>
      <w:pPr>
        <w:spacing w:line="417" w:lineRule="exact" w:before="122"/>
        <w:ind w:left="368" w:right="0" w:firstLine="0"/>
        <w:jc w:val="left"/>
        <w:rPr>
          <w:sz w:val="23"/>
        </w:rPr>
      </w:pPr>
      <w:r>
        <w:rPr>
          <w:rFonts w:ascii="Symbol" w:hAnsi="Symbol" w:eastAsia="Symbol"/>
          <w:position w:val="8"/>
          <w:sz w:val="15"/>
        </w:rPr>
        <w:t></w:t>
      </w:r>
      <w:r>
        <w:rPr>
          <w:sz w:val="23"/>
        </w:rPr>
        <w:t>出現 QT prolongation 時可考慮以高劑量的Levo 替換</w:t>
      </w:r>
    </w:p>
    <w:p>
      <w:pPr>
        <w:pStyle w:val="ListParagraph"/>
        <w:numPr>
          <w:ilvl w:val="0"/>
          <w:numId w:val="181"/>
        </w:numPr>
        <w:tabs>
          <w:tab w:pos="480" w:val="left" w:leader="none"/>
        </w:tabs>
        <w:spacing w:line="417" w:lineRule="exact" w:before="0" w:after="0"/>
        <w:ind w:left="480" w:right="0" w:hanging="112"/>
        <w:jc w:val="left"/>
        <w:rPr>
          <w:sz w:val="23"/>
        </w:rPr>
      </w:pPr>
      <w:r>
        <w:rPr>
          <w:sz w:val="23"/>
        </w:rPr>
        <w:t>for</w:t>
      </w:r>
      <w:r>
        <w:rPr>
          <w:spacing w:val="-7"/>
          <w:sz w:val="23"/>
        </w:rPr>
        <w:t> </w:t>
      </w:r>
      <w:r>
        <w:rPr>
          <w:spacing w:val="-3"/>
          <w:sz w:val="23"/>
        </w:rPr>
        <w:t>adults</w:t>
      </w:r>
      <w:r>
        <w:rPr>
          <w:spacing w:val="-6"/>
          <w:sz w:val="23"/>
        </w:rPr>
        <w:t> </w:t>
      </w:r>
      <w:r>
        <w:rPr>
          <w:spacing w:val="-3"/>
          <w:sz w:val="23"/>
        </w:rPr>
        <w:t>over</w:t>
      </w:r>
      <w:r>
        <w:rPr>
          <w:spacing w:val="-7"/>
          <w:sz w:val="23"/>
        </w:rPr>
        <w:t> </w:t>
      </w:r>
      <w:r>
        <w:rPr>
          <w:spacing w:val="-4"/>
          <w:sz w:val="23"/>
        </w:rPr>
        <w:t>59</w:t>
      </w:r>
      <w:r>
        <w:rPr>
          <w:spacing w:val="-11"/>
          <w:sz w:val="23"/>
        </w:rPr>
        <w:t> </w:t>
      </w:r>
      <w:r>
        <w:rPr>
          <w:sz w:val="23"/>
        </w:rPr>
        <w:t>years</w:t>
      </w:r>
      <w:r>
        <w:rPr>
          <w:spacing w:val="-4"/>
          <w:sz w:val="23"/>
        </w:rPr>
        <w:t> of</w:t>
      </w:r>
      <w:r>
        <w:rPr>
          <w:spacing w:val="-6"/>
          <w:sz w:val="23"/>
        </w:rPr>
        <w:t> </w:t>
      </w:r>
      <w:r>
        <w:rPr>
          <w:sz w:val="23"/>
        </w:rPr>
        <w:t>age,</w:t>
      </w:r>
      <w:r>
        <w:rPr>
          <w:spacing w:val="-6"/>
          <w:sz w:val="23"/>
        </w:rPr>
        <w:t> </w:t>
      </w:r>
      <w:r>
        <w:rPr>
          <w:sz w:val="23"/>
        </w:rPr>
        <w:t>the</w:t>
      </w:r>
      <w:r>
        <w:rPr>
          <w:spacing w:val="-6"/>
          <w:sz w:val="23"/>
        </w:rPr>
        <w:t> </w:t>
      </w:r>
      <w:r>
        <w:rPr>
          <w:sz w:val="23"/>
        </w:rPr>
        <w:t>dose</w:t>
      </w:r>
      <w:r>
        <w:rPr>
          <w:spacing w:val="-6"/>
          <w:sz w:val="23"/>
        </w:rPr>
        <w:t> </w:t>
      </w:r>
      <w:r>
        <w:rPr>
          <w:sz w:val="23"/>
        </w:rPr>
        <w:t>will</w:t>
      </w:r>
      <w:r>
        <w:rPr>
          <w:spacing w:val="-6"/>
          <w:sz w:val="23"/>
        </w:rPr>
        <w:t> </w:t>
      </w:r>
      <w:r>
        <w:rPr>
          <w:sz w:val="23"/>
        </w:rPr>
        <w:t>be</w:t>
      </w:r>
      <w:r>
        <w:rPr>
          <w:spacing w:val="-5"/>
          <w:sz w:val="23"/>
        </w:rPr>
        <w:t> </w:t>
      </w:r>
      <w:r>
        <w:rPr>
          <w:spacing w:val="-3"/>
          <w:sz w:val="23"/>
        </w:rPr>
        <w:t>reduced</w:t>
      </w:r>
      <w:r>
        <w:rPr>
          <w:spacing w:val="-6"/>
          <w:sz w:val="23"/>
        </w:rPr>
        <w:t> </w:t>
      </w:r>
      <w:r>
        <w:rPr>
          <w:spacing w:val="-3"/>
          <w:sz w:val="23"/>
        </w:rPr>
        <w:t>to</w:t>
      </w:r>
      <w:r>
        <w:rPr>
          <w:spacing w:val="-11"/>
          <w:sz w:val="23"/>
        </w:rPr>
        <w:t> </w:t>
      </w:r>
      <w:r>
        <w:rPr>
          <w:sz w:val="23"/>
        </w:rPr>
        <w:t>10</w:t>
      </w:r>
      <w:r>
        <w:rPr>
          <w:spacing w:val="-10"/>
          <w:sz w:val="23"/>
        </w:rPr>
        <w:t> </w:t>
      </w:r>
      <w:r>
        <w:rPr>
          <w:spacing w:val="-3"/>
          <w:sz w:val="23"/>
        </w:rPr>
        <w:t>mg/kg</w:t>
      </w:r>
      <w:r>
        <w:rPr>
          <w:spacing w:val="-6"/>
          <w:sz w:val="23"/>
        </w:rPr>
        <w:t> </w:t>
      </w:r>
      <w:r>
        <w:rPr>
          <w:sz w:val="23"/>
        </w:rPr>
        <w:t>(max</w:t>
      </w:r>
      <w:r>
        <w:rPr>
          <w:spacing w:val="-6"/>
          <w:sz w:val="23"/>
        </w:rPr>
        <w:t> </w:t>
      </w:r>
      <w:r>
        <w:rPr>
          <w:sz w:val="23"/>
        </w:rPr>
        <w:t>dose</w:t>
      </w:r>
      <w:r>
        <w:rPr>
          <w:spacing w:val="-6"/>
          <w:sz w:val="23"/>
        </w:rPr>
        <w:t> </w:t>
      </w:r>
      <w:r>
        <w:rPr>
          <w:spacing w:val="-5"/>
          <w:sz w:val="23"/>
        </w:rPr>
        <w:t>750</w:t>
      </w:r>
      <w:r>
        <w:rPr>
          <w:spacing w:val="-14"/>
          <w:sz w:val="23"/>
        </w:rPr>
        <w:t> </w:t>
      </w:r>
      <w:r>
        <w:rPr>
          <w:sz w:val="23"/>
        </w:rPr>
        <w:t>mg).</w:t>
      </w:r>
    </w:p>
    <w:p>
      <w:pPr>
        <w:spacing w:after="0" w:line="417" w:lineRule="exact"/>
        <w:jc w:val="left"/>
        <w:rPr>
          <w:sz w:val="23"/>
        </w:rPr>
        <w:sectPr>
          <w:pgSz w:w="12250" w:h="17190"/>
          <w:pgMar w:header="0" w:footer="734" w:top="1420" w:bottom="1020" w:left="1020" w:right="0"/>
        </w:sectPr>
      </w:pPr>
    </w:p>
    <w:p>
      <w:pPr>
        <w:pStyle w:val="Heading6"/>
        <w:tabs>
          <w:tab w:pos="3351" w:val="left" w:leader="none"/>
        </w:tabs>
        <w:spacing w:before="41"/>
        <w:ind w:left="2234"/>
        <w:rPr>
          <w:b w:val="0"/>
        </w:rPr>
      </w:pPr>
      <w:r>
        <w:rPr/>
        <w:pict>
          <v:group style="position:absolute;margin-left:573pt;margin-top:2.725762pt;width:39.4pt;height:177.4pt;mso-position-horizontal-relative:page;mso-position-vertical-relative:paragraph;z-index:251919360" coordorigin="11460,55" coordsize="788,3548">
            <v:shape style="position:absolute;left:11460;top:54;width:788;height:3548" coordorigin="11460,55" coordsize="788,3548" path="m12247,55l11625,55,11561,68,11508,103,11473,155,11460,220,11460,3437,11473,3502,11508,3554,11561,3590,11625,3603,12247,3603,12247,55xe" filled="true" fillcolor="#a6a6a6" stroked="false">
              <v:path arrowok="t"/>
              <v:fill type="solid"/>
            </v:shape>
            <v:shape style="position:absolute;left:11460;top:54;width:788;height:3548" type="#_x0000_t202" filled="false" stroked="false">
              <v:textbox inset="0,0,0,0">
                <w:txbxContent>
                  <w:p>
                    <w:pPr>
                      <w:spacing w:line="146" w:lineRule="auto" w:before="126"/>
                      <w:ind w:left="136" w:right="428" w:firstLine="0"/>
                      <w:jc w:val="both"/>
                      <w:rPr>
                        <w:sz w:val="22"/>
                      </w:rPr>
                    </w:pPr>
                    <w:r>
                      <w:rPr>
                        <w:sz w:val="22"/>
                      </w:rPr>
                      <w:t>第十二章</w:t>
                    </w:r>
                  </w:p>
                  <w:p>
                    <w:pPr>
                      <w:spacing w:line="141" w:lineRule="auto" w:before="179"/>
                      <w:ind w:left="136" w:right="428" w:firstLine="0"/>
                      <w:jc w:val="both"/>
                      <w:rPr>
                        <w:sz w:val="22"/>
                      </w:rPr>
                    </w:pPr>
                    <w:r>
                      <w:rPr>
                        <w:sz w:val="22"/>
                      </w:rPr>
                      <w:t>抗藥性結核病的治療</w:t>
                    </w:r>
                  </w:p>
                </w:txbxContent>
              </v:textbox>
              <w10:wrap type="none"/>
            </v:shape>
            <w10:wrap type="none"/>
          </v:group>
        </w:pict>
      </w:r>
      <w:bookmarkStart w:name="表12-3  WHO建議用於抗藥性結核病的治療用藥a" w:id="159"/>
      <w:bookmarkEnd w:id="159"/>
      <w:r>
        <w:rPr>
          <w:b w:val="0"/>
        </w:rPr>
      </w:r>
      <w:r>
        <w:rPr/>
        <w:t>表</w:t>
      </w:r>
      <w:r>
        <w:rPr>
          <w:spacing w:val="-2"/>
        </w:rPr>
        <w:t> </w:t>
      </w:r>
      <w:r>
        <w:rPr/>
        <w:t>12-3</w:t>
        <w:tab/>
        <w:t>WHO</w:t>
      </w:r>
      <w:r>
        <w:rPr>
          <w:spacing w:val="-1"/>
        </w:rPr>
        <w:t> </w:t>
      </w:r>
      <w:r>
        <w:rPr/>
        <w:t>建議用於抗藥性結核病的治療用藥 </w:t>
      </w:r>
      <w:r>
        <w:rPr>
          <w:b w:val="0"/>
          <w:vertAlign w:val="superscript"/>
        </w:rPr>
        <w:t>a</w:t>
      </w:r>
    </w:p>
    <w:p>
      <w:pPr>
        <w:pStyle w:val="BodyText"/>
        <w:spacing w:before="17"/>
        <w:rPr>
          <w:sz w:val="5"/>
        </w:rPr>
      </w:pPr>
    </w:p>
    <w:tbl>
      <w:tblPr>
        <w:tblW w:w="0" w:type="auto"/>
        <w:jc w:val="left"/>
        <w:tblInd w:w="62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34"/>
        <w:gridCol w:w="3291"/>
        <w:gridCol w:w="3544"/>
        <w:gridCol w:w="1417"/>
      </w:tblGrid>
      <w:tr>
        <w:trPr>
          <w:trHeight w:val="459" w:hRule="atLeast"/>
        </w:trPr>
        <w:tc>
          <w:tcPr>
            <w:tcW w:w="734" w:type="dxa"/>
            <w:tcBorders>
              <w:bottom w:val="single" w:sz="4" w:space="0" w:color="000000"/>
              <w:right w:val="single" w:sz="4" w:space="0" w:color="000000"/>
            </w:tcBorders>
            <w:shd w:val="clear" w:color="auto" w:fill="F1F1F1"/>
          </w:tcPr>
          <w:p>
            <w:pPr>
              <w:pStyle w:val="TableParagraph"/>
              <w:spacing w:line="432" w:lineRule="exact" w:before="7"/>
              <w:ind w:left="126"/>
              <w:rPr>
                <w:sz w:val="24"/>
              </w:rPr>
            </w:pPr>
            <w:r>
              <w:rPr>
                <w:sz w:val="24"/>
              </w:rPr>
              <w:t>類別</w:t>
            </w:r>
          </w:p>
        </w:tc>
        <w:tc>
          <w:tcPr>
            <w:tcW w:w="3291" w:type="dxa"/>
            <w:tcBorders>
              <w:left w:val="single" w:sz="4" w:space="0" w:color="000000"/>
              <w:bottom w:val="single" w:sz="4" w:space="0" w:color="000000"/>
              <w:right w:val="single" w:sz="4" w:space="0" w:color="000000"/>
            </w:tcBorders>
            <w:shd w:val="clear" w:color="auto" w:fill="F1F1F1"/>
          </w:tcPr>
          <w:p>
            <w:pPr>
              <w:pStyle w:val="TableParagraph"/>
              <w:spacing w:line="432" w:lineRule="exact" w:before="7"/>
              <w:ind w:left="935"/>
              <w:rPr>
                <w:sz w:val="24"/>
              </w:rPr>
            </w:pPr>
            <w:r>
              <w:rPr>
                <w:sz w:val="24"/>
              </w:rPr>
              <w:t>藥物選擇種類</w:t>
            </w:r>
          </w:p>
        </w:tc>
        <w:tc>
          <w:tcPr>
            <w:tcW w:w="3544" w:type="dxa"/>
            <w:tcBorders>
              <w:left w:val="single" w:sz="4" w:space="0" w:color="000000"/>
              <w:bottom w:val="single" w:sz="4" w:space="0" w:color="000000"/>
              <w:right w:val="single" w:sz="4" w:space="0" w:color="000000"/>
            </w:tcBorders>
            <w:shd w:val="clear" w:color="auto" w:fill="F1F1F1"/>
          </w:tcPr>
          <w:p>
            <w:pPr>
              <w:pStyle w:val="TableParagraph"/>
              <w:spacing w:line="432" w:lineRule="exact" w:before="7"/>
              <w:ind w:left="1279" w:right="1255"/>
              <w:jc w:val="center"/>
              <w:rPr>
                <w:sz w:val="24"/>
              </w:rPr>
            </w:pPr>
            <w:r>
              <w:rPr>
                <w:sz w:val="24"/>
              </w:rPr>
              <w:t>藥物名稱</w:t>
            </w:r>
          </w:p>
        </w:tc>
        <w:tc>
          <w:tcPr>
            <w:tcW w:w="1417" w:type="dxa"/>
            <w:tcBorders>
              <w:left w:val="single" w:sz="4" w:space="0" w:color="000000"/>
              <w:bottom w:val="single" w:sz="4" w:space="0" w:color="000000"/>
            </w:tcBorders>
            <w:shd w:val="clear" w:color="auto" w:fill="F1F1F1"/>
          </w:tcPr>
          <w:p>
            <w:pPr>
              <w:pStyle w:val="TableParagraph"/>
              <w:spacing w:line="432" w:lineRule="exact" w:before="7"/>
              <w:ind w:left="216" w:right="180"/>
              <w:jc w:val="center"/>
              <w:rPr>
                <w:sz w:val="24"/>
              </w:rPr>
            </w:pPr>
            <w:r>
              <w:rPr>
                <w:sz w:val="24"/>
              </w:rPr>
              <w:t>藥物縮寫</w:t>
            </w:r>
          </w:p>
        </w:tc>
      </w:tr>
      <w:tr>
        <w:trPr>
          <w:trHeight w:val="826" w:hRule="atLeast"/>
        </w:trPr>
        <w:tc>
          <w:tcPr>
            <w:tcW w:w="734" w:type="dxa"/>
            <w:vMerge w:val="restart"/>
            <w:tcBorders>
              <w:top w:val="single" w:sz="4" w:space="0" w:color="000000"/>
              <w:bottom w:val="single" w:sz="4" w:space="0" w:color="000000"/>
              <w:right w:val="single" w:sz="4" w:space="0" w:color="000000"/>
            </w:tcBorders>
          </w:tcPr>
          <w:p>
            <w:pPr>
              <w:pStyle w:val="TableParagraph"/>
              <w:spacing w:before="5"/>
              <w:rPr>
                <w:sz w:val="40"/>
              </w:rPr>
            </w:pPr>
          </w:p>
          <w:p>
            <w:pPr>
              <w:pStyle w:val="TableParagraph"/>
              <w:spacing w:before="1"/>
              <w:ind w:left="17"/>
              <w:jc w:val="center"/>
              <w:rPr>
                <w:sz w:val="24"/>
              </w:rPr>
            </w:pPr>
            <w:r>
              <w:rPr>
                <w:sz w:val="24"/>
              </w:rPr>
              <w:t>A</w:t>
            </w:r>
          </w:p>
        </w:tc>
        <w:tc>
          <w:tcPr>
            <w:tcW w:w="3291"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5"/>
              <w:rPr>
                <w:sz w:val="40"/>
              </w:rPr>
            </w:pPr>
          </w:p>
          <w:p>
            <w:pPr>
              <w:pStyle w:val="TableParagraph"/>
              <w:spacing w:before="1"/>
              <w:ind w:left="117"/>
              <w:rPr>
                <w:sz w:val="24"/>
              </w:rPr>
            </w:pPr>
            <w:r>
              <w:rPr>
                <w:sz w:val="24"/>
              </w:rPr>
              <w:t>須使用其中三種藥物</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175" w:lineRule="auto" w:before="116"/>
              <w:ind w:left="116" w:right="194"/>
              <w:rPr>
                <w:sz w:val="24"/>
              </w:rPr>
            </w:pPr>
            <w:r>
              <w:rPr>
                <w:sz w:val="24"/>
              </w:rPr>
              <w:t>Levofloxacin OR Moxifloxacin</w:t>
            </w:r>
          </w:p>
        </w:tc>
        <w:tc>
          <w:tcPr>
            <w:tcW w:w="1417" w:type="dxa"/>
            <w:tcBorders>
              <w:top w:val="single" w:sz="4" w:space="0" w:color="000000"/>
              <w:left w:val="single" w:sz="4" w:space="0" w:color="000000"/>
              <w:bottom w:val="single" w:sz="4" w:space="0" w:color="000000"/>
            </w:tcBorders>
          </w:tcPr>
          <w:p>
            <w:pPr>
              <w:pStyle w:val="TableParagraph"/>
              <w:spacing w:line="175" w:lineRule="auto" w:before="116"/>
              <w:ind w:left="462" w:right="405" w:firstLine="55"/>
              <w:rPr>
                <w:sz w:val="24"/>
              </w:rPr>
            </w:pPr>
            <w:r>
              <w:rPr>
                <w:sz w:val="24"/>
              </w:rPr>
              <w:t>LFX MFX</w:t>
            </w:r>
          </w:p>
        </w:tc>
      </w:tr>
      <w:tr>
        <w:trPr>
          <w:trHeight w:val="594" w:hRule="atLeast"/>
        </w:trPr>
        <w:tc>
          <w:tcPr>
            <w:tcW w:w="734" w:type="dxa"/>
            <w:vMerge/>
            <w:tcBorders>
              <w:top w:val="nil"/>
              <w:bottom w:val="single" w:sz="4" w:space="0" w:color="000000"/>
              <w:right w:val="single" w:sz="4" w:space="0" w:color="000000"/>
            </w:tcBorders>
          </w:tcPr>
          <w:p>
            <w:pPr>
              <w:rPr>
                <w:sz w:val="2"/>
                <w:szCs w:val="2"/>
              </w:rPr>
            </w:pPr>
          </w:p>
        </w:tc>
        <w:tc>
          <w:tcPr>
            <w:tcW w:w="3291" w:type="dxa"/>
            <w:vMerge/>
            <w:tcBorders>
              <w:top w:val="nil"/>
              <w:left w:val="single" w:sz="4" w:space="0" w:color="000000"/>
              <w:bottom w:val="single" w:sz="4" w:space="0" w:color="000000"/>
              <w:right w:val="single" w:sz="4" w:space="0" w:color="000000"/>
            </w:tcBorders>
          </w:tcPr>
          <w:p>
            <w:pPr>
              <w:rPr>
                <w:sz w:val="2"/>
                <w:szCs w:val="2"/>
              </w:rPr>
            </w:pP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before="70"/>
              <w:ind w:left="116"/>
              <w:rPr>
                <w:sz w:val="16"/>
              </w:rPr>
            </w:pPr>
            <w:r>
              <w:rPr>
                <w:sz w:val="24"/>
              </w:rPr>
              <w:t>Bedaquiline</w:t>
            </w:r>
            <w:r>
              <w:rPr>
                <w:position w:val="11"/>
                <w:sz w:val="16"/>
              </w:rPr>
              <w:t>b</w:t>
            </w:r>
          </w:p>
        </w:tc>
        <w:tc>
          <w:tcPr>
            <w:tcW w:w="1417" w:type="dxa"/>
            <w:tcBorders>
              <w:top w:val="single" w:sz="4" w:space="0" w:color="000000"/>
              <w:left w:val="single" w:sz="4" w:space="0" w:color="000000"/>
              <w:bottom w:val="single" w:sz="4" w:space="0" w:color="000000"/>
            </w:tcBorders>
          </w:tcPr>
          <w:p>
            <w:pPr>
              <w:pStyle w:val="TableParagraph"/>
              <w:spacing w:before="74"/>
              <w:ind w:left="216" w:right="179"/>
              <w:jc w:val="center"/>
              <w:rPr>
                <w:sz w:val="24"/>
              </w:rPr>
            </w:pPr>
            <w:r>
              <w:rPr>
                <w:sz w:val="24"/>
              </w:rPr>
              <w:t>BDQ</w:t>
            </w:r>
          </w:p>
        </w:tc>
      </w:tr>
      <w:tr>
        <w:trPr>
          <w:trHeight w:val="485" w:hRule="atLeast"/>
        </w:trPr>
        <w:tc>
          <w:tcPr>
            <w:tcW w:w="734" w:type="dxa"/>
            <w:vMerge/>
            <w:tcBorders>
              <w:top w:val="nil"/>
              <w:bottom w:val="single" w:sz="4" w:space="0" w:color="000000"/>
              <w:right w:val="single" w:sz="4" w:space="0" w:color="000000"/>
            </w:tcBorders>
          </w:tcPr>
          <w:p>
            <w:pPr>
              <w:rPr>
                <w:sz w:val="2"/>
                <w:szCs w:val="2"/>
              </w:rPr>
            </w:pPr>
          </w:p>
        </w:tc>
        <w:tc>
          <w:tcPr>
            <w:tcW w:w="3291" w:type="dxa"/>
            <w:vMerge/>
            <w:tcBorders>
              <w:top w:val="nil"/>
              <w:left w:val="single" w:sz="4" w:space="0" w:color="000000"/>
              <w:bottom w:val="single" w:sz="4" w:space="0" w:color="000000"/>
              <w:right w:val="single" w:sz="4" w:space="0" w:color="000000"/>
            </w:tcBorders>
          </w:tcPr>
          <w:p>
            <w:pPr>
              <w:rPr>
                <w:sz w:val="2"/>
                <w:szCs w:val="2"/>
              </w:rPr>
            </w:pP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before="20"/>
              <w:ind w:left="116"/>
              <w:rPr>
                <w:sz w:val="24"/>
              </w:rPr>
            </w:pPr>
            <w:r>
              <w:rPr>
                <w:sz w:val="24"/>
              </w:rPr>
              <w:t>Linezolid</w:t>
            </w:r>
          </w:p>
        </w:tc>
        <w:tc>
          <w:tcPr>
            <w:tcW w:w="1417" w:type="dxa"/>
            <w:tcBorders>
              <w:top w:val="single" w:sz="4" w:space="0" w:color="000000"/>
              <w:left w:val="single" w:sz="4" w:space="0" w:color="000000"/>
              <w:bottom w:val="single" w:sz="4" w:space="0" w:color="000000"/>
            </w:tcBorders>
          </w:tcPr>
          <w:p>
            <w:pPr>
              <w:pStyle w:val="TableParagraph"/>
              <w:spacing w:before="20"/>
              <w:ind w:left="216" w:right="178"/>
              <w:jc w:val="center"/>
              <w:rPr>
                <w:sz w:val="24"/>
              </w:rPr>
            </w:pPr>
            <w:r>
              <w:rPr>
                <w:sz w:val="24"/>
              </w:rPr>
              <w:t>LZD</w:t>
            </w:r>
          </w:p>
        </w:tc>
      </w:tr>
      <w:tr>
        <w:trPr>
          <w:trHeight w:val="638" w:hRule="atLeast"/>
        </w:trPr>
        <w:tc>
          <w:tcPr>
            <w:tcW w:w="734" w:type="dxa"/>
            <w:vMerge w:val="restart"/>
            <w:tcBorders>
              <w:top w:val="single" w:sz="4" w:space="0" w:color="000000"/>
              <w:bottom w:val="single" w:sz="4" w:space="0" w:color="000000"/>
              <w:right w:val="single" w:sz="4" w:space="0" w:color="000000"/>
            </w:tcBorders>
          </w:tcPr>
          <w:p>
            <w:pPr>
              <w:pStyle w:val="TableParagraph"/>
              <w:spacing w:before="13"/>
              <w:rPr>
                <w:sz w:val="30"/>
              </w:rPr>
            </w:pPr>
          </w:p>
          <w:p>
            <w:pPr>
              <w:pStyle w:val="TableParagraph"/>
              <w:ind w:left="17"/>
              <w:jc w:val="center"/>
              <w:rPr>
                <w:sz w:val="24"/>
              </w:rPr>
            </w:pPr>
            <w:r>
              <w:rPr>
                <w:sz w:val="24"/>
              </w:rPr>
              <w:t>B</w:t>
            </w:r>
          </w:p>
        </w:tc>
        <w:tc>
          <w:tcPr>
            <w:tcW w:w="3291"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8"/>
              <w:rPr>
                <w:sz w:val="21"/>
              </w:rPr>
            </w:pPr>
          </w:p>
          <w:p>
            <w:pPr>
              <w:pStyle w:val="TableParagraph"/>
              <w:spacing w:line="381" w:lineRule="exact"/>
              <w:ind w:left="117"/>
              <w:rPr>
                <w:sz w:val="24"/>
              </w:rPr>
            </w:pPr>
            <w:r>
              <w:rPr>
                <w:sz w:val="24"/>
              </w:rPr>
              <w:t>Add one or both medicines</w:t>
            </w:r>
          </w:p>
          <w:p>
            <w:pPr>
              <w:pStyle w:val="TableParagraph"/>
              <w:spacing w:line="381" w:lineRule="exact"/>
              <w:ind w:left="117"/>
              <w:rPr>
                <w:sz w:val="24"/>
              </w:rPr>
            </w:pPr>
            <w:r>
              <w:rPr>
                <w:sz w:val="24"/>
              </w:rPr>
              <w:t>使用一至兩種藥物</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before="97"/>
              <w:ind w:left="116"/>
              <w:rPr>
                <w:sz w:val="24"/>
              </w:rPr>
            </w:pPr>
            <w:r>
              <w:rPr>
                <w:sz w:val="24"/>
              </w:rPr>
              <w:t>Clofazimine</w:t>
            </w:r>
          </w:p>
        </w:tc>
        <w:tc>
          <w:tcPr>
            <w:tcW w:w="1417" w:type="dxa"/>
            <w:tcBorders>
              <w:top w:val="single" w:sz="4" w:space="0" w:color="000000"/>
              <w:left w:val="single" w:sz="4" w:space="0" w:color="000000"/>
              <w:bottom w:val="single" w:sz="4" w:space="0" w:color="000000"/>
            </w:tcBorders>
          </w:tcPr>
          <w:p>
            <w:pPr>
              <w:pStyle w:val="TableParagraph"/>
              <w:spacing w:before="97"/>
              <w:ind w:left="216" w:right="178"/>
              <w:jc w:val="center"/>
              <w:rPr>
                <w:sz w:val="24"/>
              </w:rPr>
            </w:pPr>
            <w:r>
              <w:rPr>
                <w:sz w:val="24"/>
              </w:rPr>
              <w:t>CFZ</w:t>
            </w:r>
          </w:p>
        </w:tc>
      </w:tr>
      <w:tr>
        <w:trPr>
          <w:trHeight w:val="925" w:hRule="atLeast"/>
        </w:trPr>
        <w:tc>
          <w:tcPr>
            <w:tcW w:w="734" w:type="dxa"/>
            <w:vMerge/>
            <w:tcBorders>
              <w:top w:val="nil"/>
              <w:bottom w:val="single" w:sz="4" w:space="0" w:color="000000"/>
              <w:right w:val="single" w:sz="4" w:space="0" w:color="000000"/>
            </w:tcBorders>
          </w:tcPr>
          <w:p>
            <w:pPr>
              <w:rPr>
                <w:sz w:val="2"/>
                <w:szCs w:val="2"/>
              </w:rPr>
            </w:pPr>
          </w:p>
        </w:tc>
        <w:tc>
          <w:tcPr>
            <w:tcW w:w="3291" w:type="dxa"/>
            <w:vMerge/>
            <w:tcBorders>
              <w:top w:val="nil"/>
              <w:left w:val="single" w:sz="4" w:space="0" w:color="000000"/>
              <w:bottom w:val="single" w:sz="4" w:space="0" w:color="000000"/>
              <w:right w:val="single" w:sz="4" w:space="0" w:color="000000"/>
            </w:tcBorders>
          </w:tcPr>
          <w:p>
            <w:pPr>
              <w:rPr>
                <w:sz w:val="2"/>
                <w:szCs w:val="2"/>
              </w:rPr>
            </w:pP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175" w:lineRule="auto" w:before="166"/>
              <w:ind w:left="116" w:right="1693"/>
              <w:rPr>
                <w:sz w:val="24"/>
              </w:rPr>
            </w:pPr>
            <w:r>
              <w:rPr>
                <w:sz w:val="24"/>
              </w:rPr>
              <w:t>Cycloserine OR Terizidone</w:t>
            </w:r>
          </w:p>
        </w:tc>
        <w:tc>
          <w:tcPr>
            <w:tcW w:w="1417" w:type="dxa"/>
            <w:tcBorders>
              <w:top w:val="single" w:sz="4" w:space="0" w:color="000000"/>
              <w:left w:val="single" w:sz="4" w:space="0" w:color="000000"/>
              <w:bottom w:val="single" w:sz="4" w:space="0" w:color="000000"/>
            </w:tcBorders>
          </w:tcPr>
          <w:p>
            <w:pPr>
              <w:pStyle w:val="TableParagraph"/>
              <w:spacing w:line="175" w:lineRule="auto" w:before="166"/>
              <w:ind w:left="481" w:right="425" w:firstLine="86"/>
              <w:rPr>
                <w:sz w:val="24"/>
              </w:rPr>
            </w:pPr>
            <w:r>
              <w:rPr>
                <w:sz w:val="24"/>
              </w:rPr>
              <w:t>CS TRD</w:t>
            </w:r>
          </w:p>
        </w:tc>
      </w:tr>
      <w:tr>
        <w:trPr>
          <w:trHeight w:val="555" w:hRule="atLeast"/>
        </w:trPr>
        <w:tc>
          <w:tcPr>
            <w:tcW w:w="734" w:type="dxa"/>
            <w:vMerge w:val="restart"/>
            <w:tcBorders>
              <w:top w:val="single" w:sz="4" w:space="0" w:color="000000"/>
              <w:right w:val="single" w:sz="4" w:space="0" w:color="000000"/>
            </w:tcBorders>
          </w:tcPr>
          <w:p>
            <w:pPr>
              <w:pStyle w:val="TableParagraph"/>
              <w:rPr>
                <w:sz w:val="32"/>
              </w:rPr>
            </w:pPr>
          </w:p>
          <w:p>
            <w:pPr>
              <w:pStyle w:val="TableParagraph"/>
              <w:rPr>
                <w:sz w:val="32"/>
              </w:rPr>
            </w:pPr>
          </w:p>
          <w:p>
            <w:pPr>
              <w:pStyle w:val="TableParagraph"/>
              <w:rPr>
                <w:sz w:val="32"/>
              </w:rPr>
            </w:pPr>
          </w:p>
          <w:p>
            <w:pPr>
              <w:pStyle w:val="TableParagraph"/>
              <w:spacing w:before="17"/>
              <w:rPr>
                <w:sz w:val="19"/>
              </w:rPr>
            </w:pPr>
          </w:p>
          <w:p>
            <w:pPr>
              <w:pStyle w:val="TableParagraph"/>
              <w:ind w:left="18"/>
              <w:jc w:val="center"/>
              <w:rPr>
                <w:sz w:val="24"/>
              </w:rPr>
            </w:pPr>
            <w:r>
              <w:rPr>
                <w:sz w:val="24"/>
              </w:rPr>
              <w:t>C</w:t>
            </w:r>
          </w:p>
        </w:tc>
        <w:tc>
          <w:tcPr>
            <w:tcW w:w="3291" w:type="dxa"/>
            <w:vMerge w:val="restart"/>
            <w:tcBorders>
              <w:top w:val="single" w:sz="4" w:space="0" w:color="000000"/>
              <w:left w:val="single" w:sz="4" w:space="0" w:color="000000"/>
              <w:right w:val="single" w:sz="4" w:space="0" w:color="000000"/>
            </w:tcBorders>
          </w:tcPr>
          <w:p>
            <w:pPr>
              <w:pStyle w:val="TableParagraph"/>
              <w:rPr>
                <w:sz w:val="32"/>
              </w:rPr>
            </w:pPr>
          </w:p>
          <w:p>
            <w:pPr>
              <w:pStyle w:val="TableParagraph"/>
              <w:rPr>
                <w:sz w:val="32"/>
              </w:rPr>
            </w:pPr>
          </w:p>
          <w:p>
            <w:pPr>
              <w:pStyle w:val="TableParagraph"/>
              <w:spacing w:before="3"/>
              <w:rPr>
                <w:sz w:val="39"/>
              </w:rPr>
            </w:pPr>
          </w:p>
          <w:p>
            <w:pPr>
              <w:pStyle w:val="TableParagraph"/>
              <w:spacing w:line="175" w:lineRule="auto" w:before="1"/>
              <w:ind w:left="117" w:right="83"/>
              <w:jc w:val="both"/>
              <w:rPr>
                <w:sz w:val="24"/>
              </w:rPr>
            </w:pPr>
            <w:r>
              <w:rPr>
                <w:sz w:val="24"/>
              </w:rPr>
              <w:t>Add-on agents 加強藥物以及當 A 與 B 類藥物無法使用時</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before="61"/>
              <w:ind w:left="116"/>
              <w:rPr>
                <w:sz w:val="24"/>
              </w:rPr>
            </w:pPr>
            <w:r>
              <w:rPr>
                <w:sz w:val="24"/>
              </w:rPr>
              <w:t>Ethambutol</w:t>
            </w:r>
          </w:p>
        </w:tc>
        <w:tc>
          <w:tcPr>
            <w:tcW w:w="1417" w:type="dxa"/>
            <w:tcBorders>
              <w:top w:val="single" w:sz="4" w:space="0" w:color="000000"/>
              <w:left w:val="single" w:sz="4" w:space="0" w:color="000000"/>
              <w:bottom w:val="single" w:sz="4" w:space="0" w:color="000000"/>
            </w:tcBorders>
          </w:tcPr>
          <w:p>
            <w:pPr>
              <w:pStyle w:val="TableParagraph"/>
              <w:spacing w:before="61"/>
              <w:ind w:left="37"/>
              <w:jc w:val="center"/>
              <w:rPr>
                <w:sz w:val="24"/>
              </w:rPr>
            </w:pPr>
            <w:r>
              <w:rPr>
                <w:sz w:val="24"/>
              </w:rPr>
              <w:t>E</w:t>
            </w:r>
          </w:p>
        </w:tc>
      </w:tr>
      <w:tr>
        <w:trPr>
          <w:trHeight w:val="538" w:hRule="atLeast"/>
        </w:trPr>
        <w:tc>
          <w:tcPr>
            <w:tcW w:w="734" w:type="dxa"/>
            <w:vMerge/>
            <w:tcBorders>
              <w:top w:val="nil"/>
              <w:right w:val="single" w:sz="4" w:space="0" w:color="000000"/>
            </w:tcBorders>
          </w:tcPr>
          <w:p>
            <w:pPr>
              <w:rPr>
                <w:sz w:val="2"/>
                <w:szCs w:val="2"/>
              </w:rPr>
            </w:pPr>
          </w:p>
        </w:tc>
        <w:tc>
          <w:tcPr>
            <w:tcW w:w="3291" w:type="dxa"/>
            <w:vMerge/>
            <w:tcBorders>
              <w:top w:val="nil"/>
              <w:left w:val="single" w:sz="4" w:space="0" w:color="000000"/>
              <w:right w:val="single" w:sz="4" w:space="0" w:color="000000"/>
            </w:tcBorders>
          </w:tcPr>
          <w:p>
            <w:pPr>
              <w:rPr>
                <w:sz w:val="2"/>
                <w:szCs w:val="2"/>
              </w:rPr>
            </w:pP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before="47"/>
              <w:ind w:left="116"/>
              <w:rPr>
                <w:sz w:val="24"/>
              </w:rPr>
            </w:pPr>
            <w:r>
              <w:rPr>
                <w:sz w:val="24"/>
              </w:rPr>
              <w:t>Delamanid</w:t>
            </w:r>
          </w:p>
        </w:tc>
        <w:tc>
          <w:tcPr>
            <w:tcW w:w="1417" w:type="dxa"/>
            <w:tcBorders>
              <w:top w:val="single" w:sz="4" w:space="0" w:color="000000"/>
              <w:left w:val="single" w:sz="4" w:space="0" w:color="000000"/>
              <w:bottom w:val="single" w:sz="4" w:space="0" w:color="000000"/>
            </w:tcBorders>
          </w:tcPr>
          <w:p>
            <w:pPr>
              <w:pStyle w:val="TableParagraph"/>
              <w:spacing w:before="47"/>
              <w:ind w:left="216" w:right="178"/>
              <w:jc w:val="center"/>
              <w:rPr>
                <w:sz w:val="24"/>
              </w:rPr>
            </w:pPr>
            <w:r>
              <w:rPr>
                <w:sz w:val="24"/>
              </w:rPr>
              <w:t>DLM</w:t>
            </w:r>
          </w:p>
        </w:tc>
      </w:tr>
      <w:tr>
        <w:trPr>
          <w:trHeight w:val="532" w:hRule="atLeast"/>
        </w:trPr>
        <w:tc>
          <w:tcPr>
            <w:tcW w:w="734" w:type="dxa"/>
            <w:vMerge/>
            <w:tcBorders>
              <w:top w:val="nil"/>
              <w:right w:val="single" w:sz="4" w:space="0" w:color="000000"/>
            </w:tcBorders>
          </w:tcPr>
          <w:p>
            <w:pPr>
              <w:rPr>
                <w:sz w:val="2"/>
                <w:szCs w:val="2"/>
              </w:rPr>
            </w:pPr>
          </w:p>
        </w:tc>
        <w:tc>
          <w:tcPr>
            <w:tcW w:w="3291" w:type="dxa"/>
            <w:vMerge/>
            <w:tcBorders>
              <w:top w:val="nil"/>
              <w:left w:val="single" w:sz="4" w:space="0" w:color="000000"/>
              <w:right w:val="single" w:sz="4" w:space="0" w:color="000000"/>
            </w:tcBorders>
          </w:tcPr>
          <w:p>
            <w:pPr>
              <w:rPr>
                <w:sz w:val="2"/>
                <w:szCs w:val="2"/>
              </w:rPr>
            </w:pP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before="43"/>
              <w:ind w:left="116"/>
              <w:rPr>
                <w:sz w:val="24"/>
              </w:rPr>
            </w:pPr>
            <w:r>
              <w:rPr>
                <w:sz w:val="24"/>
              </w:rPr>
              <w:t>Pyrazinamide</w:t>
            </w:r>
          </w:p>
        </w:tc>
        <w:tc>
          <w:tcPr>
            <w:tcW w:w="1417" w:type="dxa"/>
            <w:tcBorders>
              <w:top w:val="single" w:sz="4" w:space="0" w:color="000000"/>
              <w:left w:val="single" w:sz="4" w:space="0" w:color="000000"/>
              <w:bottom w:val="single" w:sz="4" w:space="0" w:color="000000"/>
            </w:tcBorders>
          </w:tcPr>
          <w:p>
            <w:pPr>
              <w:pStyle w:val="TableParagraph"/>
              <w:spacing w:before="43"/>
              <w:ind w:left="37"/>
              <w:jc w:val="center"/>
              <w:rPr>
                <w:sz w:val="24"/>
              </w:rPr>
            </w:pPr>
            <w:r>
              <w:rPr>
                <w:sz w:val="24"/>
              </w:rPr>
              <w:t>Z</w:t>
            </w:r>
          </w:p>
        </w:tc>
      </w:tr>
      <w:tr>
        <w:trPr>
          <w:trHeight w:val="810" w:hRule="atLeast"/>
        </w:trPr>
        <w:tc>
          <w:tcPr>
            <w:tcW w:w="734" w:type="dxa"/>
            <w:vMerge/>
            <w:tcBorders>
              <w:top w:val="nil"/>
              <w:right w:val="single" w:sz="4" w:space="0" w:color="000000"/>
            </w:tcBorders>
          </w:tcPr>
          <w:p>
            <w:pPr>
              <w:rPr>
                <w:sz w:val="2"/>
                <w:szCs w:val="2"/>
              </w:rPr>
            </w:pPr>
          </w:p>
        </w:tc>
        <w:tc>
          <w:tcPr>
            <w:tcW w:w="3291" w:type="dxa"/>
            <w:vMerge/>
            <w:tcBorders>
              <w:top w:val="nil"/>
              <w:left w:val="single" w:sz="4" w:space="0" w:color="000000"/>
              <w:right w:val="single" w:sz="4" w:space="0" w:color="000000"/>
            </w:tcBorders>
          </w:tcPr>
          <w:p>
            <w:pPr>
              <w:rPr>
                <w:sz w:val="2"/>
                <w:szCs w:val="2"/>
              </w:rPr>
            </w:pP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172" w:lineRule="auto" w:before="109"/>
              <w:ind w:left="116" w:right="194"/>
              <w:rPr>
                <w:sz w:val="16"/>
              </w:rPr>
            </w:pPr>
            <w:r>
              <w:rPr>
                <w:sz w:val="24"/>
              </w:rPr>
              <w:t>Imipenem-cilastatin</w:t>
            </w:r>
            <w:r>
              <w:rPr>
                <w:position w:val="11"/>
                <w:sz w:val="16"/>
              </w:rPr>
              <w:t>3 </w:t>
            </w:r>
            <w:r>
              <w:rPr>
                <w:sz w:val="24"/>
              </w:rPr>
              <w:t>OR meropenem</w:t>
            </w:r>
            <w:r>
              <w:rPr>
                <w:position w:val="11"/>
                <w:sz w:val="16"/>
              </w:rPr>
              <w:t>3</w:t>
            </w:r>
          </w:p>
        </w:tc>
        <w:tc>
          <w:tcPr>
            <w:tcW w:w="1417" w:type="dxa"/>
            <w:tcBorders>
              <w:top w:val="single" w:sz="4" w:space="0" w:color="000000"/>
              <w:left w:val="single" w:sz="4" w:space="0" w:color="000000"/>
              <w:bottom w:val="single" w:sz="4" w:space="0" w:color="000000"/>
            </w:tcBorders>
          </w:tcPr>
          <w:p>
            <w:pPr>
              <w:pStyle w:val="TableParagraph"/>
              <w:spacing w:line="172" w:lineRule="auto" w:before="112"/>
              <w:ind w:left="413" w:right="149" w:hanging="208"/>
              <w:rPr>
                <w:sz w:val="24"/>
              </w:rPr>
            </w:pPr>
            <w:r>
              <w:rPr>
                <w:sz w:val="24"/>
              </w:rPr>
              <w:t>IPM-CLN MPM</w:t>
            </w:r>
          </w:p>
        </w:tc>
      </w:tr>
      <w:tr>
        <w:trPr>
          <w:trHeight w:val="887" w:hRule="atLeast"/>
        </w:trPr>
        <w:tc>
          <w:tcPr>
            <w:tcW w:w="734" w:type="dxa"/>
            <w:vMerge/>
            <w:tcBorders>
              <w:top w:val="nil"/>
              <w:right w:val="single" w:sz="4" w:space="0" w:color="000000"/>
            </w:tcBorders>
          </w:tcPr>
          <w:p>
            <w:pPr>
              <w:rPr>
                <w:sz w:val="2"/>
                <w:szCs w:val="2"/>
              </w:rPr>
            </w:pPr>
          </w:p>
        </w:tc>
        <w:tc>
          <w:tcPr>
            <w:tcW w:w="3291" w:type="dxa"/>
            <w:vMerge/>
            <w:tcBorders>
              <w:top w:val="nil"/>
              <w:left w:val="single" w:sz="4" w:space="0" w:color="000000"/>
              <w:right w:val="single" w:sz="4" w:space="0" w:color="000000"/>
            </w:tcBorders>
          </w:tcPr>
          <w:p>
            <w:pPr>
              <w:rPr>
                <w:sz w:val="2"/>
                <w:szCs w:val="2"/>
              </w:rPr>
            </w:pP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380" w:lineRule="exact" w:before="61"/>
              <w:ind w:left="116"/>
              <w:rPr>
                <w:sz w:val="24"/>
              </w:rPr>
            </w:pPr>
            <w:r>
              <w:rPr>
                <w:sz w:val="24"/>
              </w:rPr>
              <w:t>Amikacin</w:t>
            </w:r>
          </w:p>
          <w:p>
            <w:pPr>
              <w:pStyle w:val="TableParagraph"/>
              <w:spacing w:line="380" w:lineRule="exact"/>
              <w:ind w:left="116"/>
              <w:rPr>
                <w:sz w:val="24"/>
              </w:rPr>
            </w:pPr>
            <w:r>
              <w:rPr>
                <w:sz w:val="24"/>
              </w:rPr>
              <w:t>(OR Streptomycin)</w:t>
            </w:r>
          </w:p>
        </w:tc>
        <w:tc>
          <w:tcPr>
            <w:tcW w:w="1417" w:type="dxa"/>
            <w:tcBorders>
              <w:top w:val="single" w:sz="4" w:space="0" w:color="000000"/>
              <w:left w:val="single" w:sz="4" w:space="0" w:color="000000"/>
              <w:bottom w:val="single" w:sz="4" w:space="0" w:color="000000"/>
            </w:tcBorders>
          </w:tcPr>
          <w:p>
            <w:pPr>
              <w:pStyle w:val="TableParagraph"/>
              <w:spacing w:line="172" w:lineRule="auto" w:before="151"/>
              <w:ind w:left="517" w:right="478"/>
              <w:jc w:val="center"/>
              <w:rPr>
                <w:sz w:val="24"/>
              </w:rPr>
            </w:pPr>
            <w:r>
              <w:rPr>
                <w:sz w:val="24"/>
              </w:rPr>
              <w:t>AM (S)</w:t>
            </w:r>
          </w:p>
        </w:tc>
      </w:tr>
      <w:tr>
        <w:trPr>
          <w:trHeight w:val="763" w:hRule="atLeast"/>
        </w:trPr>
        <w:tc>
          <w:tcPr>
            <w:tcW w:w="734" w:type="dxa"/>
            <w:vMerge/>
            <w:tcBorders>
              <w:top w:val="nil"/>
              <w:right w:val="single" w:sz="4" w:space="0" w:color="000000"/>
            </w:tcBorders>
          </w:tcPr>
          <w:p>
            <w:pPr>
              <w:rPr>
                <w:sz w:val="2"/>
                <w:szCs w:val="2"/>
              </w:rPr>
            </w:pPr>
          </w:p>
        </w:tc>
        <w:tc>
          <w:tcPr>
            <w:tcW w:w="3291" w:type="dxa"/>
            <w:vMerge/>
            <w:tcBorders>
              <w:top w:val="nil"/>
              <w:left w:val="single" w:sz="4" w:space="0" w:color="000000"/>
              <w:right w:val="single" w:sz="4" w:space="0" w:color="000000"/>
            </w:tcBorders>
          </w:tcPr>
          <w:p>
            <w:pPr>
              <w:rPr>
                <w:sz w:val="2"/>
                <w:szCs w:val="2"/>
              </w:rPr>
            </w:pP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172" w:lineRule="auto" w:before="88"/>
              <w:ind w:left="116" w:right="1713"/>
              <w:rPr>
                <w:sz w:val="24"/>
              </w:rPr>
            </w:pPr>
            <w:r>
              <w:rPr>
                <w:sz w:val="24"/>
              </w:rPr>
              <w:t>Ethinamide OR Prothinamide</w:t>
            </w:r>
          </w:p>
        </w:tc>
        <w:tc>
          <w:tcPr>
            <w:tcW w:w="1417" w:type="dxa"/>
            <w:tcBorders>
              <w:top w:val="single" w:sz="4" w:space="0" w:color="000000"/>
              <w:left w:val="single" w:sz="4" w:space="0" w:color="000000"/>
              <w:bottom w:val="single" w:sz="4" w:space="0" w:color="000000"/>
            </w:tcBorders>
          </w:tcPr>
          <w:p>
            <w:pPr>
              <w:pStyle w:val="TableParagraph"/>
              <w:spacing w:line="172" w:lineRule="auto" w:before="88"/>
              <w:ind w:left="485" w:right="149" w:firstLine="7"/>
              <w:rPr>
                <w:sz w:val="24"/>
              </w:rPr>
            </w:pPr>
            <w:r>
              <w:rPr>
                <w:sz w:val="24"/>
              </w:rPr>
              <w:t>ETO PTO</w:t>
            </w:r>
          </w:p>
        </w:tc>
      </w:tr>
      <w:tr>
        <w:trPr>
          <w:trHeight w:val="441" w:hRule="atLeast"/>
        </w:trPr>
        <w:tc>
          <w:tcPr>
            <w:tcW w:w="734" w:type="dxa"/>
            <w:vMerge/>
            <w:tcBorders>
              <w:top w:val="nil"/>
              <w:right w:val="single" w:sz="4" w:space="0" w:color="000000"/>
            </w:tcBorders>
          </w:tcPr>
          <w:p>
            <w:pPr>
              <w:rPr>
                <w:sz w:val="2"/>
                <w:szCs w:val="2"/>
              </w:rPr>
            </w:pPr>
          </w:p>
        </w:tc>
        <w:tc>
          <w:tcPr>
            <w:tcW w:w="3291" w:type="dxa"/>
            <w:vMerge/>
            <w:tcBorders>
              <w:top w:val="nil"/>
              <w:left w:val="single" w:sz="4" w:space="0" w:color="000000"/>
              <w:right w:val="single" w:sz="4" w:space="0" w:color="000000"/>
            </w:tcBorders>
          </w:tcPr>
          <w:p>
            <w:pPr>
              <w:rPr>
                <w:sz w:val="2"/>
                <w:szCs w:val="2"/>
              </w:rPr>
            </w:pPr>
          </w:p>
        </w:tc>
        <w:tc>
          <w:tcPr>
            <w:tcW w:w="3544" w:type="dxa"/>
            <w:tcBorders>
              <w:top w:val="single" w:sz="4" w:space="0" w:color="000000"/>
              <w:left w:val="single" w:sz="4" w:space="0" w:color="000000"/>
              <w:right w:val="single" w:sz="4" w:space="0" w:color="000000"/>
            </w:tcBorders>
          </w:tcPr>
          <w:p>
            <w:pPr>
              <w:pStyle w:val="TableParagraph"/>
              <w:spacing w:line="421" w:lineRule="exact"/>
              <w:ind w:left="116"/>
              <w:rPr>
                <w:sz w:val="24"/>
              </w:rPr>
            </w:pPr>
            <w:r>
              <w:rPr>
                <w:sz w:val="24"/>
              </w:rPr>
              <w:t>p-aminosalicylic acid</w:t>
            </w:r>
          </w:p>
        </w:tc>
        <w:tc>
          <w:tcPr>
            <w:tcW w:w="1417" w:type="dxa"/>
            <w:tcBorders>
              <w:top w:val="single" w:sz="4" w:space="0" w:color="000000"/>
              <w:left w:val="single" w:sz="4" w:space="0" w:color="000000"/>
            </w:tcBorders>
          </w:tcPr>
          <w:p>
            <w:pPr>
              <w:pStyle w:val="TableParagraph"/>
              <w:spacing w:line="421" w:lineRule="exact"/>
              <w:ind w:left="216" w:right="180"/>
              <w:jc w:val="center"/>
              <w:rPr>
                <w:sz w:val="24"/>
              </w:rPr>
            </w:pPr>
            <w:r>
              <w:rPr>
                <w:sz w:val="24"/>
              </w:rPr>
              <w:t>PAS</w:t>
            </w:r>
          </w:p>
        </w:tc>
      </w:tr>
    </w:tbl>
    <w:p>
      <w:pPr>
        <w:pStyle w:val="BodyText"/>
        <w:ind w:left="992"/>
      </w:pPr>
      <w:r>
        <w:rPr>
          <w:position w:val="11"/>
          <w:sz w:val="16"/>
        </w:rPr>
        <w:t>a </w:t>
      </w:r>
      <w:r>
        <w:rPr/>
        <w:t>這個新的藥物分類是為了引導設計個人處方</w:t>
      </w:r>
    </w:p>
    <w:p>
      <w:pPr>
        <w:spacing w:after="0"/>
        <w:sectPr>
          <w:pgSz w:w="12250" w:h="17190"/>
          <w:pgMar w:header="0" w:footer="734" w:top="1420" w:bottom="1020" w:left="1020" w:right="0"/>
        </w:sectPr>
      </w:pPr>
    </w:p>
    <w:p>
      <w:pPr>
        <w:pStyle w:val="Heading6"/>
        <w:tabs>
          <w:tab w:pos="3713" w:val="left" w:leader="none"/>
        </w:tabs>
        <w:spacing w:before="21"/>
        <w:ind w:left="2596"/>
      </w:pPr>
      <w:bookmarkStart w:name="表12-4  Pre-XDR/XDR-TB治療處方建議表" w:id="160"/>
      <w:bookmarkEnd w:id="160"/>
      <w:r>
        <w:rPr>
          <w:b w:val="0"/>
        </w:rPr>
      </w:r>
      <w:r>
        <w:rPr/>
        <w:t>表</w:t>
      </w:r>
      <w:r>
        <w:rPr>
          <w:spacing w:val="-2"/>
        </w:rPr>
        <w:t> </w:t>
      </w:r>
      <w:r>
        <w:rPr/>
        <w:t>12-4</w:t>
        <w:tab/>
        <w:t>Pre-XDR/XDR-TB</w:t>
      </w:r>
      <w:r>
        <w:rPr>
          <w:spacing w:val="1"/>
        </w:rPr>
        <w:t> </w:t>
      </w:r>
      <w:r>
        <w:rPr/>
        <w:t>治療處方建議表</w:t>
      </w:r>
    </w:p>
    <w:p>
      <w:pPr>
        <w:pStyle w:val="BodyText"/>
        <w:spacing w:before="3"/>
        <w:rPr>
          <w:b/>
          <w:sz w:val="6"/>
        </w:rPr>
      </w:pPr>
    </w:p>
    <w:tbl>
      <w:tblPr>
        <w:tblW w:w="0" w:type="auto"/>
        <w:jc w:val="left"/>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4"/>
        <w:gridCol w:w="2988"/>
        <w:gridCol w:w="1663"/>
        <w:gridCol w:w="2538"/>
      </w:tblGrid>
      <w:tr>
        <w:trPr>
          <w:trHeight w:val="433" w:hRule="atLeast"/>
        </w:trPr>
        <w:tc>
          <w:tcPr>
            <w:tcW w:w="2224" w:type="dxa"/>
            <w:shd w:val="clear" w:color="auto" w:fill="F1F1F1"/>
          </w:tcPr>
          <w:p>
            <w:pPr>
              <w:pStyle w:val="TableParagraph"/>
              <w:spacing w:line="414" w:lineRule="exact"/>
              <w:ind w:left="630"/>
              <w:rPr>
                <w:b/>
                <w:sz w:val="24"/>
              </w:rPr>
            </w:pPr>
            <w:r>
              <w:rPr>
                <w:b/>
                <w:sz w:val="24"/>
              </w:rPr>
              <w:t>抗藥類型</w:t>
            </w:r>
          </w:p>
        </w:tc>
        <w:tc>
          <w:tcPr>
            <w:tcW w:w="2988" w:type="dxa"/>
            <w:shd w:val="clear" w:color="auto" w:fill="F1F1F1"/>
          </w:tcPr>
          <w:p>
            <w:pPr>
              <w:pStyle w:val="TableParagraph"/>
              <w:spacing w:line="414" w:lineRule="exact"/>
              <w:ind w:left="993" w:right="985"/>
              <w:jc w:val="center"/>
              <w:rPr>
                <w:b/>
                <w:sz w:val="24"/>
              </w:rPr>
            </w:pPr>
            <w:r>
              <w:rPr>
                <w:b/>
                <w:sz w:val="24"/>
              </w:rPr>
              <w:t>推薦方案</w:t>
            </w:r>
          </w:p>
        </w:tc>
        <w:tc>
          <w:tcPr>
            <w:tcW w:w="1663" w:type="dxa"/>
            <w:shd w:val="clear" w:color="auto" w:fill="F1F1F1"/>
          </w:tcPr>
          <w:p>
            <w:pPr>
              <w:pStyle w:val="TableParagraph"/>
              <w:spacing w:line="414" w:lineRule="exact"/>
              <w:ind w:left="122" w:right="122"/>
              <w:jc w:val="center"/>
              <w:rPr>
                <w:b/>
                <w:sz w:val="24"/>
              </w:rPr>
            </w:pPr>
            <w:r>
              <w:rPr>
                <w:b/>
                <w:sz w:val="24"/>
              </w:rPr>
              <w:t>最短療程(月)</w:t>
            </w:r>
          </w:p>
        </w:tc>
        <w:tc>
          <w:tcPr>
            <w:tcW w:w="2538" w:type="dxa"/>
            <w:shd w:val="clear" w:color="auto" w:fill="F1F1F1"/>
          </w:tcPr>
          <w:p>
            <w:pPr>
              <w:pStyle w:val="TableParagraph"/>
              <w:spacing w:line="414" w:lineRule="exact"/>
              <w:ind w:left="1008" w:right="1000"/>
              <w:jc w:val="center"/>
              <w:rPr>
                <w:b/>
                <w:sz w:val="24"/>
              </w:rPr>
            </w:pPr>
            <w:r>
              <w:rPr>
                <w:b/>
                <w:sz w:val="24"/>
              </w:rPr>
              <w:t>備註</w:t>
            </w:r>
          </w:p>
        </w:tc>
      </w:tr>
      <w:tr>
        <w:trPr>
          <w:trHeight w:val="2236" w:hRule="atLeast"/>
        </w:trPr>
        <w:tc>
          <w:tcPr>
            <w:tcW w:w="2224" w:type="dxa"/>
          </w:tcPr>
          <w:p>
            <w:pPr>
              <w:pStyle w:val="TableParagraph"/>
              <w:spacing w:before="2"/>
              <w:rPr>
                <w:b/>
                <w:sz w:val="30"/>
              </w:rPr>
            </w:pPr>
          </w:p>
          <w:p>
            <w:pPr>
              <w:pStyle w:val="TableParagraph"/>
              <w:spacing w:line="218" w:lineRule="auto"/>
              <w:ind w:left="107" w:right="864"/>
              <w:rPr>
                <w:sz w:val="24"/>
              </w:rPr>
            </w:pPr>
            <w:r>
              <w:rPr>
                <w:sz w:val="24"/>
              </w:rPr>
              <w:t>Pre-XDR (INH, RMP,</w:t>
            </w:r>
          </w:p>
          <w:p>
            <w:pPr>
              <w:pStyle w:val="TableParagraph"/>
              <w:spacing w:line="350" w:lineRule="exact"/>
              <w:ind w:left="107"/>
              <w:rPr>
                <w:sz w:val="24"/>
              </w:rPr>
            </w:pPr>
            <w:r>
              <w:rPr>
                <w:sz w:val="24"/>
              </w:rPr>
              <w:t>fluoroquinolone)</w:t>
            </w:r>
          </w:p>
        </w:tc>
        <w:tc>
          <w:tcPr>
            <w:tcW w:w="2988" w:type="dxa"/>
          </w:tcPr>
          <w:p>
            <w:pPr>
              <w:pStyle w:val="TableParagraph"/>
              <w:spacing w:before="12"/>
              <w:rPr>
                <w:b/>
                <w:sz w:val="22"/>
              </w:rPr>
            </w:pPr>
          </w:p>
          <w:p>
            <w:pPr>
              <w:pStyle w:val="TableParagraph"/>
              <w:spacing w:line="194" w:lineRule="auto"/>
              <w:ind w:left="107" w:right="941"/>
              <w:rPr>
                <w:sz w:val="16"/>
              </w:rPr>
            </w:pPr>
            <w:r>
              <w:rPr>
                <w:sz w:val="24"/>
              </w:rPr>
              <w:t>全口服處方Bedaquline- Pretomanid- Linezolid(BPaL)</w:t>
            </w:r>
            <w:r>
              <w:rPr>
                <w:position w:val="11"/>
                <w:sz w:val="16"/>
              </w:rPr>
              <w:t>62</w:t>
            </w:r>
          </w:p>
        </w:tc>
        <w:tc>
          <w:tcPr>
            <w:tcW w:w="1663" w:type="dxa"/>
          </w:tcPr>
          <w:p>
            <w:pPr>
              <w:pStyle w:val="TableParagraph"/>
              <w:rPr>
                <w:b/>
                <w:sz w:val="32"/>
              </w:rPr>
            </w:pPr>
          </w:p>
          <w:p>
            <w:pPr>
              <w:pStyle w:val="TableParagraph"/>
              <w:spacing w:before="13"/>
              <w:rPr>
                <w:b/>
                <w:sz w:val="16"/>
              </w:rPr>
            </w:pPr>
          </w:p>
          <w:p>
            <w:pPr>
              <w:pStyle w:val="TableParagraph"/>
              <w:ind w:left="122" w:right="113"/>
              <w:jc w:val="center"/>
              <w:rPr>
                <w:sz w:val="24"/>
              </w:rPr>
            </w:pPr>
            <w:r>
              <w:rPr>
                <w:sz w:val="24"/>
              </w:rPr>
              <w:t>6-9 個月</w:t>
            </w:r>
          </w:p>
        </w:tc>
        <w:tc>
          <w:tcPr>
            <w:tcW w:w="2538" w:type="dxa"/>
          </w:tcPr>
          <w:p>
            <w:pPr>
              <w:pStyle w:val="TableParagraph"/>
              <w:spacing w:line="184" w:lineRule="auto" w:before="119"/>
              <w:ind w:left="107" w:right="96"/>
              <w:jc w:val="both"/>
              <w:rPr>
                <w:sz w:val="24"/>
              </w:rPr>
            </w:pPr>
            <w:r>
              <w:rPr>
                <w:sz w:val="24"/>
              </w:rPr>
              <w:t>對於這類病人使用此處方需注意之前從未使用過BDQ 及LZD 或是使用期間不超過兩個星期(此處方之效果實證仍相當薄弱)</w:t>
            </w:r>
          </w:p>
        </w:tc>
      </w:tr>
      <w:tr>
        <w:trPr>
          <w:trHeight w:val="1970" w:hRule="atLeast"/>
        </w:trPr>
        <w:tc>
          <w:tcPr>
            <w:tcW w:w="2224" w:type="dxa"/>
          </w:tcPr>
          <w:p>
            <w:pPr>
              <w:pStyle w:val="TableParagraph"/>
              <w:rPr>
                <w:rFonts w:ascii="Times New Roman"/>
                <w:sz w:val="24"/>
              </w:rPr>
            </w:pPr>
          </w:p>
        </w:tc>
        <w:tc>
          <w:tcPr>
            <w:tcW w:w="2988" w:type="dxa"/>
          </w:tcPr>
          <w:p>
            <w:pPr>
              <w:pStyle w:val="TableParagraph"/>
              <w:spacing w:line="390" w:lineRule="exact" w:before="253"/>
              <w:ind w:left="107"/>
              <w:rPr>
                <w:sz w:val="24"/>
              </w:rPr>
            </w:pPr>
            <w:r>
              <w:rPr>
                <w:spacing w:val="13"/>
                <w:sz w:val="24"/>
              </w:rPr>
              <w:t>含一種針劑處方加上至少</w:t>
            </w:r>
          </w:p>
          <w:p>
            <w:pPr>
              <w:pStyle w:val="TableParagraph"/>
              <w:spacing w:line="184" w:lineRule="auto" w:before="22"/>
              <w:ind w:left="107" w:right="94"/>
              <w:jc w:val="both"/>
              <w:rPr>
                <w:sz w:val="24"/>
              </w:rPr>
            </w:pPr>
            <w:r>
              <w:rPr>
                <w:sz w:val="24"/>
              </w:rPr>
              <w:t>4 種有效口服藥物(應盡量</w:t>
            </w:r>
            <w:r>
              <w:rPr>
                <w:spacing w:val="-1"/>
                <w:sz w:val="24"/>
              </w:rPr>
              <w:t>用上 </w:t>
            </w:r>
            <w:r>
              <w:rPr>
                <w:sz w:val="24"/>
              </w:rPr>
              <w:t>Group</w:t>
            </w:r>
            <w:r>
              <w:rPr>
                <w:spacing w:val="13"/>
                <w:sz w:val="24"/>
              </w:rPr>
              <w:t> </w:t>
            </w:r>
            <w:r>
              <w:rPr>
                <w:sz w:val="24"/>
              </w:rPr>
              <w:t>A</w:t>
            </w:r>
            <w:r>
              <w:rPr>
                <w:spacing w:val="-2"/>
                <w:sz w:val="24"/>
              </w:rPr>
              <w:t>)。可考慮使</w:t>
            </w:r>
            <w:r>
              <w:rPr>
                <w:spacing w:val="-1"/>
                <w:sz w:val="24"/>
              </w:rPr>
              <w:t>用高劑量 </w:t>
            </w:r>
            <w:r>
              <w:rPr>
                <w:sz w:val="24"/>
              </w:rPr>
              <w:t>INH</w:t>
            </w:r>
            <w:r>
              <w:rPr>
                <w:spacing w:val="-1"/>
                <w:sz w:val="24"/>
              </w:rPr>
              <w:t>(如表 </w:t>
            </w:r>
            <w:r>
              <w:rPr>
                <w:sz w:val="24"/>
              </w:rPr>
              <w:t>12-3)</w:t>
            </w:r>
          </w:p>
        </w:tc>
        <w:tc>
          <w:tcPr>
            <w:tcW w:w="1663" w:type="dxa"/>
          </w:tcPr>
          <w:p>
            <w:pPr>
              <w:pStyle w:val="TableParagraph"/>
              <w:spacing w:before="4"/>
              <w:rPr>
                <w:b/>
                <w:sz w:val="32"/>
              </w:rPr>
            </w:pPr>
          </w:p>
          <w:p>
            <w:pPr>
              <w:pStyle w:val="TableParagraph"/>
              <w:spacing w:line="391" w:lineRule="exact"/>
              <w:ind w:left="230"/>
              <w:rPr>
                <w:sz w:val="24"/>
              </w:rPr>
            </w:pPr>
            <w:r>
              <w:rPr>
                <w:sz w:val="24"/>
              </w:rPr>
              <w:t>培養陰轉後</w:t>
            </w:r>
          </w:p>
          <w:p>
            <w:pPr>
              <w:pStyle w:val="TableParagraph"/>
              <w:spacing w:line="391" w:lineRule="exact"/>
              <w:ind w:left="230"/>
              <w:rPr>
                <w:sz w:val="24"/>
              </w:rPr>
            </w:pPr>
            <w:r>
              <w:rPr>
                <w:color w:val="FF0000"/>
                <w:sz w:val="24"/>
              </w:rPr>
              <w:t>15-17</w:t>
            </w:r>
            <w:r>
              <w:rPr>
                <w:color w:val="FF0000"/>
                <w:spacing w:val="-1"/>
                <w:sz w:val="24"/>
              </w:rPr>
              <w:t> </w:t>
            </w:r>
            <w:r>
              <w:rPr>
                <w:sz w:val="24"/>
              </w:rPr>
              <w:t>個月</w:t>
            </w:r>
          </w:p>
        </w:tc>
        <w:tc>
          <w:tcPr>
            <w:tcW w:w="2538" w:type="dxa"/>
          </w:tcPr>
          <w:p>
            <w:pPr>
              <w:pStyle w:val="TableParagraph"/>
              <w:spacing w:line="184" w:lineRule="auto" w:before="156"/>
              <w:ind w:left="107" w:right="96"/>
              <w:jc w:val="both"/>
              <w:rPr>
                <w:sz w:val="24"/>
              </w:rPr>
            </w:pPr>
            <w:r>
              <w:rPr>
                <w:spacing w:val="1"/>
                <w:sz w:val="24"/>
              </w:rPr>
              <w:t>建議施打 </w:t>
            </w:r>
            <w:r>
              <w:rPr>
                <w:color w:val="FF0000"/>
                <w:sz w:val="24"/>
              </w:rPr>
              <w:t>5-7  </w:t>
            </w:r>
            <w:r>
              <w:rPr>
                <w:spacing w:val="-3"/>
                <w:sz w:val="24"/>
              </w:rPr>
              <w:t>個月的</w:t>
            </w:r>
            <w:r>
              <w:rPr>
                <w:spacing w:val="-27"/>
                <w:sz w:val="24"/>
              </w:rPr>
              <w:t>針劑，</w:t>
            </w:r>
            <w:r>
              <w:rPr>
                <w:color w:val="FF0000"/>
                <w:spacing w:val="-3"/>
                <w:sz w:val="24"/>
              </w:rPr>
              <w:t>少數病人或許需</w:t>
            </w:r>
            <w:r>
              <w:rPr>
                <w:color w:val="FF0000"/>
                <w:spacing w:val="-5"/>
                <w:sz w:val="24"/>
              </w:rPr>
              <w:t>要延長針劑的療程</w:t>
            </w:r>
            <w:r>
              <w:rPr>
                <w:spacing w:val="-39"/>
                <w:sz w:val="24"/>
              </w:rPr>
              <w:t>。考</w:t>
            </w:r>
            <w:r>
              <w:rPr>
                <w:sz w:val="24"/>
              </w:rPr>
              <w:t>慮外科手術。TDM</w:t>
            </w:r>
            <w:r>
              <w:rPr>
                <w:spacing w:val="8"/>
                <w:sz w:val="24"/>
              </w:rPr>
              <w:t> 也</w:t>
            </w:r>
            <w:r>
              <w:rPr>
                <w:sz w:val="24"/>
              </w:rPr>
              <w:t>許會有幫助。</w:t>
            </w:r>
          </w:p>
        </w:tc>
      </w:tr>
      <w:tr>
        <w:trPr>
          <w:trHeight w:val="1543" w:hRule="atLeast"/>
        </w:trPr>
        <w:tc>
          <w:tcPr>
            <w:tcW w:w="2224" w:type="dxa"/>
            <w:shd w:val="clear" w:color="auto" w:fill="DFDFDF"/>
          </w:tcPr>
          <w:p>
            <w:pPr>
              <w:pStyle w:val="TableParagraph"/>
              <w:spacing w:before="12"/>
              <w:rPr>
                <w:b/>
                <w:sz w:val="20"/>
              </w:rPr>
            </w:pPr>
          </w:p>
          <w:p>
            <w:pPr>
              <w:pStyle w:val="TableParagraph"/>
              <w:spacing w:line="390" w:lineRule="exact"/>
              <w:ind w:left="107"/>
              <w:rPr>
                <w:sz w:val="24"/>
              </w:rPr>
            </w:pPr>
            <w:r>
              <w:rPr>
                <w:sz w:val="24"/>
              </w:rPr>
              <w:t>INH, RMP,</w:t>
            </w:r>
          </w:p>
          <w:p>
            <w:pPr>
              <w:pStyle w:val="TableParagraph"/>
              <w:spacing w:line="390" w:lineRule="exact"/>
              <w:ind w:left="107"/>
              <w:rPr>
                <w:sz w:val="24"/>
              </w:rPr>
            </w:pPr>
            <w:r>
              <w:rPr>
                <w:sz w:val="24"/>
              </w:rPr>
              <w:t>injectables</w:t>
            </w:r>
          </w:p>
        </w:tc>
        <w:tc>
          <w:tcPr>
            <w:tcW w:w="2988" w:type="dxa"/>
            <w:shd w:val="clear" w:color="auto" w:fill="DFDFDF"/>
          </w:tcPr>
          <w:p>
            <w:pPr>
              <w:pStyle w:val="TableParagraph"/>
              <w:spacing w:line="184" w:lineRule="auto" w:before="113"/>
              <w:ind w:left="107" w:right="96"/>
              <w:jc w:val="both"/>
              <w:rPr>
                <w:sz w:val="24"/>
              </w:rPr>
            </w:pPr>
            <w:r>
              <w:rPr>
                <w:sz w:val="24"/>
              </w:rPr>
              <w:t>MFX(</w:t>
            </w:r>
            <w:r>
              <w:rPr>
                <w:spacing w:val="9"/>
                <w:sz w:val="24"/>
              </w:rPr>
              <w:t> 或是高劑量的 </w:t>
            </w:r>
            <w:r>
              <w:rPr>
                <w:sz w:val="24"/>
              </w:rPr>
              <w:t>LFX) </w:t>
            </w:r>
            <w:r>
              <w:rPr>
                <w:spacing w:val="-1"/>
                <w:sz w:val="24"/>
              </w:rPr>
              <w:t>加上至少 </w:t>
            </w:r>
            <w:r>
              <w:rPr>
                <w:sz w:val="24"/>
              </w:rPr>
              <w:t>4</w:t>
            </w:r>
            <w:r>
              <w:rPr>
                <w:spacing w:val="-19"/>
                <w:sz w:val="24"/>
              </w:rPr>
              <w:t> 種藥物。可考慮</w:t>
            </w:r>
            <w:r>
              <w:rPr>
                <w:spacing w:val="4"/>
                <w:sz w:val="24"/>
              </w:rPr>
              <w:t>使用高劑量 </w:t>
            </w:r>
            <w:r>
              <w:rPr>
                <w:sz w:val="24"/>
              </w:rPr>
              <w:t>INH</w:t>
            </w:r>
            <w:r>
              <w:rPr>
                <w:spacing w:val="-3"/>
                <w:sz w:val="24"/>
              </w:rPr>
              <w:t>(劑量如表</w:t>
            </w:r>
            <w:r>
              <w:rPr>
                <w:sz w:val="24"/>
              </w:rPr>
              <w:t>12-2)</w:t>
            </w:r>
          </w:p>
        </w:tc>
        <w:tc>
          <w:tcPr>
            <w:tcW w:w="1663" w:type="dxa"/>
            <w:shd w:val="clear" w:color="auto" w:fill="DFDFDF"/>
          </w:tcPr>
          <w:p>
            <w:pPr>
              <w:pStyle w:val="TableParagraph"/>
              <w:spacing w:before="12"/>
              <w:rPr>
                <w:b/>
                <w:sz w:val="20"/>
              </w:rPr>
            </w:pPr>
          </w:p>
          <w:p>
            <w:pPr>
              <w:pStyle w:val="TableParagraph"/>
              <w:spacing w:line="390" w:lineRule="exact"/>
              <w:ind w:left="230"/>
              <w:rPr>
                <w:sz w:val="24"/>
              </w:rPr>
            </w:pPr>
            <w:r>
              <w:rPr>
                <w:sz w:val="24"/>
              </w:rPr>
              <w:t>培養陰轉後</w:t>
            </w:r>
          </w:p>
          <w:p>
            <w:pPr>
              <w:pStyle w:val="TableParagraph"/>
              <w:spacing w:line="390" w:lineRule="exact"/>
              <w:ind w:left="230"/>
              <w:rPr>
                <w:sz w:val="24"/>
              </w:rPr>
            </w:pPr>
            <w:r>
              <w:rPr>
                <w:sz w:val="24"/>
              </w:rPr>
              <w:t>15-17</w:t>
            </w:r>
            <w:r>
              <w:rPr>
                <w:spacing w:val="-1"/>
                <w:sz w:val="24"/>
              </w:rPr>
              <w:t> 個月</w:t>
            </w:r>
          </w:p>
        </w:tc>
        <w:tc>
          <w:tcPr>
            <w:tcW w:w="2538" w:type="dxa"/>
            <w:shd w:val="clear" w:color="auto" w:fill="DFDFDF"/>
          </w:tcPr>
          <w:p>
            <w:pPr>
              <w:pStyle w:val="TableParagraph"/>
              <w:spacing w:before="12"/>
              <w:rPr>
                <w:b/>
                <w:sz w:val="24"/>
              </w:rPr>
            </w:pPr>
          </w:p>
          <w:p>
            <w:pPr>
              <w:pStyle w:val="TableParagraph"/>
              <w:spacing w:line="184" w:lineRule="auto"/>
              <w:ind w:left="107" w:right="96"/>
              <w:rPr>
                <w:sz w:val="24"/>
              </w:rPr>
            </w:pPr>
            <w:r>
              <w:rPr>
                <w:sz w:val="24"/>
              </w:rPr>
              <w:t>考慮外科手術，TDM 也許會有幫助。</w:t>
            </w:r>
          </w:p>
        </w:tc>
      </w:tr>
      <w:tr>
        <w:trPr>
          <w:trHeight w:val="1978" w:hRule="atLeast"/>
        </w:trPr>
        <w:tc>
          <w:tcPr>
            <w:tcW w:w="2224" w:type="dxa"/>
          </w:tcPr>
          <w:p>
            <w:pPr>
              <w:pStyle w:val="TableParagraph"/>
              <w:spacing w:line="390" w:lineRule="exact" w:before="87"/>
              <w:ind w:left="107"/>
              <w:jc w:val="both"/>
              <w:rPr>
                <w:sz w:val="24"/>
              </w:rPr>
            </w:pPr>
            <w:r>
              <w:rPr>
                <w:sz w:val="24"/>
              </w:rPr>
              <w:t>INH, RMP,</w:t>
            </w:r>
          </w:p>
          <w:p>
            <w:pPr>
              <w:pStyle w:val="TableParagraph"/>
              <w:spacing w:line="184" w:lineRule="auto" w:before="23"/>
              <w:ind w:left="107" w:right="194"/>
              <w:jc w:val="both"/>
              <w:rPr>
                <w:sz w:val="24"/>
              </w:rPr>
            </w:pPr>
            <w:r>
              <w:rPr>
                <w:sz w:val="24"/>
              </w:rPr>
              <w:t>fluoroquinolone, and at least one additional</w:t>
            </w:r>
            <w:r>
              <w:rPr>
                <w:spacing w:val="-10"/>
                <w:sz w:val="24"/>
              </w:rPr>
              <w:t> </w:t>
            </w:r>
            <w:r>
              <w:rPr>
                <w:sz w:val="24"/>
              </w:rPr>
              <w:t>Group A drug</w:t>
            </w:r>
            <w:r>
              <w:rPr>
                <w:spacing w:val="-2"/>
                <w:sz w:val="24"/>
              </w:rPr>
              <w:t> </w:t>
            </w:r>
            <w:r>
              <w:rPr>
                <w:sz w:val="24"/>
              </w:rPr>
              <w:t>(XDR)</w:t>
            </w:r>
          </w:p>
        </w:tc>
        <w:tc>
          <w:tcPr>
            <w:tcW w:w="2988" w:type="dxa"/>
          </w:tcPr>
          <w:p>
            <w:pPr>
              <w:pStyle w:val="TableParagraph"/>
              <w:spacing w:line="184" w:lineRule="auto" w:before="161"/>
              <w:ind w:left="107" w:right="96"/>
              <w:jc w:val="both"/>
              <w:rPr>
                <w:sz w:val="24"/>
              </w:rPr>
            </w:pPr>
            <w:r>
              <w:rPr>
                <w:sz w:val="24"/>
              </w:rPr>
              <w:t>4-5</w:t>
            </w:r>
            <w:r>
              <w:rPr>
                <w:spacing w:val="-10"/>
                <w:sz w:val="24"/>
              </w:rPr>
              <w:t> 種藥物。再加上高劑量</w:t>
            </w:r>
            <w:r>
              <w:rPr>
                <w:spacing w:val="-1"/>
                <w:sz w:val="24"/>
              </w:rPr>
              <w:t>的 </w:t>
            </w:r>
            <w:r>
              <w:rPr>
                <w:spacing w:val="-21"/>
                <w:sz w:val="24"/>
              </w:rPr>
              <w:t>LFX（</w:t>
            </w:r>
            <w:r>
              <w:rPr>
                <w:spacing w:val="-12"/>
                <w:sz w:val="24"/>
              </w:rPr>
              <w:t>除非有抗藥)。用上</w:t>
            </w:r>
            <w:r>
              <w:rPr>
                <w:sz w:val="24"/>
              </w:rPr>
              <w:t>PZA</w:t>
            </w:r>
            <w:r>
              <w:rPr>
                <w:spacing w:val="13"/>
                <w:sz w:val="24"/>
              </w:rPr>
              <w:t> 及</w:t>
            </w:r>
            <w:r>
              <w:rPr>
                <w:sz w:val="24"/>
              </w:rPr>
              <w:t>/</w:t>
            </w:r>
            <w:r>
              <w:rPr>
                <w:spacing w:val="13"/>
                <w:sz w:val="24"/>
              </w:rPr>
              <w:t>或 </w:t>
            </w:r>
            <w:r>
              <w:rPr>
                <w:sz w:val="24"/>
              </w:rPr>
              <w:t>EMB</w:t>
            </w:r>
            <w:r>
              <w:rPr>
                <w:spacing w:val="2"/>
                <w:sz w:val="24"/>
              </w:rPr>
              <w:t> 如果有藥</w:t>
            </w:r>
            <w:r>
              <w:rPr>
                <w:spacing w:val="-13"/>
                <w:sz w:val="24"/>
              </w:rPr>
              <w:t>敏。加上一種注射藥物如果</w:t>
            </w:r>
            <w:r>
              <w:rPr>
                <w:sz w:val="24"/>
              </w:rPr>
              <w:t>有藥物敏感性試驗結果。</w:t>
            </w:r>
          </w:p>
        </w:tc>
        <w:tc>
          <w:tcPr>
            <w:tcW w:w="1663" w:type="dxa"/>
          </w:tcPr>
          <w:p>
            <w:pPr>
              <w:pStyle w:val="TableParagraph"/>
              <w:spacing w:before="8"/>
              <w:rPr>
                <w:b/>
                <w:sz w:val="32"/>
              </w:rPr>
            </w:pPr>
          </w:p>
          <w:p>
            <w:pPr>
              <w:pStyle w:val="TableParagraph"/>
              <w:spacing w:line="390" w:lineRule="exact" w:before="1"/>
              <w:ind w:left="230"/>
              <w:rPr>
                <w:sz w:val="24"/>
              </w:rPr>
            </w:pPr>
            <w:r>
              <w:rPr>
                <w:sz w:val="24"/>
              </w:rPr>
              <w:t>培養陰轉後</w:t>
            </w:r>
          </w:p>
          <w:p>
            <w:pPr>
              <w:pStyle w:val="TableParagraph"/>
              <w:spacing w:line="390" w:lineRule="exact"/>
              <w:ind w:left="230"/>
              <w:rPr>
                <w:sz w:val="24"/>
              </w:rPr>
            </w:pPr>
            <w:r>
              <w:rPr>
                <w:sz w:val="24"/>
              </w:rPr>
              <w:t>15-17</w:t>
            </w:r>
            <w:r>
              <w:rPr>
                <w:spacing w:val="-1"/>
                <w:sz w:val="24"/>
              </w:rPr>
              <w:t> 個月</w:t>
            </w:r>
          </w:p>
        </w:tc>
        <w:tc>
          <w:tcPr>
            <w:tcW w:w="2538" w:type="dxa"/>
          </w:tcPr>
          <w:p>
            <w:pPr>
              <w:pStyle w:val="TableParagraph"/>
              <w:spacing w:line="184" w:lineRule="auto" w:before="161"/>
              <w:ind w:left="107" w:right="96"/>
              <w:jc w:val="both"/>
              <w:rPr>
                <w:sz w:val="24"/>
              </w:rPr>
            </w:pPr>
            <w:r>
              <w:rPr>
                <w:spacing w:val="9"/>
                <w:sz w:val="24"/>
              </w:rPr>
              <w:t>如果對低劑量的 </w:t>
            </w:r>
            <w:r>
              <w:rPr>
                <w:spacing w:val="-7"/>
                <w:sz w:val="24"/>
              </w:rPr>
              <w:t>INH </w:t>
            </w:r>
            <w:r>
              <w:rPr>
                <w:spacing w:val="-12"/>
                <w:sz w:val="24"/>
              </w:rPr>
              <w:t>抗藥，考慮使用高劑量</w:t>
            </w:r>
            <w:r>
              <w:rPr>
                <w:spacing w:val="4"/>
                <w:sz w:val="24"/>
              </w:rPr>
              <w:t>的 </w:t>
            </w:r>
            <w:r>
              <w:rPr>
                <w:spacing w:val="3"/>
                <w:sz w:val="24"/>
              </w:rPr>
              <w:t>INH</w:t>
            </w:r>
            <w:r>
              <w:rPr>
                <w:spacing w:val="6"/>
                <w:sz w:val="24"/>
              </w:rPr>
              <w:t>。考慮外科手</w:t>
            </w:r>
            <w:r>
              <w:rPr>
                <w:sz w:val="24"/>
              </w:rPr>
              <w:t>術。TDM</w:t>
            </w:r>
            <w:r>
              <w:rPr>
                <w:spacing w:val="1"/>
                <w:sz w:val="24"/>
              </w:rPr>
              <w:t> 也許會有幫</w:t>
            </w:r>
            <w:r>
              <w:rPr>
                <w:sz w:val="24"/>
              </w:rPr>
              <w:t>助。</w:t>
            </w:r>
          </w:p>
        </w:tc>
      </w:tr>
    </w:tbl>
    <w:p>
      <w:pPr>
        <w:spacing w:after="0" w:line="184" w:lineRule="auto"/>
        <w:jc w:val="both"/>
        <w:rPr>
          <w:sz w:val="24"/>
        </w:rPr>
        <w:sectPr>
          <w:pgSz w:w="12250" w:h="17190"/>
          <w:pgMar w:header="0" w:footer="734" w:top="1440" w:bottom="1020" w:left="1020" w:right="0"/>
        </w:sectPr>
      </w:pPr>
    </w:p>
    <w:p>
      <w:pPr>
        <w:tabs>
          <w:tab w:pos="3992" w:val="left" w:leader="none"/>
        </w:tabs>
        <w:spacing w:line="674" w:lineRule="exact" w:before="0"/>
        <w:ind w:left="2143" w:right="0" w:firstLine="0"/>
        <w:jc w:val="left"/>
        <w:rPr>
          <w:b/>
          <w:sz w:val="37"/>
        </w:rPr>
      </w:pPr>
      <w:r>
        <w:rPr/>
        <w:pict>
          <v:group style="position:absolute;margin-left:571pt;margin-top:6.7299pt;width:41.4pt;height:201.8pt;mso-position-horizontal-relative:page;mso-position-vertical-relative:paragraph;z-index:251921408" coordorigin="11420,135" coordsize="828,4036">
            <v:shape style="position:absolute;left:11420;top:134;width:828;height:4036" coordorigin="11420,135" coordsize="828,4036" path="m12247,135l11585,135,11521,148,11468,183,11433,236,11420,300,11420,4005,11433,4070,11468,4122,11521,4158,11585,4171,12247,4171,12247,4170,12247,135,12247,135xe" filled="true" fillcolor="#a6a6a6" stroked="false">
              <v:path arrowok="t"/>
              <v:fill type="solid"/>
            </v:shape>
            <v:shape style="position:absolute;left:11420;top:134;width:828;height:4036" type="#_x0000_t202" filled="false" stroked="false">
              <v:textbox inset="0,0,0,0">
                <w:txbxContent>
                  <w:p>
                    <w:pPr>
                      <w:spacing w:line="146" w:lineRule="auto" w:before="126"/>
                      <w:ind w:left="135" w:right="469" w:firstLine="0"/>
                      <w:jc w:val="both"/>
                      <w:rPr>
                        <w:sz w:val="22"/>
                      </w:rPr>
                    </w:pPr>
                    <w:r>
                      <w:rPr>
                        <w:sz w:val="22"/>
                      </w:rPr>
                      <w:t>第十三章</w:t>
                    </w:r>
                  </w:p>
                  <w:p>
                    <w:pPr>
                      <w:spacing w:line="141" w:lineRule="auto" w:before="179"/>
                      <w:ind w:left="135" w:right="469" w:firstLine="0"/>
                      <w:jc w:val="both"/>
                      <w:rPr>
                        <w:sz w:val="22"/>
                      </w:rPr>
                    </w:pPr>
                    <w:r>
                      <w:rPr>
                        <w:sz w:val="22"/>
                      </w:rPr>
                      <w:t>兒童抗藥性結核病之診療</w:t>
                    </w:r>
                  </w:p>
                </w:txbxContent>
              </v:textbox>
              <w10:wrap type="none"/>
            </v:shape>
            <w10:wrap type="none"/>
          </v:group>
        </w:pict>
      </w:r>
      <w:r>
        <w:rPr>
          <w:b/>
          <w:sz w:val="37"/>
        </w:rPr>
        <w:t>第十三章</w:t>
        <w:tab/>
        <w:t>兒童抗藥性結核病之診療</w:t>
      </w:r>
    </w:p>
    <w:p>
      <w:pPr>
        <w:pStyle w:val="ListParagraph"/>
        <w:numPr>
          <w:ilvl w:val="1"/>
          <w:numId w:val="182"/>
        </w:numPr>
        <w:tabs>
          <w:tab w:pos="976" w:val="left" w:leader="none"/>
        </w:tabs>
        <w:spacing w:line="457" w:lineRule="exact" w:before="159" w:after="0"/>
        <w:ind w:left="975" w:right="0" w:hanging="636"/>
        <w:jc w:val="left"/>
        <w:rPr>
          <w:b/>
          <w:sz w:val="25"/>
        </w:rPr>
      </w:pPr>
      <w:bookmarkStart w:name="13.1 抗藥性結核病之分類" w:id="161"/>
      <w:bookmarkEnd w:id="161"/>
      <w:r>
        <w:rPr/>
      </w:r>
      <w:bookmarkStart w:name="13.1 抗藥性結核病之分類" w:id="162"/>
      <w:bookmarkEnd w:id="162"/>
      <w:r>
        <w:rPr>
          <w:b/>
          <w:spacing w:val="2"/>
          <w:sz w:val="25"/>
        </w:rPr>
        <w:t>抗藥性結核病之分類</w:t>
      </w:r>
    </w:p>
    <w:p>
      <w:pPr>
        <w:pStyle w:val="ListParagraph"/>
        <w:numPr>
          <w:ilvl w:val="2"/>
          <w:numId w:val="182"/>
        </w:numPr>
        <w:tabs>
          <w:tab w:pos="963" w:val="left" w:leader="none"/>
          <w:tab w:pos="964" w:val="left" w:leader="none"/>
        </w:tabs>
        <w:spacing w:line="223" w:lineRule="auto" w:before="20" w:after="0"/>
        <w:ind w:left="963" w:right="1361" w:hanging="404"/>
        <w:jc w:val="left"/>
        <w:rPr>
          <w:sz w:val="24"/>
        </w:rPr>
      </w:pPr>
      <w:r>
        <w:rPr>
          <w:spacing w:val="-6"/>
          <w:sz w:val="24"/>
        </w:rPr>
        <w:t>抗藥性結核病可分為單一藥物抗藥、多種藥物抗藥、多重藥物抗藥及廣泛抗藥性結核</w:t>
      </w:r>
      <w:r>
        <w:rPr>
          <w:spacing w:val="4"/>
          <w:sz w:val="24"/>
        </w:rPr>
        <w:t>病。</w:t>
      </w:r>
    </w:p>
    <w:p>
      <w:pPr>
        <w:pStyle w:val="ListParagraph"/>
        <w:numPr>
          <w:ilvl w:val="2"/>
          <w:numId w:val="182"/>
        </w:numPr>
        <w:tabs>
          <w:tab w:pos="963" w:val="left" w:leader="none"/>
          <w:tab w:pos="964" w:val="left" w:leader="none"/>
        </w:tabs>
        <w:spacing w:line="223" w:lineRule="auto" w:before="1" w:after="0"/>
        <w:ind w:left="963" w:right="1363" w:hanging="404"/>
        <w:jc w:val="left"/>
        <w:rPr>
          <w:sz w:val="24"/>
        </w:rPr>
      </w:pPr>
      <w:r>
        <w:rPr>
          <w:spacing w:val="3"/>
          <w:sz w:val="24"/>
        </w:rPr>
        <w:t>多種抗藥性結核病(</w:t>
      </w:r>
      <w:r>
        <w:rPr>
          <w:sz w:val="24"/>
        </w:rPr>
        <w:t>polyresistance</w:t>
      </w:r>
      <w:r>
        <w:rPr>
          <w:spacing w:val="1"/>
          <w:sz w:val="24"/>
        </w:rPr>
        <w:t>)之定義為對一種以上結核藥物抗藥，但並未同時</w:t>
      </w:r>
      <w:r>
        <w:rPr>
          <w:spacing w:val="3"/>
          <w:sz w:val="24"/>
        </w:rPr>
        <w:t>對 </w:t>
      </w:r>
      <w:r>
        <w:rPr>
          <w:sz w:val="24"/>
        </w:rPr>
        <w:t>INH</w:t>
      </w:r>
      <w:r>
        <w:rPr>
          <w:spacing w:val="2"/>
          <w:sz w:val="24"/>
        </w:rPr>
        <w:t> 及 </w:t>
      </w:r>
      <w:r>
        <w:rPr>
          <w:sz w:val="24"/>
        </w:rPr>
        <w:t>RMP</w:t>
      </w:r>
      <w:r>
        <w:rPr>
          <w:spacing w:val="2"/>
          <w:sz w:val="24"/>
        </w:rPr>
        <w:t> 抗藥之結核病。</w:t>
      </w:r>
    </w:p>
    <w:p>
      <w:pPr>
        <w:pStyle w:val="ListParagraph"/>
        <w:numPr>
          <w:ilvl w:val="2"/>
          <w:numId w:val="182"/>
        </w:numPr>
        <w:tabs>
          <w:tab w:pos="964" w:val="left" w:leader="none"/>
        </w:tabs>
        <w:spacing w:line="405" w:lineRule="exact" w:before="0" w:after="0"/>
        <w:ind w:left="963" w:right="0" w:hanging="404"/>
        <w:jc w:val="both"/>
        <w:rPr>
          <w:sz w:val="24"/>
        </w:rPr>
      </w:pPr>
      <w:r>
        <w:rPr>
          <w:spacing w:val="2"/>
          <w:sz w:val="24"/>
        </w:rPr>
        <w:t>多重抗藥性結核病(</w:t>
      </w:r>
      <w:r>
        <w:rPr>
          <w:sz w:val="24"/>
        </w:rPr>
        <w:t>MDR-TB)之定義為至少對 INH</w:t>
      </w:r>
      <w:r>
        <w:rPr>
          <w:spacing w:val="3"/>
          <w:sz w:val="24"/>
        </w:rPr>
        <w:t> 及 </w:t>
      </w:r>
      <w:r>
        <w:rPr>
          <w:sz w:val="24"/>
        </w:rPr>
        <w:t>RMP</w:t>
      </w:r>
      <w:r>
        <w:rPr>
          <w:spacing w:val="2"/>
          <w:sz w:val="24"/>
        </w:rPr>
        <w:t> 抗藥之結核病。</w:t>
      </w:r>
    </w:p>
    <w:p>
      <w:pPr>
        <w:pStyle w:val="ListParagraph"/>
        <w:numPr>
          <w:ilvl w:val="2"/>
          <w:numId w:val="182"/>
        </w:numPr>
        <w:tabs>
          <w:tab w:pos="964" w:val="left" w:leader="none"/>
        </w:tabs>
        <w:spacing w:line="223" w:lineRule="auto" w:before="7" w:after="0"/>
        <w:ind w:left="963" w:right="1359" w:hanging="404"/>
        <w:jc w:val="both"/>
        <w:rPr>
          <w:sz w:val="24"/>
        </w:rPr>
      </w:pPr>
      <w:r>
        <w:rPr>
          <w:spacing w:val="3"/>
          <w:sz w:val="24"/>
        </w:rPr>
        <w:t>前驅廣泛抗藥結核病</w:t>
      </w:r>
      <w:r>
        <w:rPr>
          <w:sz w:val="24"/>
        </w:rPr>
        <w:t>（Pre-XDR-TB）</w:t>
      </w:r>
      <w:r>
        <w:rPr>
          <w:spacing w:val="8"/>
          <w:sz w:val="24"/>
        </w:rPr>
        <w:t>之定義為符合 </w:t>
      </w:r>
      <w:r>
        <w:rPr>
          <w:sz w:val="24"/>
        </w:rPr>
        <w:t>Rifampin</w:t>
      </w:r>
      <w:r>
        <w:rPr>
          <w:spacing w:val="10"/>
          <w:sz w:val="24"/>
        </w:rPr>
        <w:t> 單一抗藥(</w:t>
      </w:r>
      <w:r>
        <w:rPr>
          <w:sz w:val="24"/>
        </w:rPr>
        <w:t>Rifampin- resistant</w:t>
      </w:r>
      <w:r>
        <w:rPr>
          <w:spacing w:val="19"/>
          <w:sz w:val="24"/>
        </w:rPr>
        <w:t> </w:t>
      </w:r>
      <w:r>
        <w:rPr>
          <w:sz w:val="24"/>
        </w:rPr>
        <w:t>TB,</w:t>
      </w:r>
      <w:r>
        <w:rPr>
          <w:spacing w:val="20"/>
          <w:sz w:val="24"/>
        </w:rPr>
        <w:t> </w:t>
      </w:r>
      <w:r>
        <w:rPr>
          <w:sz w:val="24"/>
        </w:rPr>
        <w:t>RR-TB)或多重抗藥(MDR-TB</w:t>
      </w:r>
      <w:r>
        <w:rPr>
          <w:spacing w:val="-1"/>
          <w:sz w:val="24"/>
        </w:rPr>
        <w:t>)且對任一 </w:t>
      </w:r>
      <w:r>
        <w:rPr>
          <w:sz w:val="24"/>
        </w:rPr>
        <w:t>fluoroquinolone</w:t>
      </w:r>
      <w:r>
        <w:rPr>
          <w:spacing w:val="10"/>
          <w:sz w:val="24"/>
        </w:rPr>
        <w:t> (</w:t>
      </w:r>
      <w:r>
        <w:rPr>
          <w:sz w:val="24"/>
        </w:rPr>
        <w:t>levofloxacin </w:t>
      </w:r>
      <w:r>
        <w:rPr>
          <w:spacing w:val="3"/>
          <w:sz w:val="24"/>
        </w:rPr>
        <w:t>或 </w:t>
      </w:r>
      <w:r>
        <w:rPr>
          <w:sz w:val="24"/>
        </w:rPr>
        <w:t>moxifloxacin</w:t>
      </w:r>
      <w:r>
        <w:rPr>
          <w:spacing w:val="1"/>
          <w:sz w:val="24"/>
        </w:rPr>
        <w:t>)抗藥。</w:t>
      </w:r>
    </w:p>
    <w:p>
      <w:pPr>
        <w:pStyle w:val="ListParagraph"/>
        <w:numPr>
          <w:ilvl w:val="2"/>
          <w:numId w:val="182"/>
        </w:numPr>
        <w:tabs>
          <w:tab w:pos="964" w:val="left" w:leader="none"/>
        </w:tabs>
        <w:spacing w:line="223" w:lineRule="auto" w:before="1" w:after="0"/>
        <w:ind w:left="963" w:right="1361" w:hanging="404"/>
        <w:jc w:val="both"/>
        <w:rPr>
          <w:sz w:val="24"/>
        </w:rPr>
      </w:pPr>
      <w:r>
        <w:rPr>
          <w:spacing w:val="2"/>
          <w:sz w:val="24"/>
        </w:rPr>
        <w:t>廣泛抗藥結核病(</w:t>
      </w:r>
      <w:r>
        <w:rPr>
          <w:sz w:val="24"/>
        </w:rPr>
        <w:t>XDR-TB</w:t>
      </w:r>
      <w:r>
        <w:rPr>
          <w:spacing w:val="2"/>
          <w:sz w:val="24"/>
        </w:rPr>
        <w:t>)之定義為同時對 </w:t>
      </w:r>
      <w:r>
        <w:rPr>
          <w:sz w:val="24"/>
        </w:rPr>
        <w:t>INH</w:t>
      </w:r>
      <w:r>
        <w:rPr>
          <w:spacing w:val="4"/>
          <w:sz w:val="24"/>
        </w:rPr>
        <w:t>、</w:t>
      </w:r>
      <w:r>
        <w:rPr>
          <w:sz w:val="24"/>
        </w:rPr>
        <w:t>RMP</w:t>
      </w:r>
      <w:r>
        <w:rPr>
          <w:spacing w:val="4"/>
          <w:sz w:val="24"/>
        </w:rPr>
        <w:t>、</w:t>
      </w:r>
      <w:r>
        <w:rPr>
          <w:sz w:val="24"/>
        </w:rPr>
        <w:t>fluoroquinolone</w:t>
      </w:r>
      <w:r>
        <w:rPr>
          <w:spacing w:val="6"/>
          <w:sz w:val="24"/>
        </w:rPr>
        <w:t> 類藥物抗</w:t>
      </w:r>
      <w:r>
        <w:rPr>
          <w:spacing w:val="2"/>
          <w:sz w:val="24"/>
        </w:rPr>
        <w:t>藥，加上對 </w:t>
      </w:r>
      <w:r>
        <w:rPr>
          <w:sz w:val="24"/>
        </w:rPr>
        <w:t>bedaquiline</w:t>
      </w:r>
      <w:r>
        <w:rPr>
          <w:spacing w:val="3"/>
          <w:sz w:val="24"/>
        </w:rPr>
        <w:t> 或 </w:t>
      </w:r>
      <w:r>
        <w:rPr>
          <w:sz w:val="24"/>
        </w:rPr>
        <w:t>linezolid</w:t>
      </w:r>
      <w:r>
        <w:rPr>
          <w:spacing w:val="2"/>
          <w:sz w:val="24"/>
        </w:rPr>
        <w:t> 其中一種抗藥之結核病。</w:t>
      </w:r>
    </w:p>
    <w:p>
      <w:pPr>
        <w:pStyle w:val="ListParagraph"/>
        <w:numPr>
          <w:ilvl w:val="2"/>
          <w:numId w:val="182"/>
        </w:numPr>
        <w:tabs>
          <w:tab w:pos="964" w:val="left" w:leader="none"/>
        </w:tabs>
        <w:spacing w:line="405" w:lineRule="exact" w:before="0" w:after="0"/>
        <w:ind w:left="963" w:right="0" w:hanging="404"/>
        <w:jc w:val="both"/>
        <w:rPr>
          <w:sz w:val="24"/>
        </w:rPr>
      </w:pPr>
      <w:r>
        <w:rPr>
          <w:spacing w:val="3"/>
          <w:sz w:val="24"/>
        </w:rPr>
        <w:t>本章主要針對兒童廣泛抗藥結核病</w:t>
      </w:r>
      <w:r>
        <w:rPr>
          <w:sz w:val="24"/>
        </w:rPr>
        <w:t>(XDR-TB</w:t>
      </w:r>
      <w:r>
        <w:rPr>
          <w:spacing w:val="1"/>
          <w:sz w:val="24"/>
        </w:rPr>
        <w:t>)、多重抗藥性結核病(</w:t>
      </w:r>
      <w:r>
        <w:rPr>
          <w:sz w:val="24"/>
        </w:rPr>
        <w:t>MDR-TB</w:t>
      </w:r>
      <w:r>
        <w:rPr>
          <w:spacing w:val="15"/>
          <w:sz w:val="24"/>
        </w:rPr>
        <w:t>)及 </w:t>
      </w:r>
      <w:r>
        <w:rPr>
          <w:sz w:val="24"/>
        </w:rPr>
        <w:t>RMP</w:t>
      </w:r>
    </w:p>
    <w:p>
      <w:pPr>
        <w:pStyle w:val="BodyText"/>
        <w:spacing w:line="411" w:lineRule="exact"/>
        <w:ind w:left="963"/>
      </w:pPr>
      <w:r>
        <w:rPr/>
        <w:t>抗藥結核病的治療。</w:t>
      </w:r>
    </w:p>
    <w:p>
      <w:pPr>
        <w:pStyle w:val="ListParagraph"/>
        <w:numPr>
          <w:ilvl w:val="2"/>
          <w:numId w:val="182"/>
        </w:numPr>
        <w:tabs>
          <w:tab w:pos="963" w:val="left" w:leader="none"/>
          <w:tab w:pos="964" w:val="left" w:leader="none"/>
        </w:tabs>
        <w:spacing w:line="426" w:lineRule="exact" w:before="0" w:after="0"/>
        <w:ind w:left="963" w:right="0" w:hanging="404"/>
        <w:jc w:val="left"/>
        <w:rPr>
          <w:sz w:val="24"/>
        </w:rPr>
      </w:pPr>
      <w:r>
        <w:rPr>
          <w:spacing w:val="2"/>
          <w:sz w:val="24"/>
        </w:rPr>
        <w:t>本章所謂兒童係指未滿 </w:t>
      </w:r>
      <w:r>
        <w:rPr>
          <w:sz w:val="24"/>
        </w:rPr>
        <w:t>18</w:t>
      </w:r>
      <w:r>
        <w:rPr>
          <w:spacing w:val="3"/>
          <w:sz w:val="24"/>
        </w:rPr>
        <w:t> 歲者。</w:t>
      </w:r>
    </w:p>
    <w:p>
      <w:pPr>
        <w:pStyle w:val="BodyText"/>
        <w:spacing w:before="15"/>
        <w:rPr>
          <w:sz w:val="19"/>
        </w:rPr>
      </w:pPr>
    </w:p>
    <w:p>
      <w:pPr>
        <w:pStyle w:val="Heading6"/>
        <w:numPr>
          <w:ilvl w:val="1"/>
          <w:numId w:val="182"/>
        </w:numPr>
        <w:tabs>
          <w:tab w:pos="976" w:val="left" w:leader="none"/>
        </w:tabs>
        <w:spacing w:line="240" w:lineRule="auto" w:before="0" w:after="0"/>
        <w:ind w:left="975" w:right="0" w:hanging="636"/>
        <w:jc w:val="both"/>
      </w:pPr>
      <w:bookmarkStart w:name="13.2 兒童抗藥性結核病之診斷" w:id="163"/>
      <w:bookmarkEnd w:id="163"/>
      <w:r>
        <w:rPr>
          <w:b w:val="0"/>
        </w:rPr>
      </w:r>
      <w:bookmarkStart w:name="13.2 兒童抗藥性結核病之診斷" w:id="164"/>
      <w:bookmarkEnd w:id="164"/>
      <w:r>
        <w:rPr>
          <w:spacing w:val="3"/>
        </w:rPr>
        <w:t>兒童抗藥性結核病之診斷</w:t>
      </w:r>
    </w:p>
    <w:p>
      <w:pPr>
        <w:pStyle w:val="BodyText"/>
        <w:spacing w:line="223" w:lineRule="auto" w:before="28"/>
        <w:ind w:left="945" w:right="1357" w:firstLine="576"/>
        <w:jc w:val="both"/>
      </w:pPr>
      <w:r>
        <w:rPr>
          <w:spacing w:val="3"/>
        </w:rPr>
        <w:t>兒童結核病之診斷請見第八章兒童結核病之診療，抗藥性結核病的診斷主要是</w:t>
      </w:r>
      <w:r>
        <w:rPr>
          <w:spacing w:val="1"/>
        </w:rPr>
        <w:t>依據痰液培養及藥物感受性試驗 (</w:t>
      </w:r>
      <w:r>
        <w:rPr/>
        <w:t>DST)</w:t>
      </w:r>
      <w:r>
        <w:rPr>
          <w:spacing w:val="-8"/>
        </w:rPr>
        <w:t>決定，由於兒童菌株數量較少且常不易獲得適</w:t>
      </w:r>
      <w:r>
        <w:rPr>
          <w:spacing w:val="-7"/>
        </w:rPr>
        <w:t>量痰液檢體，所以不一定有細菌學陽性報告，因此有下列情況時，醫療人員應懷疑是</w:t>
      </w:r>
      <w:r>
        <w:rPr>
          <w:spacing w:val="2"/>
        </w:rPr>
        <w:t>否有抗藥性結核病之感染：</w:t>
      </w:r>
    </w:p>
    <w:p>
      <w:pPr>
        <w:pStyle w:val="ListParagraph"/>
        <w:numPr>
          <w:ilvl w:val="2"/>
          <w:numId w:val="182"/>
        </w:numPr>
        <w:tabs>
          <w:tab w:pos="963" w:val="left" w:leader="none"/>
          <w:tab w:pos="964" w:val="left" w:leader="none"/>
        </w:tabs>
        <w:spacing w:line="406" w:lineRule="exact" w:before="0" w:after="0"/>
        <w:ind w:left="963" w:right="0" w:hanging="404"/>
        <w:jc w:val="left"/>
        <w:rPr>
          <w:sz w:val="24"/>
        </w:rPr>
      </w:pPr>
      <w:r>
        <w:rPr>
          <w:spacing w:val="3"/>
          <w:sz w:val="24"/>
        </w:rPr>
        <w:t>密切接觸者為抗藥肺結核病人。</w:t>
      </w:r>
    </w:p>
    <w:p>
      <w:pPr>
        <w:pStyle w:val="ListParagraph"/>
        <w:numPr>
          <w:ilvl w:val="2"/>
          <w:numId w:val="182"/>
        </w:numPr>
        <w:tabs>
          <w:tab w:pos="963" w:val="left" w:leader="none"/>
          <w:tab w:pos="964" w:val="left" w:leader="none"/>
        </w:tabs>
        <w:spacing w:line="411" w:lineRule="exact" w:before="0" w:after="0"/>
        <w:ind w:left="963" w:right="0" w:hanging="404"/>
        <w:jc w:val="left"/>
        <w:rPr>
          <w:sz w:val="24"/>
        </w:rPr>
      </w:pPr>
      <w:r>
        <w:rPr>
          <w:spacing w:val="2"/>
          <w:sz w:val="24"/>
        </w:rPr>
        <w:t>曾接受抗結核藥物治療，尤其是過去 </w:t>
      </w:r>
      <w:r>
        <w:rPr>
          <w:sz w:val="24"/>
        </w:rPr>
        <w:t>12</w:t>
      </w:r>
      <w:r>
        <w:rPr>
          <w:spacing w:val="3"/>
          <w:sz w:val="24"/>
        </w:rPr>
        <w:t> 個月內。</w:t>
      </w:r>
    </w:p>
    <w:p>
      <w:pPr>
        <w:pStyle w:val="ListParagraph"/>
        <w:numPr>
          <w:ilvl w:val="2"/>
          <w:numId w:val="182"/>
        </w:numPr>
        <w:tabs>
          <w:tab w:pos="963" w:val="left" w:leader="none"/>
          <w:tab w:pos="964" w:val="left" w:leader="none"/>
        </w:tabs>
        <w:spacing w:line="426" w:lineRule="exact" w:before="0" w:after="0"/>
        <w:ind w:left="963" w:right="0" w:hanging="404"/>
        <w:jc w:val="left"/>
        <w:rPr>
          <w:sz w:val="24"/>
        </w:rPr>
      </w:pPr>
      <w:r>
        <w:rPr>
          <w:spacing w:val="2"/>
          <w:sz w:val="24"/>
        </w:rPr>
        <w:t>使用第一線抗結核藥物 </w:t>
      </w:r>
      <w:r>
        <w:rPr>
          <w:sz w:val="24"/>
        </w:rPr>
        <w:t>2</w:t>
      </w:r>
      <w:r>
        <w:rPr>
          <w:spacing w:val="2"/>
          <w:sz w:val="24"/>
        </w:rPr>
        <w:t> 至 </w:t>
      </w:r>
      <w:r>
        <w:rPr>
          <w:sz w:val="24"/>
        </w:rPr>
        <w:t>3</w:t>
      </w:r>
      <w:r>
        <w:rPr>
          <w:spacing w:val="2"/>
          <w:sz w:val="24"/>
        </w:rPr>
        <w:t> 個月後治療反應不佳。</w:t>
      </w:r>
    </w:p>
    <w:p>
      <w:pPr>
        <w:pStyle w:val="BodyText"/>
        <w:spacing w:before="16"/>
        <w:rPr>
          <w:sz w:val="20"/>
        </w:rPr>
      </w:pPr>
    </w:p>
    <w:p>
      <w:pPr>
        <w:pStyle w:val="Heading6"/>
        <w:numPr>
          <w:ilvl w:val="1"/>
          <w:numId w:val="182"/>
        </w:numPr>
        <w:tabs>
          <w:tab w:pos="976" w:val="left" w:leader="none"/>
        </w:tabs>
        <w:spacing w:line="240" w:lineRule="auto" w:before="0" w:after="0"/>
        <w:ind w:left="975" w:right="0" w:hanging="636"/>
        <w:jc w:val="both"/>
      </w:pPr>
      <w:bookmarkStart w:name="13.3 兒童抗藥性結核病之治療" w:id="165"/>
      <w:bookmarkEnd w:id="165"/>
      <w:r>
        <w:rPr>
          <w:b w:val="0"/>
        </w:rPr>
      </w:r>
      <w:bookmarkStart w:name="13.3 兒童抗藥性結核病之治療" w:id="166"/>
      <w:bookmarkEnd w:id="166"/>
      <w:r>
        <w:rPr>
          <w:spacing w:val="3"/>
        </w:rPr>
        <w:t>兒童抗藥性結核病之治療</w:t>
      </w:r>
    </w:p>
    <w:p>
      <w:pPr>
        <w:pStyle w:val="ListParagraph"/>
        <w:numPr>
          <w:ilvl w:val="2"/>
          <w:numId w:val="183"/>
        </w:numPr>
        <w:tabs>
          <w:tab w:pos="1317" w:val="left" w:leader="none"/>
        </w:tabs>
        <w:spacing w:line="223" w:lineRule="auto" w:before="29" w:after="0"/>
        <w:ind w:left="1316" w:right="1307" w:hanging="866"/>
        <w:jc w:val="both"/>
        <w:rPr>
          <w:sz w:val="24"/>
        </w:rPr>
      </w:pPr>
      <w:r>
        <w:rPr>
          <w:spacing w:val="12"/>
          <w:sz w:val="24"/>
        </w:rPr>
        <w:t>對 </w:t>
      </w:r>
      <w:r>
        <w:rPr>
          <w:sz w:val="24"/>
        </w:rPr>
        <w:t>INH</w:t>
      </w:r>
      <w:r>
        <w:rPr>
          <w:spacing w:val="7"/>
          <w:sz w:val="24"/>
        </w:rPr>
        <w:t> 單一抗藥而對 </w:t>
      </w:r>
      <w:r>
        <w:rPr>
          <w:sz w:val="24"/>
        </w:rPr>
        <w:t>RMP</w:t>
      </w:r>
      <w:r>
        <w:rPr>
          <w:spacing w:val="3"/>
          <w:sz w:val="24"/>
        </w:rPr>
        <w:t> 敏感之結核菌感染，因為兒童較不易產生 </w:t>
      </w:r>
      <w:r>
        <w:rPr>
          <w:sz w:val="24"/>
        </w:rPr>
        <w:t>INH</w:t>
      </w:r>
      <w:r>
        <w:rPr>
          <w:spacing w:val="10"/>
          <w:sz w:val="24"/>
        </w:rPr>
        <w:t> 相關</w:t>
      </w:r>
      <w:r>
        <w:rPr>
          <w:spacing w:val="3"/>
          <w:sz w:val="24"/>
        </w:rPr>
        <w:t>的副作用，且部分 </w:t>
      </w:r>
      <w:r>
        <w:rPr>
          <w:sz w:val="24"/>
        </w:rPr>
        <w:t>INH</w:t>
      </w:r>
      <w:r>
        <w:rPr>
          <w:spacing w:val="3"/>
          <w:sz w:val="24"/>
        </w:rPr>
        <w:t> 低濃度抗藥可透過使用 </w:t>
      </w:r>
      <w:r>
        <w:rPr>
          <w:sz w:val="24"/>
        </w:rPr>
        <w:t>INH</w:t>
      </w:r>
      <w:r>
        <w:rPr>
          <w:spacing w:val="2"/>
          <w:sz w:val="24"/>
        </w:rPr>
        <w:t> 得到治療上的好處，因此建議使用 </w:t>
      </w:r>
      <w:r>
        <w:rPr>
          <w:spacing w:val="-2"/>
          <w:sz w:val="24"/>
        </w:rPr>
        <w:t>RMP</w:t>
      </w:r>
      <w:r>
        <w:rPr>
          <w:spacing w:val="-5"/>
          <w:sz w:val="24"/>
        </w:rPr>
        <w:t>、</w:t>
      </w:r>
      <w:r>
        <w:rPr>
          <w:spacing w:val="-3"/>
          <w:sz w:val="24"/>
        </w:rPr>
        <w:t>PZA</w:t>
      </w:r>
      <w:r>
        <w:rPr>
          <w:spacing w:val="-5"/>
          <w:sz w:val="24"/>
        </w:rPr>
        <w:t>、</w:t>
      </w:r>
      <w:r>
        <w:rPr>
          <w:sz w:val="24"/>
        </w:rPr>
        <w:t>EMB</w:t>
      </w:r>
      <w:r>
        <w:rPr>
          <w:spacing w:val="1"/>
          <w:sz w:val="24"/>
        </w:rPr>
        <w:t>(未滿 </w:t>
      </w:r>
      <w:r>
        <w:rPr>
          <w:sz w:val="24"/>
        </w:rPr>
        <w:t>4</w:t>
      </w:r>
      <w:r>
        <w:rPr>
          <w:spacing w:val="2"/>
          <w:sz w:val="24"/>
        </w:rPr>
        <w:t> 歲不建議使用 </w:t>
      </w:r>
      <w:r>
        <w:rPr>
          <w:sz w:val="24"/>
        </w:rPr>
        <w:t>EMB</w:t>
      </w:r>
      <w:r>
        <w:rPr>
          <w:spacing w:val="1"/>
          <w:sz w:val="24"/>
        </w:rPr>
        <w:t>)，以及 </w:t>
      </w:r>
      <w:r>
        <w:rPr>
          <w:spacing w:val="-3"/>
          <w:sz w:val="24"/>
        </w:rPr>
        <w:t>INH</w:t>
      </w:r>
      <w:r>
        <w:rPr>
          <w:spacing w:val="-2"/>
          <w:sz w:val="24"/>
        </w:rPr>
        <w:t>，治療六個月。</w:t>
      </w:r>
      <w:r>
        <w:rPr>
          <w:spacing w:val="3"/>
          <w:sz w:val="24"/>
        </w:rPr>
        <w:t>病人有嚴重疾病、肺部空洞、痰培養滿兩個月未陰轉等則可考慮延長治療時間。</w:t>
      </w:r>
      <w:r>
        <w:rPr>
          <w:i/>
          <w:spacing w:val="2"/>
          <w:sz w:val="25"/>
        </w:rPr>
        <w:t>inhA</w:t>
      </w:r>
      <w:r>
        <w:rPr>
          <w:i/>
          <w:spacing w:val="17"/>
          <w:sz w:val="25"/>
        </w:rPr>
        <w:t> </w:t>
      </w:r>
      <w:r>
        <w:rPr>
          <w:spacing w:val="8"/>
          <w:sz w:val="24"/>
        </w:rPr>
        <w:t>基因突變造成的 </w:t>
      </w:r>
      <w:r>
        <w:rPr>
          <w:sz w:val="24"/>
        </w:rPr>
        <w:t>INH</w:t>
      </w:r>
      <w:r>
        <w:rPr>
          <w:spacing w:val="7"/>
          <w:sz w:val="24"/>
        </w:rPr>
        <w:t> 抗藥，也經常導致 </w:t>
      </w:r>
      <w:r>
        <w:rPr>
          <w:spacing w:val="3"/>
          <w:sz w:val="24"/>
        </w:rPr>
        <w:t>ETO/PTO</w:t>
      </w:r>
      <w:r>
        <w:rPr>
          <w:spacing w:val="9"/>
          <w:sz w:val="24"/>
        </w:rPr>
        <w:t> 抗藥，使用 </w:t>
      </w:r>
      <w:r>
        <w:rPr>
          <w:spacing w:val="3"/>
          <w:sz w:val="24"/>
        </w:rPr>
        <w:t>ETO/PTO </w:t>
      </w:r>
      <w:r>
        <w:rPr>
          <w:spacing w:val="8"/>
          <w:sz w:val="24"/>
        </w:rPr>
        <w:t>前，宜以藥物感受性試驗證實 </w:t>
      </w:r>
      <w:r>
        <w:rPr>
          <w:spacing w:val="3"/>
          <w:sz w:val="24"/>
        </w:rPr>
        <w:t>ETO/PTO</w:t>
      </w:r>
      <w:r>
        <w:rPr>
          <w:spacing w:val="6"/>
          <w:sz w:val="24"/>
        </w:rPr>
        <w:t> 有效。由於大多數病人在治療前沒有</w:t>
      </w:r>
      <w:r>
        <w:rPr>
          <w:spacing w:val="2"/>
          <w:sz w:val="24"/>
        </w:rPr>
        <w:t>DST 結果，通常是在治療 </w:t>
      </w:r>
      <w:r>
        <w:rPr>
          <w:sz w:val="24"/>
        </w:rPr>
        <w:t>1-2</w:t>
      </w:r>
      <w:r>
        <w:rPr>
          <w:spacing w:val="2"/>
          <w:sz w:val="24"/>
        </w:rPr>
        <w:t> 月後，才由傳統 </w:t>
      </w:r>
      <w:r>
        <w:rPr>
          <w:sz w:val="24"/>
        </w:rPr>
        <w:t>DST</w:t>
      </w:r>
      <w:r>
        <w:rPr>
          <w:spacing w:val="3"/>
          <w:sz w:val="24"/>
        </w:rPr>
        <w:t> 結果知道 </w:t>
      </w:r>
      <w:r>
        <w:rPr>
          <w:sz w:val="24"/>
        </w:rPr>
        <w:t>INH</w:t>
      </w:r>
      <w:r>
        <w:rPr>
          <w:spacing w:val="3"/>
          <w:sz w:val="24"/>
        </w:rPr>
        <w:t> 抗藥。如果考慮加上 </w:t>
      </w:r>
      <w:r>
        <w:rPr>
          <w:sz w:val="24"/>
        </w:rPr>
        <w:t>LFX(or</w:t>
      </w:r>
      <w:r>
        <w:rPr>
          <w:spacing w:val="-11"/>
          <w:sz w:val="24"/>
        </w:rPr>
        <w:t> MFX</w:t>
      </w:r>
      <w:r>
        <w:rPr>
          <w:spacing w:val="-1"/>
          <w:sz w:val="24"/>
        </w:rPr>
        <w:t>)，不能忽視由傳統 </w:t>
      </w:r>
      <w:r>
        <w:rPr>
          <w:sz w:val="24"/>
        </w:rPr>
        <w:t>DST</w:t>
      </w:r>
      <w:r>
        <w:rPr>
          <w:spacing w:val="3"/>
          <w:sz w:val="24"/>
        </w:rPr>
        <w:t> 知道 </w:t>
      </w:r>
      <w:r>
        <w:rPr>
          <w:sz w:val="24"/>
        </w:rPr>
        <w:t>INH</w:t>
      </w:r>
      <w:r>
        <w:rPr>
          <w:spacing w:val="2"/>
          <w:sz w:val="24"/>
        </w:rPr>
        <w:t> 抗藥前已產生 </w:t>
      </w:r>
      <w:r>
        <w:rPr>
          <w:sz w:val="24"/>
        </w:rPr>
        <w:t>RMP</w:t>
      </w:r>
      <w:r>
        <w:rPr>
          <w:spacing w:val="2"/>
          <w:sz w:val="24"/>
        </w:rPr>
        <w:t> 抗藥的</w:t>
      </w:r>
    </w:p>
    <w:p>
      <w:pPr>
        <w:spacing w:after="0" w:line="223" w:lineRule="auto"/>
        <w:jc w:val="both"/>
        <w:rPr>
          <w:sz w:val="24"/>
        </w:rPr>
        <w:sectPr>
          <w:pgSz w:w="12250" w:h="17190"/>
          <w:pgMar w:header="0" w:footer="734" w:top="1340" w:bottom="1020" w:left="1020" w:right="0"/>
        </w:sectPr>
      </w:pPr>
    </w:p>
    <w:p>
      <w:pPr>
        <w:pStyle w:val="BodyText"/>
        <w:spacing w:line="223" w:lineRule="auto" w:before="46"/>
        <w:ind w:left="1316" w:right="1363"/>
      </w:pPr>
      <w:r>
        <w:rPr/>
        <w:t>可能性，建議以 GeneXpert 檢驗是否已有 RMP 抗藥，若已經產生 RMP 抗藥， 請依照 13.3.2 原則來處理。</w:t>
      </w:r>
    </w:p>
    <w:p>
      <w:pPr>
        <w:pStyle w:val="ListParagraph"/>
        <w:numPr>
          <w:ilvl w:val="2"/>
          <w:numId w:val="183"/>
        </w:numPr>
        <w:tabs>
          <w:tab w:pos="1317" w:val="left" w:leader="none"/>
        </w:tabs>
        <w:spacing w:line="225" w:lineRule="auto" w:before="203" w:after="0"/>
        <w:ind w:left="1316" w:right="1362" w:hanging="866"/>
        <w:jc w:val="left"/>
        <w:rPr>
          <w:sz w:val="24"/>
        </w:rPr>
      </w:pPr>
      <w:r>
        <w:rPr>
          <w:spacing w:val="4"/>
          <w:sz w:val="24"/>
        </w:rPr>
        <w:t>對 </w:t>
      </w:r>
      <w:r>
        <w:rPr>
          <w:sz w:val="24"/>
        </w:rPr>
        <w:t>RMP</w:t>
      </w:r>
      <w:r>
        <w:rPr>
          <w:spacing w:val="2"/>
          <w:sz w:val="24"/>
        </w:rPr>
        <w:t> 單一抗藥或 </w:t>
      </w:r>
      <w:r>
        <w:rPr>
          <w:sz w:val="24"/>
        </w:rPr>
        <w:t>MDR-TB</w:t>
      </w:r>
      <w:r>
        <w:rPr>
          <w:spacing w:val="-2"/>
          <w:sz w:val="24"/>
        </w:rPr>
        <w:t> 結核菌感染，原則上兒童多重抗藥性結核病治療與</w:t>
      </w:r>
      <w:r>
        <w:rPr>
          <w:spacing w:val="3"/>
          <w:sz w:val="24"/>
        </w:rPr>
        <w:t>成人相同，然而治療兒童有下列幾項注意事項：</w:t>
      </w:r>
    </w:p>
    <w:p>
      <w:pPr>
        <w:pStyle w:val="ListParagraph"/>
        <w:numPr>
          <w:ilvl w:val="0"/>
          <w:numId w:val="184"/>
        </w:numPr>
        <w:tabs>
          <w:tab w:pos="1306" w:val="left" w:leader="none"/>
        </w:tabs>
        <w:spacing w:line="225" w:lineRule="auto" w:before="0" w:after="0"/>
        <w:ind w:left="1305" w:right="1358" w:hanging="305"/>
        <w:jc w:val="left"/>
        <w:rPr>
          <w:sz w:val="24"/>
        </w:rPr>
      </w:pPr>
      <w:r>
        <w:rPr>
          <w:spacing w:val="3"/>
          <w:sz w:val="24"/>
        </w:rPr>
        <w:t>由於兒童體內菌量較少，如果沒有藥物感受性試驗結果，可依據指標個案或發病</w:t>
      </w:r>
      <w:r>
        <w:rPr>
          <w:spacing w:val="2"/>
          <w:sz w:val="24"/>
        </w:rPr>
        <w:t>的密切接觸者的細菌 </w:t>
      </w:r>
      <w:r>
        <w:rPr>
          <w:sz w:val="24"/>
        </w:rPr>
        <w:t>DST</w:t>
      </w:r>
      <w:r>
        <w:rPr>
          <w:spacing w:val="2"/>
          <w:sz w:val="24"/>
        </w:rPr>
        <w:t> 來治療。</w:t>
      </w:r>
    </w:p>
    <w:p>
      <w:pPr>
        <w:pStyle w:val="ListParagraph"/>
        <w:numPr>
          <w:ilvl w:val="0"/>
          <w:numId w:val="184"/>
        </w:numPr>
        <w:tabs>
          <w:tab w:pos="1306" w:val="left" w:leader="none"/>
        </w:tabs>
        <w:spacing w:line="225" w:lineRule="auto" w:before="0" w:after="0"/>
        <w:ind w:left="1305" w:right="1310" w:hanging="305"/>
        <w:jc w:val="left"/>
        <w:rPr>
          <w:sz w:val="24"/>
        </w:rPr>
      </w:pPr>
      <w:r>
        <w:rPr>
          <w:spacing w:val="2"/>
          <w:sz w:val="24"/>
        </w:rPr>
        <w:t>以口服藥物優先，因針劑藥物包括 </w:t>
      </w:r>
      <w:r>
        <w:rPr>
          <w:sz w:val="24"/>
        </w:rPr>
        <w:t>SM</w:t>
      </w:r>
      <w:r>
        <w:rPr>
          <w:spacing w:val="3"/>
          <w:sz w:val="24"/>
        </w:rPr>
        <w:t>、</w:t>
      </w:r>
      <w:r>
        <w:rPr>
          <w:sz w:val="24"/>
        </w:rPr>
        <w:t>AMK</w:t>
      </w:r>
      <w:r>
        <w:rPr>
          <w:spacing w:val="2"/>
          <w:sz w:val="24"/>
        </w:rPr>
        <w:t> 等，有可能造成永久性聽力損傷， 而聽力受損會影響兒童日後語言學習及發展。</w:t>
      </w:r>
    </w:p>
    <w:p>
      <w:pPr>
        <w:pStyle w:val="ListParagraph"/>
        <w:numPr>
          <w:ilvl w:val="0"/>
          <w:numId w:val="184"/>
        </w:numPr>
        <w:tabs>
          <w:tab w:pos="1306" w:val="left" w:leader="none"/>
        </w:tabs>
        <w:spacing w:line="407" w:lineRule="exact" w:before="0" w:after="0"/>
        <w:ind w:left="1305" w:right="0" w:hanging="306"/>
        <w:jc w:val="left"/>
        <w:rPr>
          <w:sz w:val="24"/>
        </w:rPr>
      </w:pPr>
      <w:r>
        <w:rPr>
          <w:spacing w:val="3"/>
          <w:sz w:val="24"/>
        </w:rPr>
        <w:t>選擇 </w:t>
      </w:r>
      <w:r>
        <w:rPr>
          <w:sz w:val="24"/>
        </w:rPr>
        <w:t>4</w:t>
      </w:r>
      <w:r>
        <w:rPr>
          <w:spacing w:val="2"/>
          <w:sz w:val="24"/>
        </w:rPr>
        <w:t> 種有效藥物，如果細菌數量較多、病情嚴重或免疫功能缺損，則治療初期</w:t>
      </w:r>
    </w:p>
    <w:p>
      <w:pPr>
        <w:pStyle w:val="BodyText"/>
        <w:spacing w:line="414" w:lineRule="exact"/>
        <w:ind w:left="1305"/>
      </w:pPr>
      <w:r>
        <w:rPr/>
        <w:t>4 至 6 個月宜加上第 5 種藥物治療。</w:t>
      </w:r>
    </w:p>
    <w:p>
      <w:pPr>
        <w:pStyle w:val="ListParagraph"/>
        <w:numPr>
          <w:ilvl w:val="0"/>
          <w:numId w:val="184"/>
        </w:numPr>
        <w:tabs>
          <w:tab w:pos="1306" w:val="left" w:leader="none"/>
        </w:tabs>
        <w:spacing w:line="225" w:lineRule="auto" w:before="2" w:after="0"/>
        <w:ind w:left="1305" w:right="1357" w:hanging="305"/>
        <w:jc w:val="both"/>
        <w:rPr>
          <w:sz w:val="24"/>
        </w:rPr>
      </w:pPr>
      <w:r>
        <w:rPr>
          <w:spacing w:val="2"/>
          <w:sz w:val="24"/>
        </w:rPr>
        <w:t>治療期程依據感染部位及嚴重程度而定，輕症者建議治療 </w:t>
      </w:r>
      <w:r>
        <w:rPr>
          <w:sz w:val="24"/>
        </w:rPr>
        <w:t>9</w:t>
      </w:r>
      <w:r>
        <w:rPr>
          <w:spacing w:val="16"/>
          <w:sz w:val="24"/>
        </w:rPr>
        <w:t> 至 </w:t>
      </w:r>
      <w:r>
        <w:rPr>
          <w:sz w:val="24"/>
        </w:rPr>
        <w:t>12</w:t>
      </w:r>
      <w:r>
        <w:rPr>
          <w:spacing w:val="5"/>
          <w:sz w:val="24"/>
        </w:rPr>
        <w:t> 個月，嚴重者建議治療 </w:t>
      </w:r>
      <w:r>
        <w:rPr>
          <w:sz w:val="24"/>
        </w:rPr>
        <w:t>12</w:t>
      </w:r>
      <w:r>
        <w:rPr>
          <w:spacing w:val="11"/>
          <w:sz w:val="24"/>
        </w:rPr>
        <w:t> 至 </w:t>
      </w:r>
      <w:r>
        <w:rPr>
          <w:sz w:val="24"/>
        </w:rPr>
        <w:t>18</w:t>
      </w:r>
      <w:r>
        <w:rPr>
          <w:spacing w:val="6"/>
          <w:sz w:val="24"/>
        </w:rPr>
        <w:t> 個月。</w:t>
      </w:r>
      <w:r>
        <w:rPr>
          <w:sz w:val="24"/>
        </w:rPr>
        <w:t>2018</w:t>
      </w:r>
      <w:r>
        <w:rPr>
          <w:spacing w:val="12"/>
          <w:sz w:val="24"/>
        </w:rPr>
        <w:t> 年 </w:t>
      </w:r>
      <w:r>
        <w:rPr>
          <w:sz w:val="24"/>
        </w:rPr>
        <w:t>WHO</w:t>
      </w:r>
      <w:r>
        <w:rPr>
          <w:spacing w:val="6"/>
          <w:sz w:val="24"/>
        </w:rPr>
        <w:t> 對於小於 </w:t>
      </w:r>
      <w:r>
        <w:rPr>
          <w:sz w:val="24"/>
        </w:rPr>
        <w:t>15</w:t>
      </w:r>
      <w:r>
        <w:rPr>
          <w:spacing w:val="2"/>
          <w:sz w:val="24"/>
        </w:rPr>
        <w:t> 歲嚴重感染者定義如下： </w:t>
      </w:r>
      <w:r>
        <w:rPr>
          <w:spacing w:val="-2"/>
          <w:sz w:val="24"/>
        </w:rPr>
        <w:t>胸部影像有空洞或兩側肺病變、肺外結核(排除周邊淋巴結腫大或未壓迫到氣管之</w:t>
      </w:r>
      <w:r>
        <w:rPr>
          <w:spacing w:val="-4"/>
          <w:sz w:val="24"/>
        </w:rPr>
        <w:t>肺門淋巴結腫大)。嚴重營養不良、免疫缺損或陽性細菌學培養病人也可視情況延</w:t>
      </w:r>
      <w:r>
        <w:rPr>
          <w:spacing w:val="3"/>
          <w:sz w:val="24"/>
        </w:rPr>
        <w:t>長治療時間。</w:t>
      </w:r>
    </w:p>
    <w:p>
      <w:pPr>
        <w:pStyle w:val="ListParagraph"/>
        <w:numPr>
          <w:ilvl w:val="0"/>
          <w:numId w:val="184"/>
        </w:numPr>
        <w:tabs>
          <w:tab w:pos="1306" w:val="left" w:leader="none"/>
        </w:tabs>
        <w:spacing w:line="225" w:lineRule="auto" w:before="0" w:after="0"/>
        <w:ind w:left="1305" w:right="1362" w:hanging="305"/>
        <w:jc w:val="both"/>
        <w:rPr>
          <w:sz w:val="24"/>
        </w:rPr>
      </w:pPr>
      <w:r>
        <w:rPr>
          <w:spacing w:val="2"/>
          <w:sz w:val="24"/>
        </w:rPr>
        <w:t>由於目前對於 </w:t>
      </w:r>
      <w:r>
        <w:rPr>
          <w:sz w:val="24"/>
        </w:rPr>
        <w:t>DLM</w:t>
      </w:r>
      <w:r>
        <w:rPr>
          <w:spacing w:val="2"/>
          <w:sz w:val="24"/>
        </w:rPr>
        <w:t> 及 </w:t>
      </w:r>
      <w:r>
        <w:rPr>
          <w:sz w:val="24"/>
        </w:rPr>
        <w:t>BDQ</w:t>
      </w:r>
      <w:r>
        <w:rPr>
          <w:spacing w:val="2"/>
          <w:sz w:val="24"/>
        </w:rPr>
        <w:t> 合併使用超過 </w:t>
      </w:r>
      <w:r>
        <w:rPr>
          <w:sz w:val="24"/>
        </w:rPr>
        <w:t>6</w:t>
      </w:r>
      <w:r>
        <w:rPr>
          <w:spacing w:val="-6"/>
          <w:sz w:val="24"/>
        </w:rPr>
        <w:t> 個月的安全性證據較少，因此使用上</w:t>
      </w:r>
      <w:r>
        <w:rPr>
          <w:spacing w:val="3"/>
          <w:sz w:val="24"/>
        </w:rPr>
        <w:t>需密切追蹤藥物副作用。</w:t>
      </w:r>
    </w:p>
    <w:p>
      <w:pPr>
        <w:pStyle w:val="ListParagraph"/>
        <w:numPr>
          <w:ilvl w:val="0"/>
          <w:numId w:val="184"/>
        </w:numPr>
        <w:tabs>
          <w:tab w:pos="1306" w:val="left" w:leader="none"/>
        </w:tabs>
        <w:spacing w:line="225" w:lineRule="auto" w:before="0" w:after="0"/>
        <w:ind w:left="1305" w:right="1357" w:hanging="305"/>
        <w:jc w:val="both"/>
        <w:rPr>
          <w:sz w:val="24"/>
        </w:rPr>
      </w:pPr>
      <w:r>
        <w:rPr>
          <w:sz w:val="24"/>
        </w:rPr>
        <w:t>MDR-TB</w:t>
      </w:r>
      <w:r>
        <w:rPr>
          <w:spacing w:val="1"/>
          <w:sz w:val="24"/>
        </w:rPr>
        <w:t> 病人治療期間宜每個月追蹤痰塗片及培養以確定治療成效，無法咳痰之</w:t>
      </w:r>
      <w:r>
        <w:rPr>
          <w:spacing w:val="2"/>
          <w:sz w:val="24"/>
        </w:rPr>
        <w:t>幼童建議於早晨醒來後抽取胃液或痰液誘導</w:t>
      </w:r>
      <w:r>
        <w:rPr>
          <w:sz w:val="24"/>
        </w:rPr>
        <w:t>（sputum</w:t>
      </w:r>
      <w:r>
        <w:rPr>
          <w:spacing w:val="-12"/>
          <w:sz w:val="24"/>
        </w:rPr>
        <w:t> </w:t>
      </w:r>
      <w:r>
        <w:rPr>
          <w:sz w:val="24"/>
        </w:rPr>
        <w:t>induction）</w:t>
      </w:r>
      <w:r>
        <w:rPr>
          <w:spacing w:val="2"/>
          <w:sz w:val="24"/>
        </w:rPr>
        <w:t>，直到兩套間</w:t>
      </w:r>
      <w:r>
        <w:rPr>
          <w:spacing w:val="3"/>
          <w:sz w:val="24"/>
        </w:rPr>
        <w:t>隔三十天痰液培養皆陰轉為止。</w:t>
      </w:r>
    </w:p>
    <w:p>
      <w:pPr>
        <w:pStyle w:val="ListParagraph"/>
        <w:numPr>
          <w:ilvl w:val="2"/>
          <w:numId w:val="183"/>
        </w:numPr>
        <w:tabs>
          <w:tab w:pos="1317" w:val="left" w:leader="none"/>
        </w:tabs>
        <w:spacing w:line="225" w:lineRule="auto" w:before="196" w:after="0"/>
        <w:ind w:left="1316" w:right="1349" w:hanging="866"/>
        <w:jc w:val="both"/>
        <w:rPr>
          <w:sz w:val="24"/>
        </w:rPr>
      </w:pPr>
      <w:r>
        <w:rPr>
          <w:spacing w:val="2"/>
          <w:sz w:val="24"/>
        </w:rPr>
        <w:t>藥物選擇：</w:t>
      </w:r>
      <w:r>
        <w:rPr>
          <w:sz w:val="24"/>
        </w:rPr>
        <w:t>2018</w:t>
      </w:r>
      <w:r>
        <w:rPr>
          <w:spacing w:val="4"/>
          <w:sz w:val="24"/>
        </w:rPr>
        <w:t> 年 </w:t>
      </w:r>
      <w:r>
        <w:rPr>
          <w:sz w:val="24"/>
        </w:rPr>
        <w:t>WHO</w:t>
      </w:r>
      <w:r>
        <w:rPr>
          <w:spacing w:val="2"/>
          <w:sz w:val="24"/>
        </w:rPr>
        <w:t> 依據藥物優缺點將二線藥物分為 </w:t>
      </w:r>
      <w:r>
        <w:rPr>
          <w:sz w:val="24"/>
        </w:rPr>
        <w:t>A</w:t>
      </w:r>
      <w:r>
        <w:rPr>
          <w:spacing w:val="3"/>
          <w:sz w:val="24"/>
        </w:rPr>
        <w:t>、</w:t>
      </w:r>
      <w:r>
        <w:rPr>
          <w:sz w:val="24"/>
        </w:rPr>
        <w:t>B</w:t>
      </w:r>
      <w:r>
        <w:rPr>
          <w:spacing w:val="3"/>
          <w:sz w:val="24"/>
        </w:rPr>
        <w:t>、</w:t>
      </w:r>
      <w:r>
        <w:rPr>
          <w:sz w:val="24"/>
        </w:rPr>
        <w:t>C</w:t>
      </w:r>
      <w:r>
        <w:rPr>
          <w:spacing w:val="2"/>
          <w:sz w:val="24"/>
        </w:rPr>
        <w:t> 三類組別， </w:t>
      </w:r>
      <w:r>
        <w:rPr>
          <w:spacing w:val="3"/>
          <w:sz w:val="24"/>
        </w:rPr>
        <w:t>建議選用 </w:t>
      </w:r>
      <w:r>
        <w:rPr>
          <w:sz w:val="24"/>
        </w:rPr>
        <w:t>3</w:t>
      </w:r>
      <w:r>
        <w:rPr>
          <w:spacing w:val="6"/>
          <w:sz w:val="24"/>
        </w:rPr>
        <w:t> 種 </w:t>
      </w:r>
      <w:r>
        <w:rPr>
          <w:sz w:val="24"/>
        </w:rPr>
        <w:t>A</w:t>
      </w:r>
      <w:r>
        <w:rPr>
          <w:spacing w:val="3"/>
          <w:sz w:val="24"/>
        </w:rPr>
        <w:t> 組藥物及 </w:t>
      </w:r>
      <w:r>
        <w:rPr>
          <w:sz w:val="24"/>
        </w:rPr>
        <w:t>1-2</w:t>
      </w:r>
      <w:r>
        <w:rPr>
          <w:spacing w:val="6"/>
          <w:sz w:val="24"/>
        </w:rPr>
        <w:t> 種 </w:t>
      </w:r>
      <w:r>
        <w:rPr>
          <w:sz w:val="24"/>
        </w:rPr>
        <w:t>B</w:t>
      </w:r>
      <w:r>
        <w:rPr>
          <w:spacing w:val="2"/>
          <w:sz w:val="24"/>
        </w:rPr>
        <w:t> 組藥物當成組合，當 </w:t>
      </w:r>
      <w:r>
        <w:rPr>
          <w:sz w:val="24"/>
        </w:rPr>
        <w:t>A</w:t>
      </w:r>
      <w:r>
        <w:rPr>
          <w:spacing w:val="5"/>
          <w:sz w:val="24"/>
        </w:rPr>
        <w:t> 及 </w:t>
      </w:r>
      <w:r>
        <w:rPr>
          <w:sz w:val="24"/>
        </w:rPr>
        <w:t>B</w:t>
      </w:r>
      <w:r>
        <w:rPr>
          <w:spacing w:val="3"/>
          <w:sz w:val="24"/>
        </w:rPr>
        <w:t> 組藥物因抗藥或</w:t>
      </w:r>
      <w:r>
        <w:rPr>
          <w:spacing w:val="2"/>
          <w:sz w:val="24"/>
        </w:rPr>
        <w:t>藥物不耐等情形無法使用時，則加上 </w:t>
      </w:r>
      <w:r>
        <w:rPr>
          <w:sz w:val="24"/>
        </w:rPr>
        <w:t>C</w:t>
      </w:r>
      <w:r>
        <w:rPr>
          <w:spacing w:val="2"/>
          <w:sz w:val="24"/>
        </w:rPr>
        <w:t> 組藥物。</w:t>
      </w:r>
    </w:p>
    <w:p>
      <w:pPr>
        <w:pStyle w:val="BodyText"/>
        <w:spacing w:line="406" w:lineRule="exact"/>
        <w:ind w:left="1330"/>
        <w:jc w:val="both"/>
      </w:pPr>
      <w:r>
        <w:rPr/>
        <w:t>Group A：</w:t>
      </w:r>
    </w:p>
    <w:p>
      <w:pPr>
        <w:pStyle w:val="BodyText"/>
        <w:spacing w:line="225" w:lineRule="auto" w:before="5"/>
        <w:ind w:left="1639" w:right="5105"/>
        <w:jc w:val="both"/>
      </w:pPr>
      <w:r>
        <w:rPr/>
        <w:t>levofloxacin (LFX) 或 moxifloxacin (MFX) bedaquiline (BDQ)</w:t>
      </w:r>
    </w:p>
    <w:p>
      <w:pPr>
        <w:pStyle w:val="BodyText"/>
        <w:spacing w:line="420" w:lineRule="exact"/>
        <w:ind w:left="1639"/>
        <w:jc w:val="both"/>
      </w:pPr>
      <w:r>
        <w:rPr/>
        <w:t>linezolid (LZD)</w:t>
      </w:r>
    </w:p>
    <w:p>
      <w:pPr>
        <w:pStyle w:val="BodyText"/>
        <w:spacing w:line="225" w:lineRule="auto" w:before="112"/>
        <w:ind w:left="1639" w:right="7613" w:hanging="309"/>
        <w:jc w:val="both"/>
      </w:pPr>
      <w:r>
        <w:rPr/>
        <w:t>Group B： clofazimine (CFZ)</w:t>
      </w:r>
    </w:p>
    <w:p>
      <w:pPr>
        <w:pStyle w:val="BodyText"/>
        <w:spacing w:line="420" w:lineRule="exact"/>
        <w:ind w:left="1639"/>
        <w:jc w:val="both"/>
      </w:pPr>
      <w:r>
        <w:rPr/>
        <w:t>cycloserine (CS) 或 terizidone (TRD)</w:t>
      </w:r>
    </w:p>
    <w:p>
      <w:pPr>
        <w:pStyle w:val="BodyText"/>
        <w:spacing w:line="225" w:lineRule="auto" w:before="112"/>
        <w:ind w:left="1639" w:right="7423" w:hanging="309"/>
      </w:pPr>
      <w:r>
        <w:rPr/>
        <w:t>Group C： ethambutol (EMB) delamanid (DLM)</w:t>
      </w:r>
    </w:p>
    <w:p>
      <w:pPr>
        <w:spacing w:after="0" w:line="225" w:lineRule="auto"/>
        <w:sectPr>
          <w:pgSz w:w="12250" w:h="17190"/>
          <w:pgMar w:header="0" w:footer="734" w:top="1460" w:bottom="1020" w:left="1020" w:right="0"/>
        </w:sectPr>
      </w:pPr>
    </w:p>
    <w:p>
      <w:pPr>
        <w:pStyle w:val="BodyText"/>
        <w:spacing w:line="431" w:lineRule="exact" w:before="30"/>
        <w:ind w:left="1639"/>
      </w:pPr>
      <w:r>
        <w:rPr/>
        <w:pict>
          <v:group style="position:absolute;margin-left:571pt;margin-top:.730816pt;width:41.4pt;height:201.8pt;mso-position-horizontal-relative:page;mso-position-vertical-relative:paragraph;z-index:251923456" coordorigin="11420,15" coordsize="828,4036">
            <v:shape style="position:absolute;left:11420;top:14;width:828;height:4036" coordorigin="11420,15" coordsize="828,4036" path="m12247,15l11585,15,11521,28,11468,63,11433,116,11420,180,11420,3885,11433,3950,11468,4002,11521,4038,11585,4051,12247,4051,12247,4051,12247,15,12247,15xe" filled="true" fillcolor="#a6a6a6" stroked="false">
              <v:path arrowok="t"/>
              <v:fill type="solid"/>
            </v:shape>
            <v:shape style="position:absolute;left:11420;top:14;width:828;height:4036" type="#_x0000_t202" filled="false" stroked="false">
              <v:textbox inset="0,0,0,0">
                <w:txbxContent>
                  <w:p>
                    <w:pPr>
                      <w:spacing w:line="146" w:lineRule="auto" w:before="126"/>
                      <w:ind w:left="135" w:right="469" w:firstLine="0"/>
                      <w:jc w:val="both"/>
                      <w:rPr>
                        <w:sz w:val="22"/>
                      </w:rPr>
                    </w:pPr>
                    <w:r>
                      <w:rPr>
                        <w:sz w:val="22"/>
                      </w:rPr>
                      <w:t>第十三章</w:t>
                    </w:r>
                  </w:p>
                  <w:p>
                    <w:pPr>
                      <w:spacing w:line="141" w:lineRule="auto" w:before="179"/>
                      <w:ind w:left="135" w:right="469" w:firstLine="0"/>
                      <w:jc w:val="both"/>
                      <w:rPr>
                        <w:sz w:val="22"/>
                      </w:rPr>
                    </w:pPr>
                    <w:r>
                      <w:rPr>
                        <w:sz w:val="22"/>
                      </w:rPr>
                      <w:t>兒童抗藥性結核病之診療</w:t>
                    </w:r>
                  </w:p>
                </w:txbxContent>
              </v:textbox>
              <w10:wrap type="none"/>
            </v:shape>
            <w10:wrap type="none"/>
          </v:group>
        </w:pict>
      </w:r>
      <w:r>
        <w:rPr/>
        <w:t>pyrazinamide (Z)</w:t>
      </w:r>
    </w:p>
    <w:p>
      <w:pPr>
        <w:pStyle w:val="BodyText"/>
        <w:spacing w:line="228" w:lineRule="auto" w:before="5"/>
        <w:ind w:left="1639" w:right="3100"/>
      </w:pPr>
      <w:r>
        <w:rPr/>
        <w:t>imipenem-cilastatin (IPM-CLN) 或 meropenem (MPM) amikacin (AM) 或 Streptomycin (SM)</w:t>
      </w:r>
    </w:p>
    <w:p>
      <w:pPr>
        <w:pStyle w:val="BodyText"/>
        <w:spacing w:line="410" w:lineRule="exact"/>
        <w:ind w:left="1639"/>
      </w:pPr>
      <w:r>
        <w:rPr/>
        <w:t>ethionamide (ETO) 或 prothionamide (PTO)</w:t>
      </w:r>
    </w:p>
    <w:p>
      <w:pPr>
        <w:pStyle w:val="BodyText"/>
        <w:spacing w:line="423" w:lineRule="exact"/>
        <w:ind w:left="1639"/>
      </w:pPr>
      <w:r>
        <w:rPr>
          <w:i/>
          <w:sz w:val="25"/>
        </w:rPr>
        <w:t>p</w:t>
      </w:r>
      <w:r>
        <w:rPr/>
        <w:t>-aminosalicylic acid (PAS)</w:t>
      </w:r>
    </w:p>
    <w:p>
      <w:pPr>
        <w:pStyle w:val="BodyText"/>
        <w:spacing w:line="225" w:lineRule="auto"/>
        <w:ind w:left="3616" w:right="1362" w:hanging="1977"/>
      </w:pPr>
      <w:r>
        <w:rPr/>
        <w:t>isoniazid (INH)：在 </w:t>
      </w:r>
      <w:r>
        <w:rPr>
          <w:i/>
          <w:sz w:val="25"/>
        </w:rPr>
        <w:t>inhA </w:t>
      </w:r>
      <w:r>
        <w:rPr/>
        <w:t>基因突變無其他藥物可選擇時，可考慮使用高劑量的 INH (15-20 mg/kg)。</w:t>
      </w:r>
    </w:p>
    <w:p>
      <w:pPr>
        <w:pStyle w:val="BodyText"/>
        <w:spacing w:before="9"/>
        <w:rPr>
          <w:sz w:val="21"/>
        </w:rPr>
      </w:pPr>
    </w:p>
    <w:p>
      <w:pPr>
        <w:pStyle w:val="ListParagraph"/>
        <w:numPr>
          <w:ilvl w:val="2"/>
          <w:numId w:val="183"/>
        </w:numPr>
        <w:tabs>
          <w:tab w:pos="1317" w:val="left" w:leader="none"/>
        </w:tabs>
        <w:spacing w:line="428" w:lineRule="exact" w:before="0" w:after="0"/>
        <w:ind w:left="1316" w:right="0" w:hanging="866"/>
        <w:jc w:val="both"/>
        <w:rPr>
          <w:sz w:val="24"/>
        </w:rPr>
      </w:pPr>
      <w:r>
        <w:rPr>
          <w:spacing w:val="3"/>
          <w:sz w:val="24"/>
        </w:rPr>
        <w:t>藥物組合建議</w:t>
      </w:r>
    </w:p>
    <w:p>
      <w:pPr>
        <w:pStyle w:val="BodyText"/>
        <w:spacing w:line="225" w:lineRule="auto" w:before="6"/>
        <w:ind w:left="1298" w:right="1357" w:firstLine="487"/>
        <w:jc w:val="both"/>
      </w:pPr>
      <w:r>
        <w:rPr/>
        <w:t>兒童抗藥性結核病的藥物治療，依據年齡及是否對 fluoroquinolone 抗藥來做藥物選擇的建議如下，這些建議多為專家建議等級而非基於臨床試驗數據。此外，兒童的疾病多是少菌型疾病，但如果病況嚴重，建議與多重抗藥性結核病照護體系的結核病專家進行討論，可能會需要更多的藥物。其中 DLM 對 3 歲以下兒童及 BDQ 對 6 歲以下兒童治療證據不足（表 13-1）。</w:t>
      </w:r>
    </w:p>
    <w:p>
      <w:pPr>
        <w:pStyle w:val="ListParagraph"/>
        <w:numPr>
          <w:ilvl w:val="3"/>
          <w:numId w:val="183"/>
        </w:numPr>
        <w:tabs>
          <w:tab w:pos="1306" w:val="left" w:leader="none"/>
        </w:tabs>
        <w:spacing w:line="225" w:lineRule="auto" w:before="0" w:after="0"/>
        <w:ind w:left="1305" w:right="1358" w:hanging="305"/>
        <w:jc w:val="both"/>
        <w:rPr>
          <w:sz w:val="24"/>
        </w:rPr>
      </w:pPr>
      <w:r>
        <w:rPr>
          <w:sz w:val="24"/>
        </w:rPr>
        <w:t>3 歲以下，對 fluoroquinolone 藥物抗藥：治療選擇 LZD</w:t>
      </w:r>
      <w:r>
        <w:rPr>
          <w:spacing w:val="-6"/>
          <w:sz w:val="24"/>
        </w:rPr>
        <w:t>、</w:t>
      </w:r>
      <w:r>
        <w:rPr>
          <w:sz w:val="24"/>
        </w:rPr>
        <w:t>CFZ</w:t>
      </w:r>
      <w:r>
        <w:rPr>
          <w:spacing w:val="-5"/>
          <w:sz w:val="24"/>
        </w:rPr>
        <w:t>、</w:t>
      </w:r>
      <w:r>
        <w:rPr>
          <w:spacing w:val="-4"/>
          <w:sz w:val="24"/>
        </w:rPr>
        <w:t>CS</w:t>
      </w:r>
      <w:r>
        <w:rPr>
          <w:sz w:val="24"/>
        </w:rPr>
        <w:t>，第 4</w:t>
      </w:r>
      <w:r>
        <w:rPr>
          <w:spacing w:val="4"/>
          <w:sz w:val="24"/>
        </w:rPr>
        <w:t> 種藥</w:t>
      </w:r>
      <w:r>
        <w:rPr>
          <w:spacing w:val="2"/>
          <w:sz w:val="24"/>
        </w:rPr>
        <w:t>物可選擇 </w:t>
      </w:r>
      <w:r>
        <w:rPr>
          <w:sz w:val="24"/>
        </w:rPr>
        <w:t>DLM</w:t>
      </w:r>
      <w:r>
        <w:rPr>
          <w:spacing w:val="4"/>
          <w:sz w:val="24"/>
        </w:rPr>
        <w:t>、</w:t>
      </w:r>
      <w:r>
        <w:rPr>
          <w:sz w:val="24"/>
        </w:rPr>
        <w:t>PZA</w:t>
      </w:r>
      <w:r>
        <w:rPr>
          <w:spacing w:val="4"/>
          <w:sz w:val="24"/>
        </w:rPr>
        <w:t>、</w:t>
      </w:r>
      <w:r>
        <w:rPr>
          <w:sz w:val="24"/>
        </w:rPr>
        <w:t>PAS</w:t>
      </w:r>
      <w:r>
        <w:rPr>
          <w:spacing w:val="2"/>
          <w:sz w:val="24"/>
        </w:rPr>
        <w:t> 或 </w:t>
      </w:r>
      <w:r>
        <w:rPr>
          <w:sz w:val="24"/>
        </w:rPr>
        <w:t>ETO。</w:t>
      </w:r>
    </w:p>
    <w:p>
      <w:pPr>
        <w:pStyle w:val="ListParagraph"/>
        <w:numPr>
          <w:ilvl w:val="3"/>
          <w:numId w:val="183"/>
        </w:numPr>
        <w:tabs>
          <w:tab w:pos="1306" w:val="left" w:leader="none"/>
        </w:tabs>
        <w:spacing w:line="225" w:lineRule="auto" w:before="0" w:after="0"/>
        <w:ind w:left="1305" w:right="1302" w:hanging="305"/>
        <w:jc w:val="both"/>
        <w:rPr>
          <w:sz w:val="24"/>
        </w:rPr>
      </w:pPr>
      <w:r>
        <w:rPr>
          <w:sz w:val="24"/>
        </w:rPr>
        <w:t>3</w:t>
      </w:r>
      <w:r>
        <w:rPr>
          <w:spacing w:val="-4"/>
          <w:sz w:val="24"/>
        </w:rPr>
        <w:t> 歲以下，對 </w:t>
      </w:r>
      <w:r>
        <w:rPr>
          <w:sz w:val="24"/>
        </w:rPr>
        <w:t>fluoroquinolone</w:t>
      </w:r>
      <w:r>
        <w:rPr>
          <w:spacing w:val="-3"/>
          <w:sz w:val="24"/>
        </w:rPr>
        <w:t> 藥物敏感：治療選擇 </w:t>
      </w:r>
      <w:r>
        <w:rPr>
          <w:sz w:val="24"/>
        </w:rPr>
        <w:t>LFX/MFX</w:t>
      </w:r>
      <w:r>
        <w:rPr>
          <w:spacing w:val="-18"/>
          <w:sz w:val="24"/>
        </w:rPr>
        <w:t>、</w:t>
      </w:r>
      <w:r>
        <w:rPr>
          <w:spacing w:val="-6"/>
          <w:sz w:val="24"/>
        </w:rPr>
        <w:t>LZD</w:t>
      </w:r>
      <w:r>
        <w:rPr>
          <w:spacing w:val="-18"/>
          <w:sz w:val="24"/>
        </w:rPr>
        <w:t>、</w:t>
      </w:r>
      <w:r>
        <w:rPr>
          <w:spacing w:val="-6"/>
          <w:sz w:val="24"/>
        </w:rPr>
        <w:t>CFZ</w:t>
      </w:r>
      <w:r>
        <w:rPr>
          <w:spacing w:val="-18"/>
          <w:sz w:val="24"/>
        </w:rPr>
        <w:t>、</w:t>
      </w:r>
      <w:r>
        <w:rPr>
          <w:spacing w:val="-6"/>
          <w:sz w:val="24"/>
        </w:rPr>
        <w:t>CS， </w:t>
      </w:r>
      <w:r>
        <w:rPr>
          <w:spacing w:val="3"/>
          <w:sz w:val="24"/>
        </w:rPr>
        <w:t>第 </w:t>
      </w:r>
      <w:r>
        <w:rPr>
          <w:sz w:val="24"/>
        </w:rPr>
        <w:t>5</w:t>
      </w:r>
      <w:r>
        <w:rPr>
          <w:spacing w:val="1"/>
          <w:sz w:val="24"/>
        </w:rPr>
        <w:t> 種藥物可選擇 </w:t>
      </w:r>
      <w:r>
        <w:rPr>
          <w:sz w:val="24"/>
        </w:rPr>
        <w:t>DLM</w:t>
      </w:r>
      <w:r>
        <w:rPr>
          <w:spacing w:val="4"/>
          <w:sz w:val="24"/>
        </w:rPr>
        <w:t>、</w:t>
      </w:r>
      <w:r>
        <w:rPr>
          <w:sz w:val="24"/>
        </w:rPr>
        <w:t>PZA</w:t>
      </w:r>
      <w:r>
        <w:rPr>
          <w:spacing w:val="4"/>
          <w:sz w:val="24"/>
        </w:rPr>
        <w:t>、</w:t>
      </w:r>
      <w:r>
        <w:rPr>
          <w:sz w:val="24"/>
        </w:rPr>
        <w:t>PAS</w:t>
      </w:r>
      <w:r>
        <w:rPr>
          <w:spacing w:val="3"/>
          <w:sz w:val="24"/>
        </w:rPr>
        <w:t> 或 </w:t>
      </w:r>
      <w:r>
        <w:rPr>
          <w:sz w:val="24"/>
        </w:rPr>
        <w:t>ETO。</w:t>
      </w:r>
    </w:p>
    <w:p>
      <w:pPr>
        <w:pStyle w:val="ListParagraph"/>
        <w:numPr>
          <w:ilvl w:val="3"/>
          <w:numId w:val="183"/>
        </w:numPr>
        <w:tabs>
          <w:tab w:pos="1306" w:val="left" w:leader="none"/>
        </w:tabs>
        <w:spacing w:line="225" w:lineRule="auto" w:before="3" w:after="0"/>
        <w:ind w:left="1305" w:right="1301" w:hanging="305"/>
        <w:jc w:val="both"/>
        <w:rPr>
          <w:sz w:val="24"/>
        </w:rPr>
      </w:pPr>
      <w:r>
        <w:rPr>
          <w:sz w:val="24"/>
        </w:rPr>
        <w:t>3</w:t>
      </w:r>
      <w:r>
        <w:rPr>
          <w:spacing w:val="5"/>
          <w:sz w:val="24"/>
        </w:rPr>
        <w:t> 歲至 </w:t>
      </w:r>
      <w:r>
        <w:rPr>
          <w:sz w:val="24"/>
        </w:rPr>
        <w:t>6</w:t>
      </w:r>
      <w:r>
        <w:rPr>
          <w:spacing w:val="3"/>
          <w:sz w:val="24"/>
        </w:rPr>
        <w:t> 歲，對 </w:t>
      </w:r>
      <w:r>
        <w:rPr>
          <w:sz w:val="24"/>
        </w:rPr>
        <w:t>fluoroquinolone</w:t>
      </w:r>
      <w:r>
        <w:rPr>
          <w:spacing w:val="2"/>
          <w:sz w:val="24"/>
        </w:rPr>
        <w:t> 藥物抗藥：治療選擇 </w:t>
      </w:r>
      <w:r>
        <w:rPr>
          <w:sz w:val="24"/>
        </w:rPr>
        <w:t>LZD、CFZ、CS、DLM， </w:t>
      </w:r>
      <w:r>
        <w:rPr>
          <w:spacing w:val="2"/>
          <w:sz w:val="24"/>
        </w:rPr>
        <w:t>如須第五種藥物可選擇 </w:t>
      </w:r>
      <w:r>
        <w:rPr>
          <w:sz w:val="24"/>
        </w:rPr>
        <w:t>EMB</w:t>
      </w:r>
      <w:r>
        <w:rPr>
          <w:spacing w:val="4"/>
          <w:sz w:val="24"/>
        </w:rPr>
        <w:t>、</w:t>
      </w:r>
      <w:r>
        <w:rPr>
          <w:sz w:val="24"/>
        </w:rPr>
        <w:t>PZA</w:t>
      </w:r>
      <w:r>
        <w:rPr>
          <w:spacing w:val="4"/>
          <w:sz w:val="24"/>
        </w:rPr>
        <w:t>、</w:t>
      </w:r>
      <w:r>
        <w:rPr>
          <w:sz w:val="24"/>
        </w:rPr>
        <w:t>PAS</w:t>
      </w:r>
      <w:r>
        <w:rPr>
          <w:spacing w:val="4"/>
          <w:sz w:val="24"/>
        </w:rPr>
        <w:t> 或 </w:t>
      </w:r>
      <w:r>
        <w:rPr>
          <w:sz w:val="24"/>
        </w:rPr>
        <w:t>ETO。</w:t>
      </w:r>
    </w:p>
    <w:p>
      <w:pPr>
        <w:pStyle w:val="ListParagraph"/>
        <w:numPr>
          <w:ilvl w:val="3"/>
          <w:numId w:val="183"/>
        </w:numPr>
        <w:tabs>
          <w:tab w:pos="1306" w:val="left" w:leader="none"/>
        </w:tabs>
        <w:spacing w:line="225" w:lineRule="auto" w:before="2" w:after="0"/>
        <w:ind w:left="1305" w:right="1361" w:hanging="305"/>
        <w:jc w:val="both"/>
        <w:rPr>
          <w:sz w:val="24"/>
        </w:rPr>
      </w:pPr>
      <w:r>
        <w:rPr>
          <w:sz w:val="24"/>
        </w:rPr>
        <w:t>3</w:t>
      </w:r>
      <w:r>
        <w:rPr>
          <w:spacing w:val="19"/>
          <w:sz w:val="24"/>
        </w:rPr>
        <w:t> 歲至 </w:t>
      </w:r>
      <w:r>
        <w:rPr>
          <w:sz w:val="24"/>
        </w:rPr>
        <w:t>6</w:t>
      </w:r>
      <w:r>
        <w:rPr>
          <w:spacing w:val="16"/>
          <w:sz w:val="24"/>
        </w:rPr>
        <w:t> 歲，對 </w:t>
      </w:r>
      <w:r>
        <w:rPr>
          <w:sz w:val="24"/>
        </w:rPr>
        <w:t>fluoroquinolone</w:t>
      </w:r>
      <w:r>
        <w:rPr>
          <w:spacing w:val="5"/>
          <w:sz w:val="24"/>
        </w:rPr>
        <w:t> 藥物敏感：治療藥物選擇 </w:t>
      </w:r>
      <w:r>
        <w:rPr>
          <w:sz w:val="24"/>
        </w:rPr>
        <w:t>LFX/MFX</w:t>
      </w:r>
      <w:r>
        <w:rPr>
          <w:spacing w:val="3"/>
          <w:sz w:val="24"/>
        </w:rPr>
        <w:t>、</w:t>
      </w:r>
      <w:r>
        <w:rPr>
          <w:sz w:val="24"/>
        </w:rPr>
        <w:t>LZD、CFZ</w:t>
      </w:r>
      <w:r>
        <w:rPr>
          <w:spacing w:val="3"/>
          <w:sz w:val="24"/>
        </w:rPr>
        <w:t>、</w:t>
      </w:r>
      <w:r>
        <w:rPr>
          <w:spacing w:val="2"/>
          <w:sz w:val="24"/>
        </w:rPr>
        <w:t>CS</w:t>
      </w:r>
      <w:r>
        <w:rPr>
          <w:spacing w:val="1"/>
          <w:sz w:val="24"/>
        </w:rPr>
        <w:t>，如須第五種藥物可選擇 </w:t>
      </w:r>
      <w:r>
        <w:rPr>
          <w:sz w:val="24"/>
        </w:rPr>
        <w:t>EMB</w:t>
      </w:r>
      <w:r>
        <w:rPr>
          <w:spacing w:val="3"/>
          <w:sz w:val="24"/>
        </w:rPr>
        <w:t>、</w:t>
      </w:r>
      <w:r>
        <w:rPr>
          <w:sz w:val="24"/>
        </w:rPr>
        <w:t>DLM</w:t>
      </w:r>
      <w:r>
        <w:rPr>
          <w:spacing w:val="4"/>
          <w:sz w:val="24"/>
        </w:rPr>
        <w:t>、</w:t>
      </w:r>
      <w:r>
        <w:rPr>
          <w:sz w:val="24"/>
        </w:rPr>
        <w:t>PZA</w:t>
      </w:r>
      <w:r>
        <w:rPr>
          <w:spacing w:val="3"/>
          <w:sz w:val="24"/>
        </w:rPr>
        <w:t>、或 </w:t>
      </w:r>
      <w:r>
        <w:rPr>
          <w:sz w:val="24"/>
        </w:rPr>
        <w:t>PAS。</w:t>
      </w:r>
    </w:p>
    <w:p>
      <w:pPr>
        <w:pStyle w:val="ListParagraph"/>
        <w:numPr>
          <w:ilvl w:val="3"/>
          <w:numId w:val="183"/>
        </w:numPr>
        <w:tabs>
          <w:tab w:pos="1306" w:val="left" w:leader="none"/>
        </w:tabs>
        <w:spacing w:line="225" w:lineRule="auto" w:before="2" w:after="0"/>
        <w:ind w:left="1305" w:right="1362" w:hanging="305"/>
        <w:jc w:val="both"/>
        <w:rPr>
          <w:sz w:val="24"/>
        </w:rPr>
      </w:pPr>
      <w:r>
        <w:rPr>
          <w:sz w:val="24"/>
        </w:rPr>
        <w:t>6</w:t>
      </w:r>
      <w:r>
        <w:rPr>
          <w:spacing w:val="4"/>
          <w:sz w:val="24"/>
        </w:rPr>
        <w:t> 歲及以上，對 </w:t>
      </w:r>
      <w:r>
        <w:rPr>
          <w:sz w:val="24"/>
        </w:rPr>
        <w:t>fluoroquinolone</w:t>
      </w:r>
      <w:r>
        <w:rPr>
          <w:spacing w:val="2"/>
          <w:sz w:val="24"/>
        </w:rPr>
        <w:t> 藥物抗藥：治療藥物選擇 </w:t>
      </w:r>
      <w:r>
        <w:rPr>
          <w:sz w:val="24"/>
        </w:rPr>
        <w:t>BDQ</w:t>
      </w:r>
      <w:r>
        <w:rPr>
          <w:spacing w:val="4"/>
          <w:sz w:val="24"/>
        </w:rPr>
        <w:t>、</w:t>
      </w:r>
      <w:r>
        <w:rPr>
          <w:sz w:val="24"/>
        </w:rPr>
        <w:t>LZD</w:t>
      </w:r>
      <w:r>
        <w:rPr>
          <w:spacing w:val="4"/>
          <w:sz w:val="24"/>
        </w:rPr>
        <w:t>、</w:t>
      </w:r>
      <w:r>
        <w:rPr>
          <w:sz w:val="24"/>
        </w:rPr>
        <w:t>CFZ、</w:t>
      </w:r>
      <w:r>
        <w:rPr>
          <w:spacing w:val="2"/>
          <w:sz w:val="24"/>
        </w:rPr>
        <w:t>CS，如須第 </w:t>
      </w:r>
      <w:r>
        <w:rPr>
          <w:sz w:val="24"/>
        </w:rPr>
        <w:t>5</w:t>
      </w:r>
      <w:r>
        <w:rPr>
          <w:spacing w:val="1"/>
          <w:sz w:val="24"/>
        </w:rPr>
        <w:t> 種藥物可選擇 </w:t>
      </w:r>
      <w:r>
        <w:rPr>
          <w:sz w:val="24"/>
        </w:rPr>
        <w:t>EMB</w:t>
      </w:r>
      <w:r>
        <w:rPr>
          <w:spacing w:val="3"/>
          <w:sz w:val="24"/>
        </w:rPr>
        <w:t>、</w:t>
      </w:r>
      <w:r>
        <w:rPr>
          <w:sz w:val="24"/>
        </w:rPr>
        <w:t>DLM</w:t>
      </w:r>
      <w:r>
        <w:rPr>
          <w:spacing w:val="4"/>
          <w:sz w:val="24"/>
        </w:rPr>
        <w:t>、</w:t>
      </w:r>
      <w:r>
        <w:rPr>
          <w:sz w:val="24"/>
        </w:rPr>
        <w:t>PZA</w:t>
      </w:r>
      <w:r>
        <w:rPr>
          <w:spacing w:val="4"/>
          <w:sz w:val="24"/>
        </w:rPr>
        <w:t>、</w:t>
      </w:r>
      <w:r>
        <w:rPr>
          <w:sz w:val="24"/>
        </w:rPr>
        <w:t>PAS。</w:t>
      </w:r>
    </w:p>
    <w:p>
      <w:pPr>
        <w:pStyle w:val="ListParagraph"/>
        <w:numPr>
          <w:ilvl w:val="3"/>
          <w:numId w:val="183"/>
        </w:numPr>
        <w:tabs>
          <w:tab w:pos="1306" w:val="left" w:leader="none"/>
        </w:tabs>
        <w:spacing w:line="225" w:lineRule="auto" w:before="3" w:after="0"/>
        <w:ind w:left="1305" w:right="1363" w:hanging="305"/>
        <w:jc w:val="both"/>
        <w:rPr>
          <w:sz w:val="24"/>
        </w:rPr>
      </w:pPr>
      <w:r>
        <w:rPr>
          <w:sz w:val="24"/>
        </w:rPr>
        <w:t>6</w:t>
      </w:r>
      <w:r>
        <w:rPr>
          <w:spacing w:val="11"/>
          <w:sz w:val="24"/>
        </w:rPr>
        <w:t> 歲及以上，對 </w:t>
      </w:r>
      <w:r>
        <w:rPr>
          <w:sz w:val="24"/>
        </w:rPr>
        <w:t>fluoroquinolone</w:t>
      </w:r>
      <w:r>
        <w:rPr>
          <w:spacing w:val="6"/>
          <w:sz w:val="24"/>
        </w:rPr>
        <w:t> 藥物敏感：治療藥物選擇 </w:t>
      </w:r>
      <w:r>
        <w:rPr>
          <w:sz w:val="24"/>
        </w:rPr>
        <w:t>BDQ</w:t>
      </w:r>
      <w:r>
        <w:rPr>
          <w:spacing w:val="4"/>
          <w:sz w:val="24"/>
        </w:rPr>
        <w:t>、</w:t>
      </w:r>
      <w:r>
        <w:rPr>
          <w:sz w:val="24"/>
        </w:rPr>
        <w:t>LFX/MFX、LZD</w:t>
      </w:r>
      <w:r>
        <w:rPr>
          <w:spacing w:val="3"/>
          <w:sz w:val="24"/>
        </w:rPr>
        <w:t>、</w:t>
      </w:r>
      <w:r>
        <w:rPr>
          <w:sz w:val="24"/>
        </w:rPr>
        <w:t>CFZ，如須第五種藥物可選擇 CS</w:t>
      </w:r>
      <w:r>
        <w:rPr>
          <w:spacing w:val="3"/>
          <w:sz w:val="24"/>
        </w:rPr>
        <w:t>、</w:t>
      </w:r>
      <w:r>
        <w:rPr>
          <w:sz w:val="24"/>
        </w:rPr>
        <w:t>EMB</w:t>
      </w:r>
      <w:r>
        <w:rPr>
          <w:spacing w:val="3"/>
          <w:sz w:val="24"/>
        </w:rPr>
        <w:t>、</w:t>
      </w:r>
      <w:r>
        <w:rPr>
          <w:sz w:val="24"/>
        </w:rPr>
        <w:t>DLM</w:t>
      </w:r>
      <w:r>
        <w:rPr>
          <w:spacing w:val="3"/>
          <w:sz w:val="24"/>
        </w:rPr>
        <w:t> 或 </w:t>
      </w:r>
      <w:r>
        <w:rPr>
          <w:sz w:val="24"/>
        </w:rPr>
        <w:t>PZA。</w:t>
      </w:r>
    </w:p>
    <w:p>
      <w:pPr>
        <w:pStyle w:val="BodyText"/>
        <w:spacing w:line="225" w:lineRule="auto" w:before="72"/>
        <w:ind w:left="1448" w:right="1358" w:hanging="503"/>
      </w:pPr>
      <w:r>
        <w:rPr/>
        <w:t>註：目前二線藥物只有 BDQ、DLM 無法做 DST，其他藥物在感受性試驗顯示敏感則可以使用。</w:t>
      </w:r>
    </w:p>
    <w:p>
      <w:pPr>
        <w:pStyle w:val="ListParagraph"/>
        <w:numPr>
          <w:ilvl w:val="2"/>
          <w:numId w:val="183"/>
        </w:numPr>
        <w:tabs>
          <w:tab w:pos="1317" w:val="left" w:leader="none"/>
        </w:tabs>
        <w:spacing w:line="240" w:lineRule="auto" w:before="183" w:after="0"/>
        <w:ind w:left="1316" w:right="0" w:hanging="866"/>
        <w:jc w:val="left"/>
        <w:rPr>
          <w:sz w:val="24"/>
        </w:rPr>
      </w:pPr>
      <w:r>
        <w:rPr>
          <w:spacing w:val="3"/>
          <w:sz w:val="24"/>
        </w:rPr>
        <w:t>藥物建議劑量，請見（表 </w:t>
      </w:r>
      <w:r>
        <w:rPr>
          <w:sz w:val="24"/>
        </w:rPr>
        <w:t>13-2）</w:t>
      </w:r>
      <w:r>
        <w:rPr>
          <w:spacing w:val="3"/>
          <w:sz w:val="24"/>
        </w:rPr>
        <w:t>。</w:t>
      </w:r>
    </w:p>
    <w:p>
      <w:pPr>
        <w:pStyle w:val="ListParagraph"/>
        <w:numPr>
          <w:ilvl w:val="2"/>
          <w:numId w:val="183"/>
        </w:numPr>
        <w:tabs>
          <w:tab w:pos="1317" w:val="left" w:leader="none"/>
        </w:tabs>
        <w:spacing w:line="428" w:lineRule="exact" w:before="176" w:after="0"/>
        <w:ind w:left="1316" w:right="0" w:hanging="866"/>
        <w:jc w:val="left"/>
        <w:rPr>
          <w:sz w:val="24"/>
        </w:rPr>
      </w:pPr>
      <w:r>
        <w:rPr>
          <w:spacing w:val="2"/>
          <w:sz w:val="24"/>
        </w:rPr>
        <w:t>藥物使用中需要注意的事項如下：</w:t>
      </w:r>
    </w:p>
    <w:p>
      <w:pPr>
        <w:pStyle w:val="ListParagraph"/>
        <w:numPr>
          <w:ilvl w:val="3"/>
          <w:numId w:val="183"/>
        </w:numPr>
        <w:tabs>
          <w:tab w:pos="1306" w:val="left" w:leader="none"/>
        </w:tabs>
        <w:spacing w:line="225" w:lineRule="auto" w:before="6" w:after="0"/>
        <w:ind w:left="1305" w:right="1361" w:hanging="305"/>
        <w:jc w:val="both"/>
        <w:rPr>
          <w:sz w:val="24"/>
        </w:rPr>
      </w:pPr>
      <w:r>
        <w:rPr>
          <w:sz w:val="24"/>
        </w:rPr>
        <w:t>QTc</w:t>
      </w:r>
      <w:r>
        <w:rPr>
          <w:spacing w:val="3"/>
          <w:sz w:val="24"/>
        </w:rPr>
        <w:t> 間隔延長：使用 </w:t>
      </w:r>
      <w:r>
        <w:rPr>
          <w:sz w:val="24"/>
        </w:rPr>
        <w:t>CFZ</w:t>
      </w:r>
      <w:r>
        <w:rPr>
          <w:spacing w:val="3"/>
          <w:sz w:val="24"/>
        </w:rPr>
        <w:t>、</w:t>
      </w:r>
      <w:r>
        <w:rPr>
          <w:sz w:val="24"/>
        </w:rPr>
        <w:t>BDQ﹑DLM</w:t>
      </w:r>
      <w:r>
        <w:rPr>
          <w:spacing w:val="4"/>
          <w:sz w:val="24"/>
        </w:rPr>
        <w:t>、</w:t>
      </w:r>
      <w:r>
        <w:rPr>
          <w:sz w:val="24"/>
        </w:rPr>
        <w:t>MFX</w:t>
      </w:r>
      <w:r>
        <w:rPr>
          <w:spacing w:val="5"/>
          <w:sz w:val="24"/>
        </w:rPr>
        <w:t> 及 </w:t>
      </w:r>
      <w:r>
        <w:rPr>
          <w:sz w:val="24"/>
        </w:rPr>
        <w:t>LFX</w:t>
      </w:r>
      <w:r>
        <w:rPr>
          <w:spacing w:val="3"/>
          <w:sz w:val="24"/>
        </w:rPr>
        <w:t> 每個月宜作心電圖檢查， 注意是否有 </w:t>
      </w:r>
      <w:r>
        <w:rPr>
          <w:sz w:val="24"/>
        </w:rPr>
        <w:t>corrected</w:t>
      </w:r>
      <w:r>
        <w:rPr>
          <w:spacing w:val="27"/>
          <w:sz w:val="24"/>
        </w:rPr>
        <w:t> </w:t>
      </w:r>
      <w:r>
        <w:rPr>
          <w:sz w:val="24"/>
        </w:rPr>
        <w:t>QT</w:t>
      </w:r>
      <w:r>
        <w:rPr>
          <w:spacing w:val="26"/>
          <w:sz w:val="24"/>
        </w:rPr>
        <w:t> </w:t>
      </w:r>
      <w:r>
        <w:rPr>
          <w:sz w:val="24"/>
        </w:rPr>
        <w:t>interval</w:t>
      </w:r>
      <w:r>
        <w:rPr>
          <w:spacing w:val="27"/>
          <w:sz w:val="24"/>
        </w:rPr>
        <w:t> </w:t>
      </w:r>
      <w:r>
        <w:rPr>
          <w:sz w:val="24"/>
        </w:rPr>
        <w:t>by</w:t>
      </w:r>
      <w:r>
        <w:rPr>
          <w:spacing w:val="27"/>
          <w:sz w:val="24"/>
        </w:rPr>
        <w:t> </w:t>
      </w:r>
      <w:r>
        <w:rPr>
          <w:sz w:val="24"/>
        </w:rPr>
        <w:t>Fredericia</w:t>
      </w:r>
      <w:r>
        <w:rPr>
          <w:spacing w:val="27"/>
          <w:sz w:val="24"/>
        </w:rPr>
        <w:t> </w:t>
      </w:r>
      <w:r>
        <w:rPr>
          <w:sz w:val="24"/>
        </w:rPr>
        <w:t>(QTcF</w:t>
      </w:r>
      <w:r>
        <w:rPr>
          <w:spacing w:val="2"/>
          <w:sz w:val="24"/>
        </w:rPr>
        <w:t>)間隔延長。</w:t>
      </w:r>
      <w:r>
        <w:rPr>
          <w:sz w:val="24"/>
        </w:rPr>
        <w:t>QTcF＞500 msec</w:t>
      </w:r>
      <w:r>
        <w:rPr>
          <w:spacing w:val="2"/>
          <w:sz w:val="24"/>
        </w:rPr>
        <w:t>，相關藥物應立即停用。</w:t>
      </w:r>
    </w:p>
    <w:p>
      <w:pPr>
        <w:spacing w:after="0" w:line="225" w:lineRule="auto"/>
        <w:jc w:val="both"/>
        <w:rPr>
          <w:sz w:val="24"/>
        </w:rPr>
        <w:sectPr>
          <w:pgSz w:w="12250" w:h="17190"/>
          <w:pgMar w:header="0" w:footer="734" w:top="1460" w:bottom="1020" w:left="1020" w:right="0"/>
        </w:sectPr>
      </w:pPr>
    </w:p>
    <w:p>
      <w:pPr>
        <w:pStyle w:val="ListParagraph"/>
        <w:numPr>
          <w:ilvl w:val="3"/>
          <w:numId w:val="183"/>
        </w:numPr>
        <w:tabs>
          <w:tab w:pos="1306" w:val="left" w:leader="none"/>
        </w:tabs>
        <w:spacing w:line="225" w:lineRule="auto" w:before="44" w:after="0"/>
        <w:ind w:left="1305" w:right="1357" w:hanging="305"/>
        <w:jc w:val="both"/>
        <w:rPr>
          <w:sz w:val="24"/>
        </w:rPr>
      </w:pPr>
      <w:r>
        <w:rPr>
          <w:spacing w:val="2"/>
          <w:sz w:val="24"/>
        </w:rPr>
        <w:t>骨髓抑制：</w:t>
      </w:r>
      <w:r>
        <w:rPr>
          <w:sz w:val="24"/>
        </w:rPr>
        <w:t>LZD</w:t>
      </w:r>
      <w:r>
        <w:rPr>
          <w:spacing w:val="1"/>
          <w:sz w:val="24"/>
        </w:rPr>
        <w:t> 可能抑制骨髓影響血球生成，因此需注意病人是否有貧血、血小</w:t>
      </w:r>
      <w:r>
        <w:rPr>
          <w:spacing w:val="3"/>
          <w:sz w:val="24"/>
        </w:rPr>
        <w:t>板低下或白血球低下等副作用，使用 </w:t>
      </w:r>
      <w:r>
        <w:rPr>
          <w:sz w:val="24"/>
        </w:rPr>
        <w:t>LZD</w:t>
      </w:r>
      <w:r>
        <w:rPr>
          <w:spacing w:val="4"/>
          <w:sz w:val="24"/>
        </w:rPr>
        <w:t> 一開始應於前兩星期檢驗全血球計數</w:t>
      </w:r>
    </w:p>
    <w:p>
      <w:pPr>
        <w:pStyle w:val="BodyText"/>
        <w:spacing w:line="407" w:lineRule="exact"/>
        <w:ind w:left="1305"/>
        <w:jc w:val="both"/>
      </w:pPr>
      <w:r>
        <w:rPr/>
        <w:t>（complete blood count），之後每個月檢測。</w:t>
      </w:r>
    </w:p>
    <w:p>
      <w:pPr>
        <w:pStyle w:val="ListParagraph"/>
        <w:numPr>
          <w:ilvl w:val="3"/>
          <w:numId w:val="183"/>
        </w:numPr>
        <w:tabs>
          <w:tab w:pos="1306" w:val="left" w:leader="none"/>
        </w:tabs>
        <w:spacing w:line="225" w:lineRule="auto" w:before="6" w:after="0"/>
        <w:ind w:left="1305" w:right="1358" w:hanging="305"/>
        <w:jc w:val="both"/>
        <w:rPr>
          <w:sz w:val="24"/>
        </w:rPr>
      </w:pPr>
      <w:r>
        <w:rPr>
          <w:spacing w:val="1"/>
          <w:sz w:val="24"/>
        </w:rPr>
        <w:t>周邊神經病變：</w:t>
      </w:r>
      <w:r>
        <w:rPr>
          <w:sz w:val="24"/>
        </w:rPr>
        <w:t>LZD 可能造成周邊神經病變，常見症狀包括手腳麻木或痛、針刺</w:t>
      </w:r>
      <w:r>
        <w:rPr>
          <w:spacing w:val="-1"/>
          <w:sz w:val="24"/>
        </w:rPr>
        <w:t>感、觸摸痛</w:t>
      </w:r>
      <w:r>
        <w:rPr>
          <w:sz w:val="24"/>
        </w:rPr>
        <w:t>（allodynia），症狀常出現在穿小腿襪與戴長手套的區域，每次回診</w:t>
      </w:r>
      <w:r>
        <w:rPr>
          <w:spacing w:val="3"/>
          <w:sz w:val="24"/>
        </w:rPr>
        <w:t>宜注意周邊神經學及反射檢查，如有懷疑周邊神經病變應先停藥。</w:t>
      </w:r>
    </w:p>
    <w:p>
      <w:pPr>
        <w:pStyle w:val="ListParagraph"/>
        <w:numPr>
          <w:ilvl w:val="3"/>
          <w:numId w:val="183"/>
        </w:numPr>
        <w:tabs>
          <w:tab w:pos="1306" w:val="left" w:leader="none"/>
        </w:tabs>
        <w:spacing w:line="406" w:lineRule="exact" w:before="0" w:after="0"/>
        <w:ind w:left="1305" w:right="0" w:hanging="306"/>
        <w:jc w:val="both"/>
        <w:rPr>
          <w:b/>
          <w:sz w:val="24"/>
        </w:rPr>
      </w:pPr>
      <w:r>
        <w:rPr>
          <w:spacing w:val="2"/>
          <w:sz w:val="24"/>
        </w:rPr>
        <w:t>視神經炎：使用 </w:t>
      </w:r>
      <w:r>
        <w:rPr>
          <w:sz w:val="24"/>
        </w:rPr>
        <w:t>LZD</w:t>
      </w:r>
      <w:r>
        <w:rPr>
          <w:spacing w:val="3"/>
          <w:sz w:val="24"/>
        </w:rPr>
        <w:t> 每個月宜做視力檢查，一旦發生視力減退應立即停藥</w:t>
      </w:r>
      <w:r>
        <w:rPr>
          <w:b/>
          <w:sz w:val="24"/>
        </w:rPr>
        <w:t>。</w:t>
      </w:r>
    </w:p>
    <w:p>
      <w:pPr>
        <w:pStyle w:val="ListParagraph"/>
        <w:numPr>
          <w:ilvl w:val="3"/>
          <w:numId w:val="183"/>
        </w:numPr>
        <w:tabs>
          <w:tab w:pos="1306" w:val="left" w:leader="none"/>
        </w:tabs>
        <w:spacing w:line="225" w:lineRule="auto" w:before="5" w:after="0"/>
        <w:ind w:left="1305" w:right="1357" w:hanging="305"/>
        <w:jc w:val="both"/>
        <w:rPr>
          <w:sz w:val="24"/>
        </w:rPr>
      </w:pPr>
      <w:r>
        <w:rPr>
          <w:spacing w:val="2"/>
          <w:sz w:val="24"/>
        </w:rPr>
        <w:t>皮膚毛髮及體液變色：</w:t>
      </w:r>
      <w:r>
        <w:rPr>
          <w:sz w:val="24"/>
        </w:rPr>
        <w:t>CFZ</w:t>
      </w:r>
      <w:r>
        <w:rPr>
          <w:spacing w:val="3"/>
          <w:sz w:val="24"/>
        </w:rPr>
        <w:t> 可能造成皮膚毛髮及體液變色，使用前應先向病人及</w:t>
      </w:r>
      <w:r>
        <w:rPr>
          <w:spacing w:val="2"/>
          <w:sz w:val="24"/>
        </w:rPr>
        <w:t>家屬說明皮膚顏色變化，停藥數月至數年可恢復。</w:t>
      </w:r>
    </w:p>
    <w:p>
      <w:pPr>
        <w:pStyle w:val="ListParagraph"/>
        <w:numPr>
          <w:ilvl w:val="3"/>
          <w:numId w:val="183"/>
        </w:numPr>
        <w:tabs>
          <w:tab w:pos="1306" w:val="left" w:leader="none"/>
        </w:tabs>
        <w:spacing w:line="420" w:lineRule="exact" w:before="0" w:after="0"/>
        <w:ind w:left="1305" w:right="0" w:hanging="306"/>
        <w:jc w:val="both"/>
        <w:rPr>
          <w:sz w:val="24"/>
        </w:rPr>
      </w:pPr>
      <w:r>
        <w:rPr>
          <w:spacing w:val="3"/>
          <w:sz w:val="24"/>
        </w:rPr>
        <w:t>其他相關藥品副作用，請見（表 </w:t>
      </w:r>
      <w:r>
        <w:rPr>
          <w:sz w:val="24"/>
        </w:rPr>
        <w:t>13-3）。</w:t>
      </w:r>
    </w:p>
    <w:p>
      <w:pPr>
        <w:pStyle w:val="BodyText"/>
        <w:spacing w:before="18"/>
        <w:rPr>
          <w:sz w:val="25"/>
        </w:rPr>
      </w:pPr>
    </w:p>
    <w:p>
      <w:pPr>
        <w:pStyle w:val="Heading6"/>
        <w:ind w:left="3607"/>
      </w:pPr>
      <w:bookmarkStart w:name="表13-1 兒童建議藥物選擇" w:id="167"/>
      <w:bookmarkEnd w:id="167"/>
      <w:r>
        <w:rPr>
          <w:b w:val="0"/>
        </w:rPr>
      </w:r>
      <w:r>
        <w:rPr/>
        <w:t>表 13-1 </w:t>
      </w:r>
      <w:r>
        <w:rPr>
          <w:color w:val="FF0000"/>
        </w:rPr>
        <w:t>兒童</w:t>
      </w:r>
      <w:r>
        <w:rPr/>
        <w:t>建議藥物選擇</w:t>
      </w:r>
    </w:p>
    <w:p>
      <w:pPr>
        <w:pStyle w:val="BodyText"/>
        <w:spacing w:before="2"/>
        <w:rPr>
          <w:b/>
          <w:sz w:val="27"/>
        </w:rPr>
      </w:pPr>
      <w:r>
        <w:rPr/>
        <w:pict>
          <v:group style="position:absolute;margin-left:64.7752pt;margin-top:26.941641pt;width:478.7pt;height:384.3pt;mso-position-horizontal-relative:page;mso-position-vertical-relative:paragraph;z-index:-251375616;mso-wrap-distance-left:0;mso-wrap-distance-right:0" coordorigin="1296,539" coordsize="9574,7686">
            <v:shape style="position:absolute;left:1303;top:3964;width:1192;height:814" coordorigin="1303,3964" coordsize="1192,814" path="m1303,4100l1314,4047,1343,4004,1386,3975,1439,3964,2359,3964,2412,3975,2455,4004,2484,4047,2495,4100,2495,4643,2484,4695,2455,4739,2412,4768,2359,4778,1439,4778,1386,4768,1343,4739,1314,4695,1303,4643,1303,4100xe" filled="false" stroked="true" strokeweight=".75pt" strokecolor="#000000">
              <v:path arrowok="t"/>
              <v:stroke dashstyle="solid"/>
            </v:shape>
            <v:shape style="position:absolute;left:3349;top:1330;width:1162;height:580" coordorigin="3350,1330" coordsize="1162,580" path="m3350,1427l3357,1389,3378,1359,3409,1338,3446,1330,4415,1330,4453,1338,4483,1359,4504,1389,4512,1427,4512,1814,4504,1851,4483,1882,4453,1903,4415,1910,3446,1910,3409,1903,3378,1882,3357,1851,3350,1814,3350,1427xe" filled="false" stroked="true" strokeweight=".75pt" strokecolor="#000000">
              <v:path arrowok="t"/>
              <v:stroke dashstyle="solid"/>
            </v:shape>
            <v:shape style="position:absolute;left:3341;top:3954;width:1163;height:711" coordorigin="3342,3954" coordsize="1163,711" path="m3342,4073l3351,4027,3377,3989,3414,3964,3460,3954,4386,3954,4432,3964,4470,3989,4495,4027,4505,4073,4505,4547,4495,4593,4470,4631,4432,4656,4386,4665,3460,4665,3414,4656,3377,4631,3351,4593,3342,4547,3342,4073xe" filled="false" stroked="true" strokeweight=".75pt" strokecolor="#000000">
              <v:path arrowok="t"/>
              <v:stroke dashstyle="solid"/>
            </v:shape>
            <v:line style="position:absolute" from="1771,3971" to="3344,1613" stroked="true" strokeweight=".75pt" strokecolor="#000000">
              <v:stroke dashstyle="solid"/>
            </v:line>
            <v:shape style="position:absolute;left:3343;top:6555;width:1163;height:695" coordorigin="3344,6555" coordsize="1163,695" path="m3344,6671l3353,6626,3378,6589,3415,6564,3460,6555,4391,6555,4436,6564,4473,6589,4498,6626,4507,6671,4507,7134,4498,7180,4473,7216,4436,7241,4391,7250,3460,7250,3415,7241,3378,7216,3353,7180,3344,7134,3344,6671xe" filled="false" stroked="true" strokeweight=".75pt" strokecolor="#000000">
              <v:path arrowok="t"/>
              <v:stroke dashstyle="solid"/>
            </v:shape>
            <v:line style="position:absolute" from="1810,4790" to="3344,6903" stroked="true" strokeweight=".75pt" strokecolor="#000000">
              <v:stroke dashstyle="solid"/>
            </v:line>
            <v:shape style="position:absolute;left:5286;top:671;width:1163;height:580" coordorigin="5286,671" coordsize="1163,580" path="m5286,768l5294,730,5314,700,5345,679,5383,671,6352,671,6390,679,6421,700,6441,730,6449,768,6449,1155,6441,1192,6421,1223,6390,1244,6352,1251,5383,1251,5345,1244,5314,1223,5294,1192,5286,1155,5286,768xe" filled="false" stroked="true" strokeweight=".75pt" strokecolor="#000000">
              <v:path arrowok="t"/>
              <v:stroke dashstyle="solid"/>
            </v:shape>
            <v:line style="position:absolute" from="4507,1616" to="5286,933" stroked="true" strokeweight=".75pt" strokecolor="#000000">
              <v:stroke dashstyle="solid"/>
            </v:line>
            <v:shape style="position:absolute;left:5286;top:1997;width:1163;height:580" coordorigin="5286,1997" coordsize="1163,580" path="m5286,2094l5294,2056,5314,2026,5345,2005,5383,1997,6352,1997,6390,2005,6421,2026,6441,2056,6449,2094,6449,2481,6441,2518,6421,2549,6390,2570,6352,2577,5383,2577,5345,2570,5314,2549,5294,2518,5286,2481,5286,2094xe" filled="false" stroked="true" strokeweight=".75pt" strokecolor="#000000">
              <v:path arrowok="t"/>
              <v:stroke dashstyle="solid"/>
            </v:shape>
            <v:line style="position:absolute" from="4517,1616" to="5296,2307" stroked="true" strokeweight=".75pt" strokecolor="#000000">
              <v:stroke dashstyle="solid"/>
            </v:line>
            <v:shape style="position:absolute;left:5291;top:3288;width:1163;height:580" coordorigin="5292,3288" coordsize="1163,580" path="m5292,3385l5300,3347,5320,3317,5351,3296,5389,3288,6358,3288,6396,3296,6427,3317,6447,3347,6455,3385,6455,3772,6447,3809,6427,3840,6396,3861,6358,3868,5389,3868,5351,3861,5320,3840,5300,3809,5292,3772,5292,3385xe" filled="false" stroked="true" strokeweight=".75pt" strokecolor="#000000">
              <v:path arrowok="t"/>
              <v:stroke dashstyle="solid"/>
            </v:shape>
            <v:line style="position:absolute" from="4517,4306" to="5305,3608" stroked="true" strokeweight=".75pt" strokecolor="#000000">
              <v:stroke dashstyle="solid"/>
            </v:line>
            <v:shape style="position:absolute;left:5286;top:4637;width:1163;height:580" coordorigin="5286,4637" coordsize="1163,580" path="m5286,4734l5294,4696,5314,4666,5345,4645,5383,4637,6352,4637,6390,4645,6421,4666,6441,4696,6449,4734,6449,5121,6441,5158,6421,5189,6390,5210,6352,5217,5383,5217,5345,5210,5314,5189,5294,5158,5286,5121,5286,4734xe" filled="false" stroked="true" strokeweight=".75pt" strokecolor="#000000">
              <v:path arrowok="t"/>
              <v:stroke dashstyle="solid"/>
            </v:shape>
            <v:line style="position:absolute" from="4517,4306" to="5286,4996" stroked="true" strokeweight=".75pt" strokecolor="#000000">
              <v:stroke dashstyle="solid"/>
            </v:line>
            <v:shape style="position:absolute;left:5291;top:6006;width:1163;height:580" coordorigin="5292,6006" coordsize="1163,580" path="m5292,6103l5300,6065,5320,6035,5351,6014,5389,6006,6358,6006,6396,6014,6427,6035,6447,6065,6455,6103,6455,6490,6447,6527,6427,6558,6396,6579,6358,6586,5389,6586,5351,6579,5320,6558,5300,6527,5292,6490,5292,6103xe" filled="false" stroked="true" strokeweight=".75pt" strokecolor="#000000">
              <v:path arrowok="t"/>
              <v:stroke dashstyle="solid"/>
            </v:shape>
            <v:line style="position:absolute" from="4495,6944" to="5295,6286" stroked="true" strokeweight=".75pt" strokecolor="#000000">
              <v:stroke dashstyle="solid"/>
            </v:line>
            <v:shape style="position:absolute;left:5286;top:7410;width:1163;height:580" coordorigin="5286,7410" coordsize="1163,580" path="m5286,7507l5294,7469,5314,7439,5345,7418,5383,7410,6352,7410,6390,7418,6421,7439,6441,7469,6449,7507,6449,7894,6441,7931,6421,7962,6390,7983,6352,7990,5383,7990,5345,7983,5314,7962,5294,7931,5286,7894,5286,7507xe" filled="false" stroked="true" strokeweight=".75pt" strokecolor="#000000">
              <v:path arrowok="t"/>
              <v:stroke dashstyle="solid"/>
            </v:shape>
            <v:line style="position:absolute" from="4517,6944" to="5286,7700" stroked="true" strokeweight=".75pt" strokecolor="#000000">
              <v:stroke dashstyle="solid"/>
            </v:line>
            <v:shape style="position:absolute;left:6810;top:3096;width:4052;height:1035" coordorigin="6811,3096" coordsize="4052,1035" path="m6811,3269l6825,3202,6861,3147,6916,3110,6983,3096,10690,3096,10757,3110,10811,3147,10848,3202,10862,3269,10862,3959,10848,4026,10811,4081,10757,4118,10690,4131,6983,4131,6916,4118,6861,4081,6825,4026,6811,3959,6811,3269xe" filled="false" stroked="true" strokeweight=".75pt" strokecolor="#000000">
              <v:path arrowok="t"/>
              <v:stroke dashstyle="solid"/>
            </v:shape>
            <v:line style="position:absolute" from="6449,3608" to="6811,3608" stroked="true" strokeweight=".75pt" strokecolor="#000000">
              <v:stroke dashstyle="solid"/>
            </v:line>
            <v:shape style="position:absolute;left:6810;top:1748;width:4050;height:1032" coordorigin="6811,1748" coordsize="4050,1032" path="m6811,1920l6824,1853,6861,1799,6916,1762,6983,1748,10688,1748,10755,1762,10810,1799,10847,1853,10860,1920,10860,2608,10847,2675,10810,2730,10755,2767,10688,2780,6983,2780,6916,2767,6861,2730,6824,2675,6811,2608,6811,1920xe" filled="false" stroked="true" strokeweight=".75pt" strokecolor="#000000">
              <v:path arrowok="t"/>
              <v:stroke dashstyle="solid"/>
            </v:shape>
            <v:line style="position:absolute" from="6457,2264" to="6814,2264" stroked="true" strokeweight=".75pt" strokecolor="#000000">
              <v:stroke dashstyle="solid"/>
            </v:line>
            <v:shape style="position:absolute;left:6810;top:546;width:4052;height:840" coordorigin="6811,546" coordsize="4052,840" path="m6811,686l6822,632,6852,587,6896,557,6951,546,10722,546,10776,557,10821,587,10851,632,10862,686,10862,1246,10851,1301,10821,1345,10776,1375,10722,1386,6951,1386,6896,1375,6852,1345,6822,1301,6811,1246,6811,686xe" filled="false" stroked="true" strokeweight=".75pt" strokecolor="#000000">
              <v:path arrowok="t"/>
              <v:stroke dashstyle="solid"/>
            </v:shape>
            <v:line style="position:absolute" from="6463,952" to="6820,952" stroked="true" strokeweight=".75pt" strokecolor="#000000">
              <v:stroke dashstyle="solid"/>
            </v:line>
            <v:shape style="position:absolute;left:6810;top:4424;width:4050;height:1066" coordorigin="6811,4424" coordsize="4050,1066" path="m6811,4602l6825,4533,6863,4476,6919,4438,6989,4424,10682,4424,10752,4438,10808,4476,10846,4533,10860,4602,10860,5313,10846,5382,10808,5438,10752,5476,10682,5490,6989,5490,6919,5476,6863,5438,6825,5382,6811,5313,6811,4602xe" filled="false" stroked="true" strokeweight=".75pt" strokecolor="#000000">
              <v:path arrowok="t"/>
              <v:stroke dashstyle="solid"/>
            </v:shape>
            <v:line style="position:absolute" from="6459,4911" to="6816,4911" stroked="true" strokeweight=".75pt" strokecolor="#000000">
              <v:stroke dashstyle="solid"/>
            </v:line>
            <v:shape style="position:absolute;left:6810;top:5786;width:4027;height:1049" coordorigin="6811,5786" coordsize="4027,1049" path="m6811,5961l6825,5893,6862,5838,6918,5800,6986,5786,10663,5786,10731,5800,10786,5838,10824,5893,10837,5961,10837,6660,10824,6729,10786,6784,10731,6822,10663,6835,6986,6835,6918,6822,6862,6784,6825,6729,6811,6660,6811,5961xe" filled="false" stroked="true" strokeweight=".75pt" strokecolor="#000000">
              <v:path arrowok="t"/>
              <v:stroke dashstyle="solid"/>
            </v:shape>
            <v:line style="position:absolute" from="6455,6280" to="6812,6280" stroked="true" strokeweight=".75pt" strokecolor="#000000">
              <v:stroke dashstyle="solid"/>
            </v:line>
            <v:shape style="position:absolute;left:6835;top:7153;width:4027;height:1064" coordorigin="6836,7153" coordsize="4027,1064" path="m6836,7331l6850,7262,6888,7205,6944,7167,7013,7153,10685,7153,10754,7167,10810,7205,10848,7262,10862,7331,10862,8040,10848,8109,10810,8165,10754,8203,10685,8217,7013,8217,6944,8203,6888,8165,6850,8109,6836,8040,6836,7331xe" filled="false" stroked="true" strokeweight=".75pt" strokecolor="#000000">
              <v:path arrowok="t"/>
              <v:stroke dashstyle="solid"/>
            </v:shape>
            <v:line style="position:absolute" from="6470,7685" to="6827,7685" stroked="true" strokeweight=".75pt" strokecolor="#000000">
              <v:stroke dashstyle="solid"/>
            </v:line>
            <v:shape style="position:absolute;left:5546;top:815;width:661;height:293" type="#_x0000_t202" filled="false" stroked="false">
              <v:textbox inset="0,0,0,0">
                <w:txbxContent>
                  <w:p>
                    <w:pPr>
                      <w:spacing w:line="292" w:lineRule="exact" w:before="0"/>
                      <w:ind w:left="0" w:right="0" w:firstLine="0"/>
                      <w:jc w:val="left"/>
                      <w:rPr>
                        <w:sz w:val="22"/>
                      </w:rPr>
                    </w:pPr>
                    <w:r>
                      <w:rPr>
                        <w:sz w:val="22"/>
                      </w:rPr>
                      <w:t>FLQ-R</w:t>
                    </w:r>
                  </w:p>
                </w:txbxContent>
              </v:textbox>
              <w10:wrap type="none"/>
            </v:shape>
            <v:shape style="position:absolute;left:6944;top:679;width:3804;height:596" type="#_x0000_t202" filled="false" stroked="false">
              <v:textbox inset="0,0,0,0">
                <w:txbxContent>
                  <w:p>
                    <w:pPr>
                      <w:spacing w:line="298" w:lineRule="exact" w:before="0"/>
                      <w:ind w:left="0" w:right="18" w:firstLine="0"/>
                      <w:jc w:val="center"/>
                      <w:rPr>
                        <w:sz w:val="22"/>
                      </w:rPr>
                    </w:pPr>
                    <w:r>
                      <w:rPr>
                        <w:sz w:val="22"/>
                      </w:rPr>
                      <w:t>LZD*-CFZ*-CS*</w:t>
                    </w:r>
                  </w:p>
                  <w:p>
                    <w:pPr>
                      <w:spacing w:line="298" w:lineRule="exact" w:before="0"/>
                      <w:ind w:left="0" w:right="18" w:firstLine="0"/>
                      <w:jc w:val="center"/>
                      <w:rPr>
                        <w:sz w:val="22"/>
                      </w:rPr>
                    </w:pPr>
                    <w:r>
                      <w:rPr>
                        <w:sz w:val="22"/>
                      </w:rPr>
                      <w:t>Add one of DLM, PZA*, PAS* or ETO*</w:t>
                    </w:r>
                  </w:p>
                </w:txbxContent>
              </v:textbox>
              <w10:wrap type="none"/>
            </v:shape>
            <v:shape style="position:absolute;left:3636;top:1442;width:612;height:307" type="#_x0000_t202" filled="false" stroked="false">
              <v:textbox inset="0,0,0,0">
                <w:txbxContent>
                  <w:p>
                    <w:pPr>
                      <w:spacing w:line="306" w:lineRule="exact" w:before="0"/>
                      <w:ind w:left="0" w:right="0" w:firstLine="0"/>
                      <w:jc w:val="left"/>
                      <w:rPr>
                        <w:sz w:val="23"/>
                      </w:rPr>
                    </w:pPr>
                    <w:r>
                      <w:rPr>
                        <w:sz w:val="23"/>
                      </w:rPr>
                      <w:t>&lt;3 歲</w:t>
                    </w:r>
                  </w:p>
                </w:txbxContent>
              </v:textbox>
              <w10:wrap type="none"/>
            </v:shape>
            <v:shape style="position:absolute;left:5564;top:2141;width:626;height:293" type="#_x0000_t202" filled="false" stroked="false">
              <v:textbox inset="0,0,0,0">
                <w:txbxContent>
                  <w:p>
                    <w:pPr>
                      <w:spacing w:line="292" w:lineRule="exact" w:before="0"/>
                      <w:ind w:left="0" w:right="0" w:firstLine="0"/>
                      <w:jc w:val="left"/>
                      <w:rPr>
                        <w:sz w:val="20"/>
                      </w:rPr>
                    </w:pPr>
                    <w:r>
                      <w:rPr>
                        <w:sz w:val="22"/>
                      </w:rPr>
                      <w:t>FLQ</w:t>
                    </w:r>
                    <w:r>
                      <w:rPr>
                        <w:sz w:val="20"/>
                      </w:rPr>
                      <w:t>-S</w:t>
                    </w:r>
                  </w:p>
                </w:txbxContent>
              </v:textbox>
              <w10:wrap type="none"/>
            </v:shape>
            <v:shape style="position:absolute;left:7132;top:1818;width:3425;height:876" type="#_x0000_t202" filled="false" stroked="false">
              <v:textbox inset="0,0,0,0">
                <w:txbxContent>
                  <w:p>
                    <w:pPr>
                      <w:spacing w:line="298" w:lineRule="exact" w:before="0"/>
                      <w:ind w:left="0" w:right="16" w:firstLine="0"/>
                      <w:jc w:val="center"/>
                      <w:rPr>
                        <w:sz w:val="22"/>
                      </w:rPr>
                    </w:pPr>
                    <w:r>
                      <w:rPr>
                        <w:sz w:val="22"/>
                      </w:rPr>
                      <w:t>LFX*/MFX*-LZD*-CFZ*-CS*</w:t>
                    </w:r>
                  </w:p>
                  <w:p>
                    <w:pPr>
                      <w:spacing w:line="165" w:lineRule="auto" w:before="40"/>
                      <w:ind w:left="0" w:right="18" w:firstLine="0"/>
                      <w:jc w:val="center"/>
                      <w:rPr>
                        <w:sz w:val="22"/>
                      </w:rPr>
                    </w:pPr>
                    <w:r>
                      <w:rPr>
                        <w:sz w:val="22"/>
                      </w:rPr>
                      <w:t>Additional drugs in needed DLM, PZA*, PAS* or ETO*</w:t>
                    </w:r>
                  </w:p>
                </w:txbxContent>
              </v:textbox>
              <w10:wrap type="none"/>
            </v:shape>
            <v:shape style="position:absolute;left:5552;top:3432;width:661;height:293" type="#_x0000_t202" filled="false" stroked="false">
              <v:textbox inset="0,0,0,0">
                <w:txbxContent>
                  <w:p>
                    <w:pPr>
                      <w:spacing w:line="292" w:lineRule="exact" w:before="0"/>
                      <w:ind w:left="0" w:right="0" w:firstLine="0"/>
                      <w:jc w:val="left"/>
                      <w:rPr>
                        <w:sz w:val="22"/>
                      </w:rPr>
                    </w:pPr>
                    <w:r>
                      <w:rPr>
                        <w:sz w:val="22"/>
                      </w:rPr>
                      <w:t>FLQ-R</w:t>
                    </w:r>
                  </w:p>
                </w:txbxContent>
              </v:textbox>
              <w10:wrap type="none"/>
            </v:shape>
            <v:shape style="position:absolute;left:1462;top:4070;width:1898;height:572" type="#_x0000_t202" filled="false" stroked="false">
              <v:textbox inset="0,0,0,0">
                <w:txbxContent>
                  <w:p>
                    <w:pPr>
                      <w:tabs>
                        <w:tab w:pos="1036" w:val="left" w:leader="none"/>
                        <w:tab w:pos="1876" w:val="left" w:leader="none"/>
                      </w:tabs>
                      <w:spacing w:line="286" w:lineRule="exact" w:before="0"/>
                      <w:ind w:left="215" w:right="0" w:firstLine="0"/>
                      <w:jc w:val="left"/>
                      <w:rPr>
                        <w:rFonts w:ascii="Times New Roman" w:eastAsia="Times New Roman"/>
                        <w:sz w:val="22"/>
                      </w:rPr>
                    </w:pPr>
                    <w:r>
                      <w:rPr>
                        <w:w w:val="95"/>
                        <w:sz w:val="22"/>
                      </w:rPr>
                      <w:t>診斷</w:t>
                    </w:r>
                    <w:r>
                      <w:rPr>
                        <w:sz w:val="22"/>
                      </w:rPr>
                      <w:tab/>
                    </w:r>
                    <w:r>
                      <w:rPr>
                        <w:rFonts w:ascii="Times New Roman" w:eastAsia="Times New Roman"/>
                        <w:w w:val="99"/>
                        <w:sz w:val="22"/>
                        <w:u w:val="single"/>
                      </w:rPr>
                      <w:t> </w:t>
                    </w:r>
                    <w:r>
                      <w:rPr>
                        <w:rFonts w:ascii="Times New Roman" w:eastAsia="Times New Roman"/>
                        <w:sz w:val="22"/>
                        <w:u w:val="single"/>
                      </w:rPr>
                      <w:tab/>
                    </w:r>
                  </w:p>
                  <w:p>
                    <w:pPr>
                      <w:spacing w:line="286" w:lineRule="exact" w:before="0"/>
                      <w:ind w:left="0" w:right="0" w:firstLine="0"/>
                      <w:jc w:val="left"/>
                      <w:rPr>
                        <w:sz w:val="22"/>
                      </w:rPr>
                    </w:pPr>
                    <w:r>
                      <w:rPr>
                        <w:sz w:val="22"/>
                      </w:rPr>
                      <w:t>MDR-TB</w:t>
                    </w:r>
                  </w:p>
                </w:txbxContent>
              </v:textbox>
              <w10:wrap type="none"/>
            </v:shape>
            <v:shape style="position:absolute;left:3627;top:4000;width:612;height:608" type="#_x0000_t202" filled="false" stroked="false">
              <v:textbox inset="0,0,0,0">
                <w:txbxContent>
                  <w:p>
                    <w:pPr>
                      <w:spacing w:line="304" w:lineRule="exact" w:before="0"/>
                      <w:ind w:left="56" w:right="0" w:firstLine="0"/>
                      <w:jc w:val="left"/>
                      <w:rPr>
                        <w:sz w:val="23"/>
                      </w:rPr>
                    </w:pPr>
                    <w:r>
                      <w:rPr>
                        <w:sz w:val="23"/>
                      </w:rPr>
                      <w:t>3 至</w:t>
                    </w:r>
                  </w:p>
                  <w:p>
                    <w:pPr>
                      <w:spacing w:line="304" w:lineRule="exact" w:before="0"/>
                      <w:ind w:left="0" w:right="0" w:firstLine="0"/>
                      <w:jc w:val="left"/>
                      <w:rPr>
                        <w:sz w:val="23"/>
                      </w:rPr>
                    </w:pPr>
                    <w:r>
                      <w:rPr>
                        <w:sz w:val="23"/>
                      </w:rPr>
                      <w:t>&lt;6 歲</w:t>
                    </w:r>
                  </w:p>
                </w:txbxContent>
              </v:textbox>
              <w10:wrap type="none"/>
            </v:shape>
            <v:shape style="position:absolute;left:7125;top:3223;width:3440;height:876" type="#_x0000_t202" filled="false" stroked="false">
              <v:textbox inset="0,0,0,0">
                <w:txbxContent>
                  <w:p>
                    <w:pPr>
                      <w:spacing w:line="298" w:lineRule="exact" w:before="0"/>
                      <w:ind w:left="0" w:right="17" w:firstLine="0"/>
                      <w:jc w:val="center"/>
                      <w:rPr>
                        <w:sz w:val="22"/>
                      </w:rPr>
                    </w:pPr>
                    <w:r>
                      <w:rPr>
                        <w:sz w:val="22"/>
                      </w:rPr>
                      <w:t>LZD*-CFZ*-CS*-DLM</w:t>
                    </w:r>
                  </w:p>
                  <w:p>
                    <w:pPr>
                      <w:spacing w:line="165" w:lineRule="auto" w:before="40"/>
                      <w:ind w:left="0" w:right="18" w:firstLine="0"/>
                      <w:jc w:val="center"/>
                      <w:rPr>
                        <w:sz w:val="22"/>
                      </w:rPr>
                    </w:pPr>
                    <w:r>
                      <w:rPr>
                        <w:sz w:val="22"/>
                      </w:rPr>
                      <w:t>Additional drugs if needed EMB*, PZA*, PAS* or ETO*</w:t>
                    </w:r>
                  </w:p>
                </w:txbxContent>
              </v:textbox>
              <w10:wrap type="none"/>
            </v:shape>
            <v:shape style="position:absolute;left:5553;top:4781;width:645;height:293" type="#_x0000_t202" filled="false" stroked="false">
              <v:textbox inset="0,0,0,0">
                <w:txbxContent>
                  <w:p>
                    <w:pPr>
                      <w:spacing w:line="292" w:lineRule="exact" w:before="0"/>
                      <w:ind w:left="0" w:right="0" w:firstLine="0"/>
                      <w:jc w:val="left"/>
                      <w:rPr>
                        <w:sz w:val="22"/>
                      </w:rPr>
                    </w:pPr>
                    <w:r>
                      <w:rPr>
                        <w:sz w:val="22"/>
                      </w:rPr>
                      <w:t>FLQ-S</w:t>
                    </w:r>
                  </w:p>
                </w:txbxContent>
              </v:textbox>
              <w10:wrap type="none"/>
            </v:shape>
            <v:shape style="position:absolute;left:7124;top:4511;width:3441;height:882" type="#_x0000_t202" filled="false" stroked="false">
              <v:textbox inset="0,0,0,0">
                <w:txbxContent>
                  <w:p>
                    <w:pPr>
                      <w:spacing w:line="300" w:lineRule="exact" w:before="0"/>
                      <w:ind w:left="0" w:right="18" w:firstLine="0"/>
                      <w:jc w:val="center"/>
                      <w:rPr>
                        <w:sz w:val="22"/>
                      </w:rPr>
                    </w:pPr>
                    <w:r>
                      <w:rPr>
                        <w:sz w:val="22"/>
                      </w:rPr>
                      <w:t>LFX*/MFX*-LZD*-CFZ*-CS*</w:t>
                    </w:r>
                  </w:p>
                  <w:p>
                    <w:pPr>
                      <w:spacing w:line="165" w:lineRule="auto" w:before="42"/>
                      <w:ind w:left="0" w:right="18" w:firstLine="0"/>
                      <w:jc w:val="center"/>
                      <w:rPr>
                        <w:sz w:val="22"/>
                      </w:rPr>
                    </w:pPr>
                    <w:r>
                      <w:rPr>
                        <w:sz w:val="22"/>
                      </w:rPr>
                      <w:t>Additional drugs if needed EMB*, DLM, PZA*, PAS*</w:t>
                    </w:r>
                  </w:p>
                </w:txbxContent>
              </v:textbox>
              <w10:wrap type="none"/>
            </v:shape>
            <v:shape style="position:absolute;left:5552;top:6150;width:661;height:293" type="#_x0000_t202" filled="false" stroked="false">
              <v:textbox inset="0,0,0,0">
                <w:txbxContent>
                  <w:p>
                    <w:pPr>
                      <w:spacing w:line="292" w:lineRule="exact" w:before="0"/>
                      <w:ind w:left="0" w:right="0" w:firstLine="0"/>
                      <w:jc w:val="left"/>
                      <w:rPr>
                        <w:sz w:val="22"/>
                      </w:rPr>
                    </w:pPr>
                    <w:r>
                      <w:rPr>
                        <w:sz w:val="22"/>
                      </w:rPr>
                      <w:t>FLQ-R</w:t>
                    </w:r>
                  </w:p>
                </w:txbxContent>
              </v:textbox>
              <w10:wrap type="none"/>
            </v:shape>
            <v:shape style="position:absolute;left:7114;top:5857;width:3441;height:876" type="#_x0000_t202" filled="false" stroked="false">
              <v:textbox inset="0,0,0,0">
                <w:txbxContent>
                  <w:p>
                    <w:pPr>
                      <w:spacing w:line="298" w:lineRule="exact" w:before="0"/>
                      <w:ind w:left="0" w:right="18" w:firstLine="0"/>
                      <w:jc w:val="center"/>
                      <w:rPr>
                        <w:sz w:val="22"/>
                      </w:rPr>
                    </w:pPr>
                    <w:r>
                      <w:rPr>
                        <w:sz w:val="22"/>
                      </w:rPr>
                      <w:t>BDQ-LZD*-CFZ*-CS*</w:t>
                    </w:r>
                  </w:p>
                  <w:p>
                    <w:pPr>
                      <w:spacing w:line="165" w:lineRule="auto" w:before="40"/>
                      <w:ind w:left="-1" w:right="18" w:firstLine="0"/>
                      <w:jc w:val="center"/>
                      <w:rPr>
                        <w:sz w:val="22"/>
                      </w:rPr>
                    </w:pPr>
                    <w:r>
                      <w:rPr>
                        <w:sz w:val="22"/>
                      </w:rPr>
                      <w:t>Additional drugs if needed</w:t>
                    </w:r>
                    <w:r>
                      <w:rPr>
                        <w:spacing w:val="-14"/>
                        <w:sz w:val="22"/>
                      </w:rPr>
                      <w:t> </w:t>
                    </w:r>
                    <w:r>
                      <w:rPr>
                        <w:sz w:val="22"/>
                      </w:rPr>
                      <w:t>EMB*, DLM, PZA*,</w:t>
                    </w:r>
                    <w:r>
                      <w:rPr>
                        <w:spacing w:val="-1"/>
                        <w:sz w:val="22"/>
                      </w:rPr>
                      <w:t> </w:t>
                    </w:r>
                    <w:r>
                      <w:rPr>
                        <w:sz w:val="22"/>
                      </w:rPr>
                      <w:t>PAS*</w:t>
                    </w:r>
                  </w:p>
                </w:txbxContent>
              </v:textbox>
              <w10:wrap type="none"/>
            </v:shape>
            <v:shape style="position:absolute;left:3598;top:6719;width:673;height:307" type="#_x0000_t202" filled="false" stroked="false">
              <v:textbox inset="0,0,0,0">
                <w:txbxContent>
                  <w:p>
                    <w:pPr>
                      <w:spacing w:line="306" w:lineRule="exact" w:before="0"/>
                      <w:ind w:left="0" w:right="0" w:firstLine="0"/>
                      <w:jc w:val="left"/>
                      <w:rPr>
                        <w:sz w:val="23"/>
                      </w:rPr>
                    </w:pPr>
                    <w:r>
                      <w:rPr>
                        <w:rFonts w:ascii="Arial" w:hAnsi="Arial" w:eastAsia="Arial"/>
                        <w:sz w:val="23"/>
                      </w:rPr>
                      <w:t>≥ </w:t>
                    </w:r>
                    <w:r>
                      <w:rPr>
                        <w:sz w:val="23"/>
                      </w:rPr>
                      <w:t>6 歲</w:t>
                    </w:r>
                  </w:p>
                </w:txbxContent>
              </v:textbox>
              <w10:wrap type="none"/>
            </v:shape>
            <v:shape style="position:absolute;left:5553;top:7554;width:645;height:293" type="#_x0000_t202" filled="false" stroked="false">
              <v:textbox inset="0,0,0,0">
                <w:txbxContent>
                  <w:p>
                    <w:pPr>
                      <w:spacing w:line="292" w:lineRule="exact" w:before="0"/>
                      <w:ind w:left="0" w:right="0" w:firstLine="0"/>
                      <w:jc w:val="left"/>
                      <w:rPr>
                        <w:sz w:val="22"/>
                      </w:rPr>
                    </w:pPr>
                    <w:r>
                      <w:rPr>
                        <w:sz w:val="22"/>
                      </w:rPr>
                      <w:t>FLQ-S</w:t>
                    </w:r>
                  </w:p>
                </w:txbxContent>
              </v:textbox>
              <w10:wrap type="none"/>
            </v:shape>
            <v:shape style="position:absolute;left:7235;top:7224;width:3246;height:876" type="#_x0000_t202" filled="false" stroked="false">
              <v:textbox inset="0,0,0,0">
                <w:txbxContent>
                  <w:p>
                    <w:pPr>
                      <w:spacing w:line="298" w:lineRule="exact" w:before="0"/>
                      <w:ind w:left="0" w:right="18" w:firstLine="0"/>
                      <w:jc w:val="center"/>
                      <w:rPr>
                        <w:sz w:val="22"/>
                      </w:rPr>
                    </w:pPr>
                    <w:r>
                      <w:rPr>
                        <w:sz w:val="22"/>
                      </w:rPr>
                      <w:t>BDQ-LFX*/MFX*-LZD*-CFZ*</w:t>
                    </w:r>
                  </w:p>
                  <w:p>
                    <w:pPr>
                      <w:spacing w:line="165" w:lineRule="auto" w:before="40"/>
                      <w:ind w:left="0" w:right="18" w:firstLine="0"/>
                      <w:jc w:val="center"/>
                      <w:rPr>
                        <w:sz w:val="22"/>
                      </w:rPr>
                    </w:pPr>
                    <w:r>
                      <w:rPr>
                        <w:sz w:val="22"/>
                      </w:rPr>
                      <w:t>Additional drugs if needed CS*, EMB*, DLM, PZA*</w:t>
                    </w:r>
                  </w:p>
                </w:txbxContent>
              </v:textbox>
              <w10:wrap type="none"/>
            </v:shape>
            <w10:wrap type="topAndBottom"/>
          </v:group>
        </w:pict>
      </w:r>
    </w:p>
    <w:p>
      <w:pPr>
        <w:spacing w:after="0"/>
        <w:rPr>
          <w:sz w:val="27"/>
        </w:rPr>
        <w:sectPr>
          <w:pgSz w:w="12250" w:h="17190"/>
          <w:pgMar w:header="0" w:footer="734" w:top="1460" w:bottom="1020" w:left="1020" w:right="0"/>
        </w:sectPr>
      </w:pPr>
    </w:p>
    <w:p>
      <w:pPr>
        <w:spacing w:before="25"/>
        <w:ind w:left="3252" w:right="0" w:firstLine="0"/>
        <w:jc w:val="left"/>
        <w:rPr>
          <w:b/>
          <w:sz w:val="25"/>
        </w:rPr>
      </w:pPr>
      <w:r>
        <w:rPr/>
        <w:pict>
          <v:group style="position:absolute;margin-left:571pt;margin-top:2.705852pt;width:41.4pt;height:201.8pt;mso-position-horizontal-relative:page;mso-position-vertical-relative:paragraph;z-index:251942912" coordorigin="11420,54" coordsize="828,4036">
            <v:shape style="position:absolute;left:11420;top:54;width:828;height:4036" coordorigin="11420,54" coordsize="828,4036" path="m12247,54l11585,54,11521,67,11468,103,11433,155,11420,219,11420,3925,11433,3989,11468,4042,11521,4077,11585,4090,12247,4090,12247,4090,12247,54,12247,54xe" filled="true" fillcolor="#a6a6a6" stroked="false">
              <v:path arrowok="t"/>
              <v:fill type="solid"/>
            </v:shape>
            <v:shape style="position:absolute;left:11420;top:54;width:828;height:4036" type="#_x0000_t202" filled="false" stroked="false">
              <v:textbox inset="0,0,0,0">
                <w:txbxContent>
                  <w:p>
                    <w:pPr>
                      <w:spacing w:line="146" w:lineRule="auto" w:before="126"/>
                      <w:ind w:left="135" w:right="469" w:firstLine="0"/>
                      <w:jc w:val="both"/>
                      <w:rPr>
                        <w:sz w:val="22"/>
                      </w:rPr>
                    </w:pPr>
                    <w:r>
                      <w:rPr>
                        <w:sz w:val="22"/>
                      </w:rPr>
                      <w:t>第十三章</w:t>
                    </w:r>
                  </w:p>
                  <w:p>
                    <w:pPr>
                      <w:spacing w:line="141" w:lineRule="auto" w:before="179"/>
                      <w:ind w:left="135" w:right="469" w:firstLine="0"/>
                      <w:jc w:val="both"/>
                      <w:rPr>
                        <w:sz w:val="22"/>
                      </w:rPr>
                    </w:pPr>
                    <w:r>
                      <w:rPr>
                        <w:sz w:val="22"/>
                      </w:rPr>
                      <w:t>兒童抗藥性結核病之診療</w:t>
                    </w:r>
                  </w:p>
                </w:txbxContent>
              </v:textbox>
              <w10:wrap type="none"/>
            </v:shape>
            <w10:wrap type="none"/>
          </v:group>
        </w:pict>
      </w:r>
      <w:bookmarkStart w:name="表13-2 兒童抗結核藥物建議劑量" w:id="168"/>
      <w:bookmarkEnd w:id="168"/>
      <w:r>
        <w:rPr/>
      </w:r>
      <w:r>
        <w:rPr>
          <w:b/>
          <w:color w:val="FF0000"/>
          <w:spacing w:val="-1"/>
          <w:sz w:val="24"/>
        </w:rPr>
        <w:t>表 </w:t>
      </w:r>
      <w:r>
        <w:rPr>
          <w:b/>
          <w:color w:val="FF0000"/>
          <w:sz w:val="24"/>
        </w:rPr>
        <w:t>13-2</w:t>
      </w:r>
      <w:r>
        <w:rPr>
          <w:b/>
          <w:color w:val="FF0000"/>
          <w:spacing w:val="59"/>
          <w:sz w:val="24"/>
        </w:rPr>
        <w:t> </w:t>
      </w:r>
      <w:r>
        <w:rPr>
          <w:b/>
          <w:color w:val="FF0000"/>
          <w:sz w:val="25"/>
        </w:rPr>
        <w:t>兒童抗結核藥物建議劑量</w:t>
      </w:r>
    </w:p>
    <w:p>
      <w:pPr>
        <w:pStyle w:val="BodyText"/>
        <w:spacing w:before="13"/>
        <w:rPr>
          <w:b/>
          <w:sz w:val="3"/>
        </w:rPr>
      </w:pPr>
    </w:p>
    <w:tbl>
      <w:tblPr>
        <w:tblW w:w="0" w:type="auto"/>
        <w:jc w:val="left"/>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94"/>
        <w:gridCol w:w="4676"/>
        <w:gridCol w:w="2127"/>
      </w:tblGrid>
      <w:tr>
        <w:trPr>
          <w:trHeight w:val="343" w:hRule="atLeast"/>
        </w:trPr>
        <w:tc>
          <w:tcPr>
            <w:tcW w:w="2694" w:type="dxa"/>
            <w:shd w:val="clear" w:color="auto" w:fill="F1F1F1"/>
          </w:tcPr>
          <w:p>
            <w:pPr>
              <w:pStyle w:val="TableParagraph"/>
              <w:spacing w:line="324" w:lineRule="exact"/>
              <w:ind w:left="631"/>
              <w:rPr>
                <w:b/>
                <w:sz w:val="24"/>
              </w:rPr>
            </w:pPr>
            <w:r>
              <w:rPr>
                <w:b/>
                <w:sz w:val="24"/>
              </w:rPr>
              <w:t>藥物（縮寫）</w:t>
            </w:r>
          </w:p>
        </w:tc>
        <w:tc>
          <w:tcPr>
            <w:tcW w:w="4676" w:type="dxa"/>
            <w:shd w:val="clear" w:color="auto" w:fill="F1F1F1"/>
          </w:tcPr>
          <w:p>
            <w:pPr>
              <w:pStyle w:val="TableParagraph"/>
              <w:spacing w:line="324" w:lineRule="exact"/>
              <w:ind w:left="1843" w:right="1813"/>
              <w:jc w:val="center"/>
              <w:rPr>
                <w:b/>
                <w:sz w:val="24"/>
              </w:rPr>
            </w:pPr>
            <w:r>
              <w:rPr>
                <w:b/>
                <w:sz w:val="24"/>
              </w:rPr>
              <w:t>建議劑量</w:t>
            </w:r>
          </w:p>
        </w:tc>
        <w:tc>
          <w:tcPr>
            <w:tcW w:w="2127" w:type="dxa"/>
            <w:shd w:val="clear" w:color="auto" w:fill="F1F1F1"/>
          </w:tcPr>
          <w:p>
            <w:pPr>
              <w:pStyle w:val="TableParagraph"/>
              <w:spacing w:line="324" w:lineRule="exact"/>
              <w:ind w:left="349"/>
              <w:rPr>
                <w:b/>
                <w:sz w:val="24"/>
              </w:rPr>
            </w:pPr>
            <w:r>
              <w:rPr>
                <w:b/>
                <w:sz w:val="24"/>
              </w:rPr>
              <w:t>每日最大劑量</w:t>
            </w:r>
          </w:p>
        </w:tc>
      </w:tr>
      <w:tr>
        <w:trPr>
          <w:trHeight w:val="632" w:hRule="atLeast"/>
        </w:trPr>
        <w:tc>
          <w:tcPr>
            <w:tcW w:w="2694" w:type="dxa"/>
          </w:tcPr>
          <w:p>
            <w:pPr>
              <w:pStyle w:val="TableParagraph"/>
              <w:spacing w:line="316" w:lineRule="exact"/>
              <w:ind w:left="71"/>
              <w:rPr>
                <w:sz w:val="24"/>
              </w:rPr>
            </w:pPr>
            <w:r>
              <w:rPr>
                <w:sz w:val="24"/>
              </w:rPr>
              <w:t>levofloxacin</w:t>
            </w:r>
          </w:p>
          <w:p>
            <w:pPr>
              <w:pStyle w:val="TableParagraph"/>
              <w:spacing w:line="297" w:lineRule="exact"/>
              <w:ind w:left="71"/>
              <w:rPr>
                <w:sz w:val="24"/>
              </w:rPr>
            </w:pPr>
            <w:r>
              <w:rPr>
                <w:sz w:val="24"/>
              </w:rPr>
              <w:t>(LFX)</w:t>
            </w:r>
          </w:p>
        </w:tc>
        <w:tc>
          <w:tcPr>
            <w:tcW w:w="4676" w:type="dxa"/>
          </w:tcPr>
          <w:p>
            <w:pPr>
              <w:pStyle w:val="TableParagraph"/>
              <w:spacing w:line="316" w:lineRule="exact"/>
              <w:ind w:left="71"/>
              <w:rPr>
                <w:sz w:val="24"/>
              </w:rPr>
            </w:pPr>
            <w:r>
              <w:rPr>
                <w:sz w:val="24"/>
              </w:rPr>
              <w:t>未滿 5 歲：20 mg/kg/ day BID</w:t>
            </w:r>
          </w:p>
          <w:p>
            <w:pPr>
              <w:pStyle w:val="TableParagraph"/>
              <w:spacing w:line="297" w:lineRule="exact"/>
              <w:ind w:left="71"/>
              <w:rPr>
                <w:sz w:val="24"/>
              </w:rPr>
            </w:pPr>
            <w:r>
              <w:rPr>
                <w:sz w:val="24"/>
              </w:rPr>
              <w:t>5 歲(含)：15mg/kg/day QD</w:t>
            </w:r>
          </w:p>
        </w:tc>
        <w:tc>
          <w:tcPr>
            <w:tcW w:w="2127" w:type="dxa"/>
          </w:tcPr>
          <w:p>
            <w:pPr>
              <w:pStyle w:val="TableParagraph"/>
              <w:spacing w:line="379" w:lineRule="exact"/>
              <w:ind w:left="55"/>
              <w:rPr>
                <w:sz w:val="24"/>
              </w:rPr>
            </w:pPr>
            <w:r>
              <w:rPr>
                <w:sz w:val="24"/>
              </w:rPr>
              <w:t>750mg</w:t>
            </w:r>
          </w:p>
        </w:tc>
      </w:tr>
      <w:tr>
        <w:trPr>
          <w:trHeight w:val="631" w:hRule="atLeast"/>
        </w:trPr>
        <w:tc>
          <w:tcPr>
            <w:tcW w:w="2694" w:type="dxa"/>
          </w:tcPr>
          <w:p>
            <w:pPr>
              <w:pStyle w:val="TableParagraph"/>
              <w:spacing w:line="315" w:lineRule="exact"/>
              <w:ind w:left="71"/>
              <w:rPr>
                <w:sz w:val="24"/>
              </w:rPr>
            </w:pPr>
            <w:r>
              <w:rPr>
                <w:sz w:val="24"/>
              </w:rPr>
              <w:t>moxifloxacin</w:t>
            </w:r>
          </w:p>
          <w:p>
            <w:pPr>
              <w:pStyle w:val="TableParagraph"/>
              <w:spacing w:line="297" w:lineRule="exact"/>
              <w:ind w:left="71"/>
              <w:rPr>
                <w:sz w:val="24"/>
              </w:rPr>
            </w:pPr>
            <w:r>
              <w:rPr>
                <w:sz w:val="24"/>
              </w:rPr>
              <w:t>(MFX)</w:t>
            </w:r>
          </w:p>
        </w:tc>
        <w:tc>
          <w:tcPr>
            <w:tcW w:w="4676" w:type="dxa"/>
          </w:tcPr>
          <w:p>
            <w:pPr>
              <w:pStyle w:val="TableParagraph"/>
              <w:spacing w:before="94"/>
              <w:ind w:left="71"/>
              <w:rPr>
                <w:sz w:val="24"/>
              </w:rPr>
            </w:pPr>
            <w:r>
              <w:rPr>
                <w:sz w:val="24"/>
              </w:rPr>
              <w:t>10-15 mg/kg/day QD</w:t>
            </w:r>
          </w:p>
        </w:tc>
        <w:tc>
          <w:tcPr>
            <w:tcW w:w="2127" w:type="dxa"/>
          </w:tcPr>
          <w:p>
            <w:pPr>
              <w:pStyle w:val="TableParagraph"/>
              <w:spacing w:line="377" w:lineRule="exact"/>
              <w:ind w:left="55"/>
              <w:rPr>
                <w:sz w:val="24"/>
              </w:rPr>
            </w:pPr>
            <w:r>
              <w:rPr>
                <w:sz w:val="24"/>
              </w:rPr>
              <w:t>400 mg</w:t>
            </w:r>
          </w:p>
        </w:tc>
      </w:tr>
      <w:tr>
        <w:trPr>
          <w:trHeight w:val="948" w:hRule="atLeast"/>
        </w:trPr>
        <w:tc>
          <w:tcPr>
            <w:tcW w:w="2694" w:type="dxa"/>
          </w:tcPr>
          <w:p>
            <w:pPr>
              <w:pStyle w:val="TableParagraph"/>
              <w:spacing w:line="172" w:lineRule="auto" w:before="183"/>
              <w:ind w:left="71" w:right="1246"/>
              <w:rPr>
                <w:sz w:val="24"/>
              </w:rPr>
            </w:pPr>
            <w:r>
              <w:rPr>
                <w:sz w:val="24"/>
              </w:rPr>
              <w:t>bedaquiline (BDQ)</w:t>
            </w:r>
          </w:p>
        </w:tc>
        <w:tc>
          <w:tcPr>
            <w:tcW w:w="4676" w:type="dxa"/>
          </w:tcPr>
          <w:p>
            <w:pPr>
              <w:pStyle w:val="TableParagraph"/>
              <w:spacing w:line="316" w:lineRule="exact"/>
              <w:ind w:left="71"/>
              <w:rPr>
                <w:sz w:val="24"/>
              </w:rPr>
            </w:pPr>
            <w:r>
              <w:rPr>
                <w:sz w:val="24"/>
              </w:rPr>
              <w:t>適用於六歲以上兒童</w:t>
            </w:r>
          </w:p>
          <w:p>
            <w:pPr>
              <w:pStyle w:val="TableParagraph"/>
              <w:spacing w:line="316" w:lineRule="exact"/>
              <w:ind w:left="71"/>
              <w:rPr>
                <w:sz w:val="24"/>
              </w:rPr>
            </w:pPr>
            <w:r>
              <w:rPr>
                <w:sz w:val="24"/>
              </w:rPr>
              <w:t>6 mg/kg/day x 14 天之後 3-4 mg/kg</w:t>
            </w:r>
          </w:p>
          <w:p>
            <w:pPr>
              <w:pStyle w:val="TableParagraph"/>
              <w:spacing w:line="297" w:lineRule="exact"/>
              <w:ind w:left="71"/>
              <w:rPr>
                <w:sz w:val="24"/>
              </w:rPr>
            </w:pPr>
            <w:r>
              <w:rPr>
                <w:sz w:val="24"/>
              </w:rPr>
              <w:t>一星期三次</w:t>
            </w:r>
          </w:p>
        </w:tc>
        <w:tc>
          <w:tcPr>
            <w:tcW w:w="2127" w:type="dxa"/>
          </w:tcPr>
          <w:p>
            <w:pPr>
              <w:pStyle w:val="TableParagraph"/>
              <w:spacing w:line="310" w:lineRule="exact"/>
              <w:ind w:left="55"/>
              <w:rPr>
                <w:sz w:val="24"/>
              </w:rPr>
            </w:pPr>
            <w:r>
              <w:rPr>
                <w:sz w:val="24"/>
              </w:rPr>
              <w:t>前兩週 400 mg，</w:t>
            </w:r>
          </w:p>
          <w:p>
            <w:pPr>
              <w:pStyle w:val="TableParagraph"/>
              <w:spacing w:line="304" w:lineRule="exact"/>
              <w:ind w:left="55"/>
              <w:rPr>
                <w:sz w:val="24"/>
              </w:rPr>
            </w:pPr>
            <w:r>
              <w:rPr>
                <w:sz w:val="24"/>
              </w:rPr>
              <w:t>後改為 200 mg</w:t>
            </w:r>
          </w:p>
          <w:p>
            <w:pPr>
              <w:pStyle w:val="TableParagraph"/>
              <w:spacing w:line="315" w:lineRule="exact"/>
              <w:ind w:left="55"/>
              <w:rPr>
                <w:sz w:val="24"/>
              </w:rPr>
            </w:pPr>
            <w:r>
              <w:rPr>
                <w:sz w:val="24"/>
              </w:rPr>
              <w:t>TIW</w:t>
            </w:r>
          </w:p>
        </w:tc>
      </w:tr>
      <w:tr>
        <w:trPr>
          <w:trHeight w:val="631" w:hRule="atLeast"/>
        </w:trPr>
        <w:tc>
          <w:tcPr>
            <w:tcW w:w="2694" w:type="dxa"/>
          </w:tcPr>
          <w:p>
            <w:pPr>
              <w:pStyle w:val="TableParagraph"/>
              <w:spacing w:line="315" w:lineRule="exact"/>
              <w:ind w:left="71"/>
              <w:rPr>
                <w:sz w:val="24"/>
              </w:rPr>
            </w:pPr>
            <w:r>
              <w:rPr>
                <w:sz w:val="24"/>
              </w:rPr>
              <w:t>linezolid</w:t>
            </w:r>
          </w:p>
          <w:p>
            <w:pPr>
              <w:pStyle w:val="TableParagraph"/>
              <w:spacing w:line="297" w:lineRule="exact"/>
              <w:ind w:left="71"/>
              <w:rPr>
                <w:sz w:val="24"/>
              </w:rPr>
            </w:pPr>
            <w:r>
              <w:rPr>
                <w:sz w:val="24"/>
              </w:rPr>
              <w:t>(LZD)</w:t>
            </w:r>
          </w:p>
        </w:tc>
        <w:tc>
          <w:tcPr>
            <w:tcW w:w="4676" w:type="dxa"/>
          </w:tcPr>
          <w:p>
            <w:pPr>
              <w:pStyle w:val="TableParagraph"/>
              <w:spacing w:line="315" w:lineRule="exact"/>
              <w:ind w:left="71"/>
              <w:rPr>
                <w:sz w:val="24"/>
              </w:rPr>
            </w:pPr>
            <w:r>
              <w:rPr>
                <w:sz w:val="24"/>
              </w:rPr>
              <w:t>&lt;16 kg：15 mg/kg/day QD</w:t>
            </w:r>
          </w:p>
          <w:p>
            <w:pPr>
              <w:pStyle w:val="TableParagraph"/>
              <w:spacing w:line="297" w:lineRule="exact"/>
              <w:ind w:left="71"/>
              <w:rPr>
                <w:sz w:val="24"/>
              </w:rPr>
            </w:pPr>
            <w:r>
              <w:rPr>
                <w:sz w:val="24"/>
              </w:rPr>
              <w:t>≧16 kg：10-12 mg/kg/day QD</w:t>
            </w:r>
          </w:p>
        </w:tc>
        <w:tc>
          <w:tcPr>
            <w:tcW w:w="2127" w:type="dxa"/>
          </w:tcPr>
          <w:p>
            <w:pPr>
              <w:pStyle w:val="TableParagraph"/>
              <w:spacing w:line="377" w:lineRule="exact"/>
              <w:ind w:left="55"/>
              <w:rPr>
                <w:sz w:val="24"/>
              </w:rPr>
            </w:pPr>
            <w:r>
              <w:rPr>
                <w:sz w:val="24"/>
              </w:rPr>
              <w:t>600mg</w:t>
            </w:r>
          </w:p>
        </w:tc>
      </w:tr>
      <w:tr>
        <w:trPr>
          <w:trHeight w:val="631" w:hRule="atLeast"/>
        </w:trPr>
        <w:tc>
          <w:tcPr>
            <w:tcW w:w="2694" w:type="dxa"/>
          </w:tcPr>
          <w:p>
            <w:pPr>
              <w:pStyle w:val="TableParagraph"/>
              <w:spacing w:line="316" w:lineRule="exact"/>
              <w:ind w:left="71"/>
              <w:rPr>
                <w:sz w:val="24"/>
              </w:rPr>
            </w:pPr>
            <w:r>
              <w:rPr>
                <w:sz w:val="24"/>
              </w:rPr>
              <w:t>clofazimine</w:t>
            </w:r>
          </w:p>
          <w:p>
            <w:pPr>
              <w:pStyle w:val="TableParagraph"/>
              <w:spacing w:line="296" w:lineRule="exact"/>
              <w:ind w:left="71"/>
              <w:rPr>
                <w:sz w:val="24"/>
              </w:rPr>
            </w:pPr>
            <w:r>
              <w:rPr>
                <w:sz w:val="24"/>
              </w:rPr>
              <w:t>(CFZ)</w:t>
            </w:r>
          </w:p>
        </w:tc>
        <w:tc>
          <w:tcPr>
            <w:tcW w:w="4676" w:type="dxa"/>
          </w:tcPr>
          <w:p>
            <w:pPr>
              <w:pStyle w:val="TableParagraph"/>
              <w:spacing w:before="94"/>
              <w:ind w:left="71"/>
              <w:rPr>
                <w:sz w:val="24"/>
              </w:rPr>
            </w:pPr>
            <w:r>
              <w:rPr>
                <w:sz w:val="24"/>
              </w:rPr>
              <w:t>2-5 mg/kg/day QD</w:t>
            </w:r>
          </w:p>
        </w:tc>
        <w:tc>
          <w:tcPr>
            <w:tcW w:w="2127" w:type="dxa"/>
          </w:tcPr>
          <w:p>
            <w:pPr>
              <w:pStyle w:val="TableParagraph"/>
              <w:spacing w:line="378" w:lineRule="exact"/>
              <w:ind w:left="55"/>
              <w:rPr>
                <w:sz w:val="24"/>
              </w:rPr>
            </w:pPr>
            <w:r>
              <w:rPr>
                <w:sz w:val="24"/>
              </w:rPr>
              <w:t>100mg</w:t>
            </w:r>
          </w:p>
        </w:tc>
      </w:tr>
      <w:tr>
        <w:trPr>
          <w:trHeight w:val="632" w:hRule="atLeast"/>
        </w:trPr>
        <w:tc>
          <w:tcPr>
            <w:tcW w:w="2694" w:type="dxa"/>
          </w:tcPr>
          <w:p>
            <w:pPr>
              <w:pStyle w:val="TableParagraph"/>
              <w:spacing w:line="316" w:lineRule="exact"/>
              <w:ind w:left="71"/>
              <w:rPr>
                <w:sz w:val="24"/>
              </w:rPr>
            </w:pPr>
            <w:r>
              <w:rPr>
                <w:sz w:val="24"/>
              </w:rPr>
              <w:t>cycloserine</w:t>
            </w:r>
          </w:p>
          <w:p>
            <w:pPr>
              <w:pStyle w:val="TableParagraph"/>
              <w:spacing w:line="297" w:lineRule="exact"/>
              <w:ind w:left="71"/>
              <w:rPr>
                <w:sz w:val="24"/>
              </w:rPr>
            </w:pPr>
            <w:r>
              <w:rPr>
                <w:sz w:val="24"/>
              </w:rPr>
              <w:t>(CS)</w:t>
            </w:r>
          </w:p>
        </w:tc>
        <w:tc>
          <w:tcPr>
            <w:tcW w:w="4676" w:type="dxa"/>
          </w:tcPr>
          <w:p>
            <w:pPr>
              <w:pStyle w:val="TableParagraph"/>
              <w:spacing w:before="95"/>
              <w:ind w:left="71"/>
              <w:rPr>
                <w:sz w:val="24"/>
              </w:rPr>
            </w:pPr>
            <w:r>
              <w:rPr>
                <w:sz w:val="24"/>
              </w:rPr>
              <w:t>15-20 mg/kg/day BID</w:t>
            </w:r>
          </w:p>
        </w:tc>
        <w:tc>
          <w:tcPr>
            <w:tcW w:w="2127" w:type="dxa"/>
          </w:tcPr>
          <w:p>
            <w:pPr>
              <w:pStyle w:val="TableParagraph"/>
              <w:spacing w:line="378" w:lineRule="exact"/>
              <w:ind w:left="55"/>
              <w:rPr>
                <w:sz w:val="24"/>
              </w:rPr>
            </w:pPr>
            <w:r>
              <w:rPr>
                <w:sz w:val="24"/>
              </w:rPr>
              <w:t>1 gm</w:t>
            </w:r>
          </w:p>
        </w:tc>
      </w:tr>
      <w:tr>
        <w:trPr>
          <w:trHeight w:val="631" w:hRule="atLeast"/>
        </w:trPr>
        <w:tc>
          <w:tcPr>
            <w:tcW w:w="2694" w:type="dxa"/>
          </w:tcPr>
          <w:p>
            <w:pPr>
              <w:pStyle w:val="TableParagraph"/>
              <w:spacing w:line="315" w:lineRule="exact"/>
              <w:ind w:left="71"/>
              <w:rPr>
                <w:sz w:val="24"/>
              </w:rPr>
            </w:pPr>
            <w:r>
              <w:rPr>
                <w:sz w:val="24"/>
              </w:rPr>
              <w:t>terizidone</w:t>
            </w:r>
          </w:p>
          <w:p>
            <w:pPr>
              <w:pStyle w:val="TableParagraph"/>
              <w:spacing w:line="297" w:lineRule="exact"/>
              <w:ind w:left="71"/>
              <w:rPr>
                <w:sz w:val="24"/>
              </w:rPr>
            </w:pPr>
            <w:r>
              <w:rPr>
                <w:sz w:val="24"/>
              </w:rPr>
              <w:t>(TRD)</w:t>
            </w:r>
          </w:p>
        </w:tc>
        <w:tc>
          <w:tcPr>
            <w:tcW w:w="4676" w:type="dxa"/>
          </w:tcPr>
          <w:p>
            <w:pPr>
              <w:pStyle w:val="TableParagraph"/>
              <w:spacing w:before="94"/>
              <w:ind w:left="71"/>
              <w:rPr>
                <w:sz w:val="24"/>
              </w:rPr>
            </w:pPr>
            <w:r>
              <w:rPr>
                <w:sz w:val="24"/>
              </w:rPr>
              <w:t>10-20 mg/kg/day QD</w:t>
            </w:r>
          </w:p>
        </w:tc>
        <w:tc>
          <w:tcPr>
            <w:tcW w:w="2127" w:type="dxa"/>
          </w:tcPr>
          <w:p>
            <w:pPr>
              <w:pStyle w:val="TableParagraph"/>
              <w:spacing w:line="377" w:lineRule="exact"/>
              <w:ind w:left="55"/>
              <w:rPr>
                <w:sz w:val="24"/>
              </w:rPr>
            </w:pPr>
            <w:r>
              <w:rPr>
                <w:sz w:val="24"/>
              </w:rPr>
              <w:t>1 gm</w:t>
            </w:r>
          </w:p>
        </w:tc>
      </w:tr>
      <w:tr>
        <w:trPr>
          <w:trHeight w:val="631" w:hRule="atLeast"/>
        </w:trPr>
        <w:tc>
          <w:tcPr>
            <w:tcW w:w="2694" w:type="dxa"/>
          </w:tcPr>
          <w:p>
            <w:pPr>
              <w:pStyle w:val="TableParagraph"/>
              <w:spacing w:line="316" w:lineRule="exact"/>
              <w:ind w:left="71"/>
              <w:rPr>
                <w:sz w:val="24"/>
              </w:rPr>
            </w:pPr>
            <w:r>
              <w:rPr>
                <w:sz w:val="24"/>
              </w:rPr>
              <w:t>ethambutol</w:t>
            </w:r>
          </w:p>
          <w:p>
            <w:pPr>
              <w:pStyle w:val="TableParagraph"/>
              <w:spacing w:line="296" w:lineRule="exact"/>
              <w:ind w:left="71"/>
              <w:rPr>
                <w:sz w:val="24"/>
              </w:rPr>
            </w:pPr>
            <w:r>
              <w:rPr>
                <w:sz w:val="24"/>
              </w:rPr>
              <w:t>(EMB)</w:t>
            </w:r>
          </w:p>
        </w:tc>
        <w:tc>
          <w:tcPr>
            <w:tcW w:w="4676" w:type="dxa"/>
          </w:tcPr>
          <w:p>
            <w:pPr>
              <w:pStyle w:val="TableParagraph"/>
              <w:spacing w:line="316" w:lineRule="exact"/>
              <w:ind w:left="71"/>
              <w:rPr>
                <w:sz w:val="24"/>
              </w:rPr>
            </w:pPr>
            <w:r>
              <w:rPr>
                <w:sz w:val="24"/>
              </w:rPr>
              <w:t>15-25 mg/kg/day QD，如果需使用超過 2</w:t>
            </w:r>
          </w:p>
          <w:p>
            <w:pPr>
              <w:pStyle w:val="TableParagraph"/>
              <w:spacing w:line="296" w:lineRule="exact"/>
              <w:ind w:left="71"/>
              <w:rPr>
                <w:sz w:val="24"/>
              </w:rPr>
            </w:pPr>
            <w:r>
              <w:rPr>
                <w:sz w:val="24"/>
              </w:rPr>
              <w:t>個月建議劑量 15 mg/kg/day</w:t>
            </w:r>
          </w:p>
        </w:tc>
        <w:tc>
          <w:tcPr>
            <w:tcW w:w="2127" w:type="dxa"/>
          </w:tcPr>
          <w:p>
            <w:pPr>
              <w:pStyle w:val="TableParagraph"/>
              <w:spacing w:line="379" w:lineRule="exact"/>
              <w:ind w:left="55"/>
              <w:rPr>
                <w:sz w:val="24"/>
              </w:rPr>
            </w:pPr>
            <w:r>
              <w:rPr>
                <w:sz w:val="24"/>
              </w:rPr>
              <w:t>1600 mg</w:t>
            </w:r>
          </w:p>
        </w:tc>
      </w:tr>
      <w:tr>
        <w:trPr>
          <w:trHeight w:val="632" w:hRule="atLeast"/>
        </w:trPr>
        <w:tc>
          <w:tcPr>
            <w:tcW w:w="2694" w:type="dxa"/>
          </w:tcPr>
          <w:p>
            <w:pPr>
              <w:pStyle w:val="TableParagraph"/>
              <w:spacing w:line="316" w:lineRule="exact"/>
              <w:ind w:left="71"/>
              <w:rPr>
                <w:sz w:val="16"/>
              </w:rPr>
            </w:pPr>
            <w:r>
              <w:rPr>
                <w:sz w:val="24"/>
              </w:rPr>
              <w:t>delamanid</w:t>
            </w:r>
            <w:r>
              <w:rPr>
                <w:position w:val="11"/>
                <w:sz w:val="16"/>
              </w:rPr>
              <w:t>1</w:t>
            </w:r>
          </w:p>
          <w:p>
            <w:pPr>
              <w:pStyle w:val="TableParagraph"/>
              <w:spacing w:line="297" w:lineRule="exact"/>
              <w:ind w:left="71"/>
              <w:rPr>
                <w:sz w:val="24"/>
              </w:rPr>
            </w:pPr>
            <w:r>
              <w:rPr>
                <w:sz w:val="24"/>
              </w:rPr>
              <w:t>(DLM)</w:t>
            </w:r>
          </w:p>
        </w:tc>
        <w:tc>
          <w:tcPr>
            <w:tcW w:w="4676" w:type="dxa"/>
          </w:tcPr>
          <w:p>
            <w:pPr>
              <w:pStyle w:val="TableParagraph"/>
              <w:spacing w:line="316" w:lineRule="exact"/>
              <w:ind w:left="71"/>
              <w:rPr>
                <w:sz w:val="24"/>
              </w:rPr>
            </w:pPr>
            <w:r>
              <w:rPr>
                <w:sz w:val="24"/>
              </w:rPr>
              <w:t>適用於三歲以上兒童</w:t>
            </w:r>
          </w:p>
          <w:p>
            <w:pPr>
              <w:pStyle w:val="TableParagraph"/>
              <w:spacing w:line="297" w:lineRule="exact"/>
              <w:ind w:left="71"/>
              <w:rPr>
                <w:sz w:val="24"/>
              </w:rPr>
            </w:pPr>
            <w:r>
              <w:rPr>
                <w:sz w:val="24"/>
              </w:rPr>
              <w:t>3-4 mg/kg/day</w:t>
            </w:r>
            <w:r>
              <w:rPr>
                <w:spacing w:val="-5"/>
                <w:sz w:val="24"/>
              </w:rPr>
              <w:t> </w:t>
            </w:r>
            <w:r>
              <w:rPr>
                <w:sz w:val="24"/>
              </w:rPr>
              <w:t>BID</w:t>
            </w:r>
          </w:p>
        </w:tc>
        <w:tc>
          <w:tcPr>
            <w:tcW w:w="2127" w:type="dxa"/>
          </w:tcPr>
          <w:p>
            <w:pPr>
              <w:pStyle w:val="TableParagraph"/>
              <w:spacing w:line="379" w:lineRule="exact"/>
              <w:ind w:left="55"/>
              <w:rPr>
                <w:sz w:val="24"/>
              </w:rPr>
            </w:pPr>
            <w:r>
              <w:rPr>
                <w:sz w:val="24"/>
              </w:rPr>
              <w:t>200mg</w:t>
            </w:r>
          </w:p>
        </w:tc>
      </w:tr>
      <w:tr>
        <w:trPr>
          <w:trHeight w:val="727" w:hRule="atLeast"/>
        </w:trPr>
        <w:tc>
          <w:tcPr>
            <w:tcW w:w="2694" w:type="dxa"/>
          </w:tcPr>
          <w:p>
            <w:pPr>
              <w:pStyle w:val="TableParagraph"/>
              <w:spacing w:line="363" w:lineRule="exact"/>
              <w:ind w:left="71"/>
              <w:rPr>
                <w:sz w:val="24"/>
              </w:rPr>
            </w:pPr>
            <w:r>
              <w:rPr>
                <w:sz w:val="24"/>
              </w:rPr>
              <w:t>pyrazinamide</w:t>
            </w:r>
          </w:p>
          <w:p>
            <w:pPr>
              <w:pStyle w:val="TableParagraph"/>
              <w:spacing w:line="345" w:lineRule="exact"/>
              <w:ind w:left="71"/>
              <w:rPr>
                <w:sz w:val="24"/>
              </w:rPr>
            </w:pPr>
            <w:r>
              <w:rPr>
                <w:sz w:val="24"/>
              </w:rPr>
              <w:t>(PZA)</w:t>
            </w:r>
          </w:p>
        </w:tc>
        <w:tc>
          <w:tcPr>
            <w:tcW w:w="4676" w:type="dxa"/>
          </w:tcPr>
          <w:p>
            <w:pPr>
              <w:pStyle w:val="TableParagraph"/>
              <w:spacing w:before="142"/>
              <w:ind w:left="71"/>
              <w:rPr>
                <w:sz w:val="24"/>
              </w:rPr>
            </w:pPr>
            <w:r>
              <w:rPr>
                <w:sz w:val="24"/>
              </w:rPr>
              <w:t>30-40 mg/kg/day QD</w:t>
            </w:r>
          </w:p>
        </w:tc>
        <w:tc>
          <w:tcPr>
            <w:tcW w:w="2127" w:type="dxa"/>
          </w:tcPr>
          <w:p>
            <w:pPr>
              <w:pStyle w:val="TableParagraph"/>
              <w:spacing w:line="377" w:lineRule="exact"/>
              <w:ind w:left="55"/>
              <w:rPr>
                <w:sz w:val="24"/>
              </w:rPr>
            </w:pPr>
            <w:r>
              <w:rPr>
                <w:sz w:val="24"/>
              </w:rPr>
              <w:t>2 gm</w:t>
            </w:r>
          </w:p>
        </w:tc>
      </w:tr>
      <w:tr>
        <w:trPr>
          <w:trHeight w:val="631" w:hRule="atLeast"/>
        </w:trPr>
        <w:tc>
          <w:tcPr>
            <w:tcW w:w="2694" w:type="dxa"/>
          </w:tcPr>
          <w:p>
            <w:pPr>
              <w:pStyle w:val="TableParagraph"/>
              <w:spacing w:line="316" w:lineRule="exact"/>
              <w:ind w:left="71"/>
              <w:rPr>
                <w:sz w:val="16"/>
              </w:rPr>
            </w:pPr>
            <w:r>
              <w:rPr>
                <w:sz w:val="24"/>
              </w:rPr>
              <w:t>imipenem-cilastatin</w:t>
            </w:r>
            <w:r>
              <w:rPr>
                <w:position w:val="11"/>
                <w:sz w:val="16"/>
              </w:rPr>
              <w:t>2</w:t>
            </w:r>
          </w:p>
          <w:p>
            <w:pPr>
              <w:pStyle w:val="TableParagraph"/>
              <w:spacing w:line="296" w:lineRule="exact"/>
              <w:ind w:left="71"/>
              <w:rPr>
                <w:sz w:val="24"/>
              </w:rPr>
            </w:pPr>
            <w:r>
              <w:rPr>
                <w:sz w:val="24"/>
              </w:rPr>
              <w:t>(IMP–CLN)</w:t>
            </w:r>
          </w:p>
        </w:tc>
        <w:tc>
          <w:tcPr>
            <w:tcW w:w="4676" w:type="dxa"/>
          </w:tcPr>
          <w:p>
            <w:pPr>
              <w:pStyle w:val="TableParagraph"/>
              <w:spacing w:line="316" w:lineRule="exact"/>
              <w:ind w:left="71"/>
              <w:rPr>
                <w:sz w:val="24"/>
              </w:rPr>
            </w:pPr>
            <w:r>
              <w:rPr>
                <w:sz w:val="24"/>
              </w:rPr>
              <w:t>Dosage based on imipenem component</w:t>
            </w:r>
          </w:p>
          <w:p>
            <w:pPr>
              <w:pStyle w:val="TableParagraph"/>
              <w:spacing w:line="296" w:lineRule="exact"/>
              <w:ind w:left="71"/>
              <w:rPr>
                <w:sz w:val="24"/>
              </w:rPr>
            </w:pPr>
            <w:r>
              <w:rPr>
                <w:sz w:val="24"/>
              </w:rPr>
              <w:t>15-25 mg/kg/dose q6h IV</w:t>
            </w:r>
          </w:p>
        </w:tc>
        <w:tc>
          <w:tcPr>
            <w:tcW w:w="2127" w:type="dxa"/>
          </w:tcPr>
          <w:p>
            <w:pPr>
              <w:pStyle w:val="TableParagraph"/>
              <w:spacing w:line="379" w:lineRule="exact"/>
              <w:ind w:left="55"/>
              <w:rPr>
                <w:sz w:val="24"/>
              </w:rPr>
            </w:pPr>
            <w:r>
              <w:rPr>
                <w:sz w:val="24"/>
              </w:rPr>
              <w:t>4 g</w:t>
            </w:r>
          </w:p>
        </w:tc>
      </w:tr>
      <w:tr>
        <w:trPr>
          <w:trHeight w:val="632" w:hRule="atLeast"/>
        </w:trPr>
        <w:tc>
          <w:tcPr>
            <w:tcW w:w="2694" w:type="dxa"/>
          </w:tcPr>
          <w:p>
            <w:pPr>
              <w:pStyle w:val="TableParagraph"/>
              <w:spacing w:line="316" w:lineRule="exact"/>
              <w:ind w:left="71"/>
              <w:rPr>
                <w:sz w:val="16"/>
              </w:rPr>
            </w:pPr>
            <w:r>
              <w:rPr>
                <w:sz w:val="24"/>
              </w:rPr>
              <w:t>meropenem</w:t>
            </w:r>
            <w:r>
              <w:rPr>
                <w:position w:val="11"/>
                <w:sz w:val="16"/>
              </w:rPr>
              <w:t>2</w:t>
            </w:r>
          </w:p>
          <w:p>
            <w:pPr>
              <w:pStyle w:val="TableParagraph"/>
              <w:spacing w:line="297" w:lineRule="exact"/>
              <w:ind w:left="71"/>
              <w:rPr>
                <w:sz w:val="24"/>
              </w:rPr>
            </w:pPr>
            <w:r>
              <w:rPr>
                <w:sz w:val="24"/>
              </w:rPr>
              <w:t>(MPM)</w:t>
            </w:r>
          </w:p>
        </w:tc>
        <w:tc>
          <w:tcPr>
            <w:tcW w:w="4676" w:type="dxa"/>
          </w:tcPr>
          <w:p>
            <w:pPr>
              <w:pStyle w:val="TableParagraph"/>
              <w:spacing w:before="95"/>
              <w:ind w:left="71"/>
              <w:rPr>
                <w:sz w:val="24"/>
              </w:rPr>
            </w:pPr>
            <w:r>
              <w:rPr>
                <w:sz w:val="24"/>
              </w:rPr>
              <w:t>20-40 mg/kg/dose q8h IV</w:t>
            </w:r>
          </w:p>
        </w:tc>
        <w:tc>
          <w:tcPr>
            <w:tcW w:w="2127" w:type="dxa"/>
          </w:tcPr>
          <w:p>
            <w:pPr>
              <w:pStyle w:val="TableParagraph"/>
              <w:spacing w:line="379" w:lineRule="exact"/>
              <w:ind w:left="55"/>
              <w:rPr>
                <w:sz w:val="24"/>
              </w:rPr>
            </w:pPr>
            <w:r>
              <w:rPr>
                <w:sz w:val="24"/>
              </w:rPr>
              <w:t>6gm</w:t>
            </w:r>
          </w:p>
        </w:tc>
      </w:tr>
      <w:tr>
        <w:trPr>
          <w:trHeight w:val="631" w:hRule="atLeast"/>
        </w:trPr>
        <w:tc>
          <w:tcPr>
            <w:tcW w:w="2694" w:type="dxa"/>
          </w:tcPr>
          <w:p>
            <w:pPr>
              <w:pStyle w:val="TableParagraph"/>
              <w:spacing w:line="315" w:lineRule="exact"/>
              <w:ind w:left="71"/>
              <w:rPr>
                <w:sz w:val="24"/>
              </w:rPr>
            </w:pPr>
            <w:r>
              <w:rPr>
                <w:sz w:val="24"/>
              </w:rPr>
              <w:t>amikacin</w:t>
            </w:r>
          </w:p>
          <w:p>
            <w:pPr>
              <w:pStyle w:val="TableParagraph"/>
              <w:spacing w:line="297" w:lineRule="exact"/>
              <w:ind w:left="71"/>
              <w:rPr>
                <w:sz w:val="24"/>
              </w:rPr>
            </w:pPr>
            <w:r>
              <w:rPr>
                <w:sz w:val="24"/>
              </w:rPr>
              <w:t>(AMK)</w:t>
            </w:r>
          </w:p>
        </w:tc>
        <w:tc>
          <w:tcPr>
            <w:tcW w:w="4676" w:type="dxa"/>
          </w:tcPr>
          <w:p>
            <w:pPr>
              <w:pStyle w:val="TableParagraph"/>
              <w:spacing w:before="94"/>
              <w:ind w:left="71"/>
              <w:rPr>
                <w:sz w:val="24"/>
              </w:rPr>
            </w:pPr>
            <w:r>
              <w:rPr>
                <w:sz w:val="24"/>
              </w:rPr>
              <w:t>15-20 mg/kg/day QD IM</w:t>
            </w:r>
          </w:p>
        </w:tc>
        <w:tc>
          <w:tcPr>
            <w:tcW w:w="2127" w:type="dxa"/>
          </w:tcPr>
          <w:p>
            <w:pPr>
              <w:pStyle w:val="TableParagraph"/>
              <w:spacing w:line="377" w:lineRule="exact"/>
              <w:ind w:left="55"/>
              <w:rPr>
                <w:sz w:val="24"/>
              </w:rPr>
            </w:pPr>
            <w:r>
              <w:rPr>
                <w:sz w:val="24"/>
              </w:rPr>
              <w:t>1 gm</w:t>
            </w:r>
          </w:p>
        </w:tc>
      </w:tr>
      <w:tr>
        <w:trPr>
          <w:trHeight w:val="631" w:hRule="atLeast"/>
        </w:trPr>
        <w:tc>
          <w:tcPr>
            <w:tcW w:w="2694" w:type="dxa"/>
          </w:tcPr>
          <w:p>
            <w:pPr>
              <w:pStyle w:val="TableParagraph"/>
              <w:spacing w:line="316" w:lineRule="exact"/>
              <w:ind w:left="71"/>
              <w:rPr>
                <w:sz w:val="24"/>
              </w:rPr>
            </w:pPr>
            <w:r>
              <w:rPr>
                <w:sz w:val="24"/>
              </w:rPr>
              <w:t>streptomycin</w:t>
            </w:r>
          </w:p>
          <w:p>
            <w:pPr>
              <w:pStyle w:val="TableParagraph"/>
              <w:spacing w:line="296" w:lineRule="exact"/>
              <w:ind w:left="71"/>
              <w:rPr>
                <w:sz w:val="24"/>
              </w:rPr>
            </w:pPr>
            <w:r>
              <w:rPr>
                <w:sz w:val="24"/>
              </w:rPr>
              <w:t>(SM)</w:t>
            </w:r>
          </w:p>
        </w:tc>
        <w:tc>
          <w:tcPr>
            <w:tcW w:w="4676" w:type="dxa"/>
          </w:tcPr>
          <w:p>
            <w:pPr>
              <w:pStyle w:val="TableParagraph"/>
              <w:spacing w:before="94"/>
              <w:ind w:left="71"/>
              <w:rPr>
                <w:sz w:val="24"/>
              </w:rPr>
            </w:pPr>
            <w:r>
              <w:rPr>
                <w:sz w:val="24"/>
              </w:rPr>
              <w:t>20-40 mg/kg/day QD IM</w:t>
            </w:r>
          </w:p>
        </w:tc>
        <w:tc>
          <w:tcPr>
            <w:tcW w:w="2127" w:type="dxa"/>
          </w:tcPr>
          <w:p>
            <w:pPr>
              <w:pStyle w:val="TableParagraph"/>
              <w:spacing w:line="379" w:lineRule="exact"/>
              <w:ind w:left="55"/>
              <w:rPr>
                <w:sz w:val="24"/>
              </w:rPr>
            </w:pPr>
            <w:r>
              <w:rPr>
                <w:sz w:val="24"/>
              </w:rPr>
              <w:t>1 gm</w:t>
            </w:r>
          </w:p>
        </w:tc>
      </w:tr>
      <w:tr>
        <w:trPr>
          <w:trHeight w:val="632" w:hRule="atLeast"/>
        </w:trPr>
        <w:tc>
          <w:tcPr>
            <w:tcW w:w="2694" w:type="dxa"/>
          </w:tcPr>
          <w:p>
            <w:pPr>
              <w:pStyle w:val="TableParagraph"/>
              <w:spacing w:line="316" w:lineRule="exact"/>
              <w:ind w:left="71"/>
              <w:rPr>
                <w:sz w:val="24"/>
              </w:rPr>
            </w:pPr>
            <w:r>
              <w:rPr>
                <w:sz w:val="24"/>
              </w:rPr>
              <w:t>ethionamide</w:t>
            </w:r>
          </w:p>
          <w:p>
            <w:pPr>
              <w:pStyle w:val="TableParagraph"/>
              <w:spacing w:line="297" w:lineRule="exact"/>
              <w:ind w:left="71"/>
              <w:rPr>
                <w:sz w:val="24"/>
              </w:rPr>
            </w:pPr>
            <w:r>
              <w:rPr>
                <w:sz w:val="24"/>
              </w:rPr>
              <w:t>(ETO)</w:t>
            </w:r>
          </w:p>
        </w:tc>
        <w:tc>
          <w:tcPr>
            <w:tcW w:w="4676" w:type="dxa"/>
          </w:tcPr>
          <w:p>
            <w:pPr>
              <w:pStyle w:val="TableParagraph"/>
              <w:spacing w:before="95"/>
              <w:ind w:left="71"/>
              <w:rPr>
                <w:sz w:val="24"/>
              </w:rPr>
            </w:pPr>
            <w:r>
              <w:rPr>
                <w:sz w:val="24"/>
              </w:rPr>
              <w:t>15-20 mg/kg/day QD</w:t>
            </w:r>
          </w:p>
        </w:tc>
        <w:tc>
          <w:tcPr>
            <w:tcW w:w="2127" w:type="dxa"/>
          </w:tcPr>
          <w:p>
            <w:pPr>
              <w:pStyle w:val="TableParagraph"/>
              <w:spacing w:line="379" w:lineRule="exact"/>
              <w:ind w:left="55"/>
              <w:rPr>
                <w:sz w:val="24"/>
              </w:rPr>
            </w:pPr>
            <w:r>
              <w:rPr>
                <w:sz w:val="24"/>
              </w:rPr>
              <w:t>500 mg</w:t>
            </w:r>
          </w:p>
        </w:tc>
      </w:tr>
      <w:tr>
        <w:trPr>
          <w:trHeight w:val="631" w:hRule="atLeast"/>
        </w:trPr>
        <w:tc>
          <w:tcPr>
            <w:tcW w:w="2694" w:type="dxa"/>
          </w:tcPr>
          <w:p>
            <w:pPr>
              <w:pStyle w:val="TableParagraph"/>
              <w:spacing w:line="315" w:lineRule="exact"/>
              <w:ind w:left="71"/>
              <w:rPr>
                <w:sz w:val="24"/>
              </w:rPr>
            </w:pPr>
            <w:r>
              <w:rPr>
                <w:sz w:val="24"/>
              </w:rPr>
              <w:t>prothionamide</w:t>
            </w:r>
          </w:p>
          <w:p>
            <w:pPr>
              <w:pStyle w:val="TableParagraph"/>
              <w:spacing w:line="297" w:lineRule="exact"/>
              <w:ind w:left="71"/>
              <w:rPr>
                <w:sz w:val="24"/>
              </w:rPr>
            </w:pPr>
            <w:r>
              <w:rPr>
                <w:sz w:val="24"/>
              </w:rPr>
              <w:t>(PTO)</w:t>
            </w:r>
          </w:p>
        </w:tc>
        <w:tc>
          <w:tcPr>
            <w:tcW w:w="4676" w:type="dxa"/>
          </w:tcPr>
          <w:p>
            <w:pPr>
              <w:pStyle w:val="TableParagraph"/>
              <w:spacing w:before="94"/>
              <w:ind w:left="71"/>
              <w:rPr>
                <w:sz w:val="24"/>
              </w:rPr>
            </w:pPr>
            <w:r>
              <w:rPr>
                <w:sz w:val="24"/>
              </w:rPr>
              <w:t>15-20 mg/kg/day div BID</w:t>
            </w:r>
          </w:p>
        </w:tc>
        <w:tc>
          <w:tcPr>
            <w:tcW w:w="2127" w:type="dxa"/>
          </w:tcPr>
          <w:p>
            <w:pPr>
              <w:pStyle w:val="TableParagraph"/>
              <w:spacing w:line="377" w:lineRule="exact"/>
              <w:ind w:left="55"/>
              <w:rPr>
                <w:sz w:val="24"/>
              </w:rPr>
            </w:pPr>
            <w:r>
              <w:rPr>
                <w:sz w:val="24"/>
              </w:rPr>
              <w:t>1 gm</w:t>
            </w:r>
          </w:p>
        </w:tc>
      </w:tr>
      <w:tr>
        <w:trPr>
          <w:trHeight w:val="631" w:hRule="atLeast"/>
        </w:trPr>
        <w:tc>
          <w:tcPr>
            <w:tcW w:w="2694" w:type="dxa"/>
          </w:tcPr>
          <w:p>
            <w:pPr>
              <w:pStyle w:val="TableParagraph"/>
              <w:spacing w:line="318" w:lineRule="exact"/>
              <w:ind w:left="71"/>
              <w:rPr>
                <w:sz w:val="24"/>
              </w:rPr>
            </w:pPr>
            <w:r>
              <w:rPr>
                <w:i/>
                <w:sz w:val="25"/>
              </w:rPr>
              <w:t>p</w:t>
            </w:r>
            <w:r>
              <w:rPr>
                <w:sz w:val="24"/>
              </w:rPr>
              <w:t>-aminosalicylic acid</w:t>
            </w:r>
          </w:p>
          <w:p>
            <w:pPr>
              <w:pStyle w:val="TableParagraph"/>
              <w:spacing w:line="293" w:lineRule="exact"/>
              <w:ind w:left="71"/>
              <w:rPr>
                <w:sz w:val="24"/>
              </w:rPr>
            </w:pPr>
            <w:r>
              <w:rPr>
                <w:sz w:val="24"/>
              </w:rPr>
              <w:t>(PAS)</w:t>
            </w:r>
          </w:p>
        </w:tc>
        <w:tc>
          <w:tcPr>
            <w:tcW w:w="4676" w:type="dxa"/>
          </w:tcPr>
          <w:p>
            <w:pPr>
              <w:pStyle w:val="TableParagraph"/>
              <w:spacing w:before="94"/>
              <w:ind w:left="71"/>
              <w:rPr>
                <w:sz w:val="24"/>
              </w:rPr>
            </w:pPr>
            <w:r>
              <w:rPr>
                <w:sz w:val="24"/>
              </w:rPr>
              <w:t>200-300 mg/kg/day div BID</w:t>
            </w:r>
          </w:p>
        </w:tc>
        <w:tc>
          <w:tcPr>
            <w:tcW w:w="2127" w:type="dxa"/>
          </w:tcPr>
          <w:p>
            <w:pPr>
              <w:pStyle w:val="TableParagraph"/>
              <w:spacing w:line="378" w:lineRule="exact"/>
              <w:ind w:left="55"/>
              <w:rPr>
                <w:sz w:val="24"/>
              </w:rPr>
            </w:pPr>
            <w:r>
              <w:rPr>
                <w:sz w:val="24"/>
              </w:rPr>
              <w:t>12 gm</w:t>
            </w:r>
          </w:p>
        </w:tc>
      </w:tr>
      <w:tr>
        <w:trPr>
          <w:trHeight w:val="632" w:hRule="atLeast"/>
        </w:trPr>
        <w:tc>
          <w:tcPr>
            <w:tcW w:w="2694" w:type="dxa"/>
          </w:tcPr>
          <w:p>
            <w:pPr>
              <w:pStyle w:val="TableParagraph"/>
              <w:spacing w:line="316" w:lineRule="exact"/>
              <w:ind w:left="71"/>
              <w:rPr>
                <w:sz w:val="16"/>
              </w:rPr>
            </w:pPr>
            <w:r>
              <w:rPr>
                <w:sz w:val="24"/>
              </w:rPr>
              <w:t>isoniazid</w:t>
            </w:r>
            <w:r>
              <w:rPr>
                <w:position w:val="11"/>
                <w:sz w:val="16"/>
              </w:rPr>
              <w:t>3</w:t>
            </w:r>
          </w:p>
          <w:p>
            <w:pPr>
              <w:pStyle w:val="TableParagraph"/>
              <w:spacing w:line="297" w:lineRule="exact"/>
              <w:ind w:left="71"/>
              <w:rPr>
                <w:sz w:val="24"/>
              </w:rPr>
            </w:pPr>
            <w:r>
              <w:rPr>
                <w:sz w:val="24"/>
              </w:rPr>
              <w:t>(INH)</w:t>
            </w:r>
          </w:p>
        </w:tc>
        <w:tc>
          <w:tcPr>
            <w:tcW w:w="4676" w:type="dxa"/>
          </w:tcPr>
          <w:p>
            <w:pPr>
              <w:pStyle w:val="TableParagraph"/>
              <w:spacing w:before="95"/>
              <w:ind w:left="71"/>
              <w:rPr>
                <w:sz w:val="24"/>
              </w:rPr>
            </w:pPr>
            <w:r>
              <w:rPr>
                <w:sz w:val="24"/>
              </w:rPr>
              <w:t>15-20mg/kg QD</w:t>
            </w:r>
          </w:p>
        </w:tc>
        <w:tc>
          <w:tcPr>
            <w:tcW w:w="2127" w:type="dxa"/>
          </w:tcPr>
          <w:p>
            <w:pPr>
              <w:pStyle w:val="TableParagraph"/>
              <w:spacing w:line="378" w:lineRule="exact"/>
              <w:ind w:left="55"/>
              <w:rPr>
                <w:sz w:val="24"/>
              </w:rPr>
            </w:pPr>
            <w:r>
              <w:rPr>
                <w:sz w:val="24"/>
              </w:rPr>
              <w:t>600 mg</w:t>
            </w:r>
          </w:p>
        </w:tc>
      </w:tr>
    </w:tbl>
    <w:p>
      <w:pPr>
        <w:spacing w:line="299" w:lineRule="exact" w:before="0"/>
        <w:ind w:left="340" w:right="0" w:firstLine="0"/>
        <w:jc w:val="left"/>
        <w:rPr>
          <w:sz w:val="22"/>
        </w:rPr>
      </w:pPr>
      <w:r>
        <w:rPr>
          <w:position w:val="10"/>
          <w:sz w:val="14"/>
        </w:rPr>
        <w:t>1 </w:t>
      </w:r>
      <w:r>
        <w:rPr>
          <w:sz w:val="22"/>
        </w:rPr>
        <w:t>DLM 50mg 顆粒劑型剝半後應於 12 小時內服用。</w:t>
      </w:r>
    </w:p>
    <w:p>
      <w:pPr>
        <w:spacing w:line="280" w:lineRule="exact" w:before="0"/>
        <w:ind w:left="340" w:right="0" w:firstLine="0"/>
        <w:jc w:val="left"/>
        <w:rPr>
          <w:sz w:val="22"/>
        </w:rPr>
      </w:pPr>
      <w:r>
        <w:rPr>
          <w:position w:val="10"/>
          <w:sz w:val="14"/>
        </w:rPr>
        <w:t>2</w:t>
      </w:r>
      <w:r>
        <w:rPr>
          <w:sz w:val="22"/>
        </w:rPr>
        <w:t>amoxicillin-clavulanate 劑量 amoxicillin 40mg/kg bid (最高 4000mg)，需在注射 MPM 或</w:t>
      </w:r>
    </w:p>
    <w:p>
      <w:pPr>
        <w:spacing w:line="273" w:lineRule="exact" w:before="0"/>
        <w:ind w:left="428" w:right="0" w:firstLine="0"/>
        <w:jc w:val="left"/>
        <w:rPr>
          <w:sz w:val="22"/>
        </w:rPr>
      </w:pPr>
      <w:r>
        <w:rPr>
          <w:sz w:val="22"/>
        </w:rPr>
        <w:t>IMP–CLN 三十分鐘前給予。</w:t>
      </w:r>
    </w:p>
    <w:p>
      <w:pPr>
        <w:spacing w:line="289" w:lineRule="exact" w:before="0"/>
        <w:ind w:left="340" w:right="0" w:firstLine="0"/>
        <w:jc w:val="left"/>
        <w:rPr>
          <w:sz w:val="22"/>
        </w:rPr>
      </w:pPr>
      <w:r>
        <w:rPr>
          <w:position w:val="10"/>
          <w:sz w:val="14"/>
        </w:rPr>
        <w:t>3</w:t>
      </w:r>
      <w:r>
        <w:rPr>
          <w:sz w:val="22"/>
        </w:rPr>
        <w:t>高劑量的 INH，在病患是 </w:t>
      </w:r>
      <w:r>
        <w:rPr>
          <w:i/>
          <w:sz w:val="23"/>
        </w:rPr>
        <w:t>inhA </w:t>
      </w:r>
      <w:r>
        <w:rPr>
          <w:sz w:val="22"/>
        </w:rPr>
        <w:t>突變且無其他藥物可選擇的情況下可以考慮使用，應同時給予</w:t>
      </w:r>
    </w:p>
    <w:p>
      <w:pPr>
        <w:spacing w:line="340" w:lineRule="exact" w:before="0"/>
        <w:ind w:left="428" w:right="0" w:firstLine="0"/>
        <w:jc w:val="left"/>
        <w:rPr>
          <w:sz w:val="22"/>
        </w:rPr>
      </w:pPr>
      <w:r>
        <w:rPr>
          <w:sz w:val="22"/>
        </w:rPr>
        <w:t>pyridoxine (五歲以下給予 12.5 mg，五歲以上給予 25 mg QD)。</w:t>
      </w:r>
    </w:p>
    <w:p>
      <w:pPr>
        <w:spacing w:after="0" w:line="340" w:lineRule="exact"/>
        <w:jc w:val="left"/>
        <w:rPr>
          <w:sz w:val="22"/>
        </w:rPr>
        <w:sectPr>
          <w:pgSz w:w="12250" w:h="17190"/>
          <w:pgMar w:header="0" w:footer="734" w:top="1420" w:bottom="1020" w:left="1020" w:right="0"/>
        </w:sectPr>
      </w:pPr>
    </w:p>
    <w:p>
      <w:pPr>
        <w:pStyle w:val="Heading7"/>
        <w:spacing w:before="18"/>
        <w:ind w:left="3667"/>
        <w:jc w:val="left"/>
      </w:pPr>
      <w:bookmarkStart w:name="表13-3 副作用及處理方式" w:id="169"/>
      <w:bookmarkEnd w:id="169"/>
      <w:r>
        <w:rPr>
          <w:b w:val="0"/>
        </w:rPr>
      </w:r>
      <w:r>
        <w:rPr/>
        <w:t>表 13-3 副作用及處理方式</w:t>
      </w:r>
    </w:p>
    <w:p>
      <w:pPr>
        <w:pStyle w:val="BodyText"/>
        <w:spacing w:before="12"/>
        <w:rPr>
          <w:b/>
          <w:sz w:val="4"/>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0"/>
        <w:gridCol w:w="1170"/>
        <w:gridCol w:w="2718"/>
        <w:gridCol w:w="4309"/>
      </w:tblGrid>
      <w:tr>
        <w:trPr>
          <w:trHeight w:val="352" w:hRule="atLeast"/>
        </w:trPr>
        <w:tc>
          <w:tcPr>
            <w:tcW w:w="1300" w:type="dxa"/>
            <w:shd w:val="clear" w:color="auto" w:fill="F1F1F1"/>
          </w:tcPr>
          <w:p>
            <w:pPr>
              <w:pStyle w:val="TableParagraph"/>
              <w:spacing w:line="332" w:lineRule="exact"/>
              <w:ind w:left="289"/>
              <w:rPr>
                <w:b/>
                <w:sz w:val="24"/>
              </w:rPr>
            </w:pPr>
            <w:r>
              <w:rPr>
                <w:b/>
                <w:sz w:val="24"/>
              </w:rPr>
              <w:t>副作用</w:t>
            </w:r>
          </w:p>
        </w:tc>
        <w:tc>
          <w:tcPr>
            <w:tcW w:w="1170" w:type="dxa"/>
            <w:shd w:val="clear" w:color="auto" w:fill="F1F1F1"/>
          </w:tcPr>
          <w:p>
            <w:pPr>
              <w:pStyle w:val="TableParagraph"/>
              <w:spacing w:line="332" w:lineRule="exact"/>
              <w:ind w:left="102"/>
              <w:rPr>
                <w:b/>
                <w:sz w:val="24"/>
              </w:rPr>
            </w:pPr>
            <w:r>
              <w:rPr>
                <w:b/>
                <w:sz w:val="24"/>
              </w:rPr>
              <w:t>可能藥物</w:t>
            </w:r>
          </w:p>
        </w:tc>
        <w:tc>
          <w:tcPr>
            <w:tcW w:w="2718" w:type="dxa"/>
            <w:shd w:val="clear" w:color="auto" w:fill="F1F1F1"/>
          </w:tcPr>
          <w:p>
            <w:pPr>
              <w:pStyle w:val="TableParagraph"/>
              <w:spacing w:line="332" w:lineRule="exact"/>
              <w:ind w:left="756"/>
              <w:rPr>
                <w:b/>
                <w:sz w:val="24"/>
              </w:rPr>
            </w:pPr>
            <w:r>
              <w:rPr>
                <w:b/>
                <w:sz w:val="24"/>
              </w:rPr>
              <w:t>偵測副作用</w:t>
            </w:r>
          </w:p>
        </w:tc>
        <w:tc>
          <w:tcPr>
            <w:tcW w:w="4309" w:type="dxa"/>
            <w:shd w:val="clear" w:color="auto" w:fill="F1F1F1"/>
          </w:tcPr>
          <w:p>
            <w:pPr>
              <w:pStyle w:val="TableParagraph"/>
              <w:spacing w:line="332" w:lineRule="exact"/>
              <w:ind w:left="1653" w:right="1646"/>
              <w:jc w:val="center"/>
              <w:rPr>
                <w:b/>
                <w:sz w:val="24"/>
              </w:rPr>
            </w:pPr>
            <w:r>
              <w:rPr>
                <w:b/>
                <w:sz w:val="24"/>
              </w:rPr>
              <w:t>處理原則</w:t>
            </w:r>
          </w:p>
        </w:tc>
      </w:tr>
      <w:tr>
        <w:trPr>
          <w:trHeight w:val="2379" w:hRule="atLeast"/>
        </w:trPr>
        <w:tc>
          <w:tcPr>
            <w:tcW w:w="1300" w:type="dxa"/>
          </w:tcPr>
          <w:p>
            <w:pPr>
              <w:pStyle w:val="TableParagraph"/>
              <w:spacing w:line="394" w:lineRule="exact"/>
              <w:ind w:left="52"/>
              <w:rPr>
                <w:sz w:val="24"/>
              </w:rPr>
            </w:pPr>
            <w:r>
              <w:rPr>
                <w:sz w:val="24"/>
              </w:rPr>
              <w:t>肝毒性</w:t>
            </w:r>
          </w:p>
        </w:tc>
        <w:tc>
          <w:tcPr>
            <w:tcW w:w="1170" w:type="dxa"/>
          </w:tcPr>
          <w:p>
            <w:pPr>
              <w:pStyle w:val="TableParagraph"/>
              <w:spacing w:line="184" w:lineRule="auto" w:before="26"/>
              <w:ind w:left="73" w:right="79"/>
              <w:rPr>
                <w:sz w:val="24"/>
              </w:rPr>
            </w:pPr>
            <w:r>
              <w:rPr>
                <w:sz w:val="24"/>
              </w:rPr>
              <w:t>PZA RMP </w:t>
            </w:r>
            <w:r>
              <w:rPr>
                <w:spacing w:val="-1"/>
                <w:w w:val="95"/>
                <w:sz w:val="24"/>
              </w:rPr>
              <w:t>ETO/PTO </w:t>
            </w:r>
            <w:r>
              <w:rPr>
                <w:sz w:val="24"/>
              </w:rPr>
              <w:t>BDQ</w:t>
            </w:r>
          </w:p>
          <w:p>
            <w:pPr>
              <w:pStyle w:val="TableParagraph"/>
              <w:spacing w:line="184" w:lineRule="auto"/>
              <w:ind w:left="73" w:right="633"/>
              <w:rPr>
                <w:sz w:val="24"/>
              </w:rPr>
            </w:pPr>
            <w:r>
              <w:rPr>
                <w:w w:val="95"/>
                <w:sz w:val="24"/>
              </w:rPr>
              <w:t>PAS </w:t>
            </w:r>
            <w:r>
              <w:rPr>
                <w:sz w:val="24"/>
              </w:rPr>
              <w:t>CFZ</w:t>
            </w:r>
          </w:p>
          <w:p>
            <w:pPr>
              <w:pStyle w:val="TableParagraph"/>
              <w:spacing w:line="294" w:lineRule="exact"/>
              <w:ind w:left="73"/>
              <w:rPr>
                <w:sz w:val="24"/>
              </w:rPr>
            </w:pPr>
            <w:r>
              <w:rPr>
                <w:sz w:val="24"/>
              </w:rPr>
              <w:t>DLM</w:t>
            </w:r>
          </w:p>
        </w:tc>
        <w:tc>
          <w:tcPr>
            <w:tcW w:w="2718" w:type="dxa"/>
          </w:tcPr>
          <w:p>
            <w:pPr>
              <w:pStyle w:val="TableParagraph"/>
              <w:spacing w:line="394" w:lineRule="exact"/>
              <w:ind w:left="61"/>
              <w:rPr>
                <w:sz w:val="24"/>
              </w:rPr>
            </w:pPr>
            <w:r>
              <w:rPr>
                <w:sz w:val="24"/>
              </w:rPr>
              <w:t>黃疸、腹痛、食慾下降</w:t>
            </w:r>
          </w:p>
        </w:tc>
        <w:tc>
          <w:tcPr>
            <w:tcW w:w="4309" w:type="dxa"/>
          </w:tcPr>
          <w:p>
            <w:pPr>
              <w:pStyle w:val="TableParagraph"/>
              <w:spacing w:line="184" w:lineRule="auto" w:before="26"/>
              <w:ind w:left="61" w:right="-29"/>
              <w:jc w:val="both"/>
              <w:rPr>
                <w:sz w:val="24"/>
              </w:rPr>
            </w:pPr>
            <w:r>
              <w:rPr>
                <w:spacing w:val="16"/>
                <w:w w:val="95"/>
                <w:sz w:val="24"/>
              </w:rPr>
              <w:t>如果</w:t>
            </w:r>
            <w:r>
              <w:rPr>
                <w:spacing w:val="-6"/>
                <w:w w:val="95"/>
                <w:sz w:val="24"/>
              </w:rPr>
              <w:t>AST/ALT</w:t>
            </w:r>
            <w:r>
              <w:rPr>
                <w:spacing w:val="-2"/>
                <w:w w:val="95"/>
                <w:sz w:val="24"/>
              </w:rPr>
              <w:t> 超過正常五倍應立即停藥， </w:t>
            </w:r>
            <w:r>
              <w:rPr>
                <w:spacing w:val="-7"/>
                <w:w w:val="95"/>
                <w:sz w:val="24"/>
              </w:rPr>
              <w:t>待肝功能恢復正常後，依據肝毒性較小的</w:t>
            </w:r>
            <w:r>
              <w:rPr>
                <w:spacing w:val="27"/>
                <w:w w:val="95"/>
                <w:sz w:val="24"/>
              </w:rPr>
              <w:t>藥物依序加回： </w:t>
            </w:r>
            <w:r>
              <w:rPr>
                <w:w w:val="95"/>
                <w:sz w:val="24"/>
              </w:rPr>
              <w:t>E-CFZ-LZD,MFX/LFX, </w:t>
            </w:r>
            <w:r>
              <w:rPr>
                <w:sz w:val="24"/>
              </w:rPr>
              <w:t>DLM</w:t>
            </w:r>
            <w:r>
              <w:rPr>
                <w:spacing w:val="-5"/>
                <w:sz w:val="24"/>
              </w:rPr>
              <w:t>。肝毒性較高的藥物 </w:t>
            </w:r>
            <w:r>
              <w:rPr>
                <w:spacing w:val="-7"/>
                <w:sz w:val="24"/>
              </w:rPr>
              <w:t>BDQ,ETO-H-Z </w:t>
            </w:r>
            <w:r>
              <w:rPr>
                <w:spacing w:val="-3"/>
                <w:sz w:val="24"/>
              </w:rPr>
              <w:t>最後再加，需每兩天密切追蹤肝功能。</w:t>
            </w:r>
          </w:p>
        </w:tc>
      </w:tr>
      <w:tr>
        <w:trPr>
          <w:trHeight w:val="1040" w:hRule="atLeast"/>
        </w:trPr>
        <w:tc>
          <w:tcPr>
            <w:tcW w:w="1300" w:type="dxa"/>
          </w:tcPr>
          <w:p>
            <w:pPr>
              <w:pStyle w:val="TableParagraph"/>
              <w:spacing w:line="396" w:lineRule="exact"/>
              <w:ind w:left="52"/>
              <w:rPr>
                <w:sz w:val="24"/>
              </w:rPr>
            </w:pPr>
            <w:r>
              <w:rPr>
                <w:sz w:val="24"/>
              </w:rPr>
              <w:t>視力問題</w:t>
            </w:r>
          </w:p>
        </w:tc>
        <w:tc>
          <w:tcPr>
            <w:tcW w:w="1170" w:type="dxa"/>
          </w:tcPr>
          <w:p>
            <w:pPr>
              <w:pStyle w:val="TableParagraph"/>
              <w:spacing w:line="184" w:lineRule="auto" w:before="27"/>
              <w:ind w:left="73" w:right="582"/>
              <w:rPr>
                <w:sz w:val="24"/>
              </w:rPr>
            </w:pPr>
            <w:r>
              <w:rPr>
                <w:w w:val="95"/>
                <w:sz w:val="24"/>
              </w:rPr>
              <w:t>EMB </w:t>
            </w:r>
            <w:r>
              <w:rPr>
                <w:sz w:val="24"/>
              </w:rPr>
              <w:t>LZD</w:t>
            </w:r>
          </w:p>
        </w:tc>
        <w:tc>
          <w:tcPr>
            <w:tcW w:w="2718" w:type="dxa"/>
          </w:tcPr>
          <w:p>
            <w:pPr>
              <w:pStyle w:val="TableParagraph"/>
              <w:spacing w:line="184" w:lineRule="auto" w:before="27"/>
              <w:ind w:left="61" w:right="58"/>
              <w:rPr>
                <w:sz w:val="24"/>
              </w:rPr>
            </w:pPr>
            <w:r>
              <w:rPr>
                <w:w w:val="95"/>
                <w:sz w:val="24"/>
              </w:rPr>
              <w:t>基本視力檢測包括視力與辨色力，用藥前及用藥後</w:t>
            </w:r>
          </w:p>
          <w:p>
            <w:pPr>
              <w:pStyle w:val="TableParagraph"/>
              <w:spacing w:line="313" w:lineRule="exact"/>
              <w:ind w:left="61"/>
              <w:rPr>
                <w:sz w:val="24"/>
              </w:rPr>
            </w:pPr>
            <w:r>
              <w:rPr>
                <w:sz w:val="24"/>
              </w:rPr>
              <w:t>每月追蹤</w:t>
            </w:r>
          </w:p>
        </w:tc>
        <w:tc>
          <w:tcPr>
            <w:tcW w:w="4309" w:type="dxa"/>
          </w:tcPr>
          <w:p>
            <w:pPr>
              <w:pStyle w:val="TableParagraph"/>
              <w:spacing w:line="184" w:lineRule="auto" w:before="27"/>
              <w:ind w:left="61" w:right="61"/>
              <w:rPr>
                <w:sz w:val="24"/>
              </w:rPr>
            </w:pPr>
            <w:r>
              <w:rPr>
                <w:w w:val="95"/>
                <w:sz w:val="24"/>
              </w:rPr>
              <w:t>懷疑視神經炎應立即停用相關藥物，會診</w:t>
            </w:r>
            <w:r>
              <w:rPr>
                <w:sz w:val="24"/>
              </w:rPr>
              <w:t>眼科，必要時給予 prednisolone</w:t>
            </w:r>
          </w:p>
          <w:p>
            <w:pPr>
              <w:pStyle w:val="TableParagraph"/>
              <w:spacing w:line="313" w:lineRule="exact"/>
              <w:ind w:left="61"/>
              <w:rPr>
                <w:sz w:val="24"/>
              </w:rPr>
            </w:pPr>
            <w:r>
              <w:rPr>
                <w:sz w:val="24"/>
              </w:rPr>
              <w:t>1 mg/kg/day。</w:t>
            </w:r>
          </w:p>
        </w:tc>
      </w:tr>
      <w:tr>
        <w:trPr>
          <w:trHeight w:val="1038" w:hRule="atLeast"/>
        </w:trPr>
        <w:tc>
          <w:tcPr>
            <w:tcW w:w="1300" w:type="dxa"/>
          </w:tcPr>
          <w:p>
            <w:pPr>
              <w:pStyle w:val="TableParagraph"/>
              <w:spacing w:line="394" w:lineRule="exact"/>
              <w:ind w:left="52"/>
              <w:rPr>
                <w:sz w:val="24"/>
              </w:rPr>
            </w:pPr>
            <w:r>
              <w:rPr>
                <w:sz w:val="24"/>
              </w:rPr>
              <w:t>貧血</w:t>
            </w:r>
          </w:p>
        </w:tc>
        <w:tc>
          <w:tcPr>
            <w:tcW w:w="1170" w:type="dxa"/>
          </w:tcPr>
          <w:p>
            <w:pPr>
              <w:pStyle w:val="TableParagraph"/>
              <w:spacing w:line="394" w:lineRule="exact"/>
              <w:ind w:left="73"/>
              <w:rPr>
                <w:sz w:val="24"/>
              </w:rPr>
            </w:pPr>
            <w:r>
              <w:rPr>
                <w:sz w:val="24"/>
              </w:rPr>
              <w:t>LZD</w:t>
            </w:r>
          </w:p>
        </w:tc>
        <w:tc>
          <w:tcPr>
            <w:tcW w:w="2718" w:type="dxa"/>
          </w:tcPr>
          <w:p>
            <w:pPr>
              <w:pStyle w:val="TableParagraph"/>
              <w:spacing w:line="394" w:lineRule="exact"/>
              <w:ind w:left="61"/>
              <w:rPr>
                <w:sz w:val="24"/>
              </w:rPr>
            </w:pPr>
            <w:r>
              <w:rPr>
                <w:sz w:val="24"/>
              </w:rPr>
              <w:t>使用LZD應每月檢測CBC</w:t>
            </w:r>
          </w:p>
        </w:tc>
        <w:tc>
          <w:tcPr>
            <w:tcW w:w="4309" w:type="dxa"/>
          </w:tcPr>
          <w:p>
            <w:pPr>
              <w:pStyle w:val="TableParagraph"/>
              <w:spacing w:line="184" w:lineRule="auto" w:before="26"/>
              <w:ind w:left="61" w:right="274" w:hanging="1"/>
              <w:rPr>
                <w:sz w:val="24"/>
              </w:rPr>
            </w:pPr>
            <w:r>
              <w:rPr>
                <w:spacing w:val="-6"/>
                <w:sz w:val="24"/>
              </w:rPr>
              <w:t>如果 </w:t>
            </w:r>
            <w:r>
              <w:rPr>
                <w:sz w:val="24"/>
              </w:rPr>
              <w:t>Hb</w:t>
            </w:r>
            <w:r>
              <w:rPr>
                <w:spacing w:val="-11"/>
                <w:sz w:val="24"/>
              </w:rPr>
              <w:t> &lt; </w:t>
            </w:r>
            <w:r>
              <w:rPr>
                <w:sz w:val="24"/>
              </w:rPr>
              <w:t>10 g/dL</w:t>
            </w:r>
            <w:r>
              <w:rPr>
                <w:spacing w:val="-4"/>
                <w:sz w:val="24"/>
              </w:rPr>
              <w:t>，停用 </w:t>
            </w:r>
            <w:r>
              <w:rPr>
                <w:sz w:val="24"/>
              </w:rPr>
              <w:t>LZD</w:t>
            </w:r>
            <w:r>
              <w:rPr>
                <w:spacing w:val="-5"/>
                <w:sz w:val="24"/>
              </w:rPr>
              <w:t> 直到貧血恢復正常，可考慮改用較低劑量</w:t>
            </w:r>
          </w:p>
          <w:p>
            <w:pPr>
              <w:pStyle w:val="TableParagraph"/>
              <w:spacing w:line="313" w:lineRule="exact"/>
              <w:ind w:left="61"/>
              <w:rPr>
                <w:sz w:val="24"/>
              </w:rPr>
            </w:pPr>
            <w:r>
              <w:rPr>
                <w:sz w:val="24"/>
              </w:rPr>
              <w:t>(10 mg/kg/day)。</w:t>
            </w:r>
          </w:p>
        </w:tc>
      </w:tr>
      <w:tr>
        <w:trPr>
          <w:trHeight w:val="1038" w:hRule="atLeast"/>
        </w:trPr>
        <w:tc>
          <w:tcPr>
            <w:tcW w:w="1300" w:type="dxa"/>
          </w:tcPr>
          <w:p>
            <w:pPr>
              <w:pStyle w:val="TableParagraph"/>
              <w:spacing w:line="394" w:lineRule="exact"/>
              <w:ind w:left="52"/>
              <w:rPr>
                <w:sz w:val="24"/>
              </w:rPr>
            </w:pPr>
            <w:r>
              <w:rPr>
                <w:sz w:val="24"/>
              </w:rPr>
              <w:t>血小板低下</w:t>
            </w:r>
          </w:p>
        </w:tc>
        <w:tc>
          <w:tcPr>
            <w:tcW w:w="1170" w:type="dxa"/>
          </w:tcPr>
          <w:p>
            <w:pPr>
              <w:pStyle w:val="TableParagraph"/>
              <w:spacing w:line="394" w:lineRule="exact"/>
              <w:ind w:left="73"/>
              <w:rPr>
                <w:sz w:val="24"/>
              </w:rPr>
            </w:pPr>
            <w:r>
              <w:rPr>
                <w:sz w:val="24"/>
              </w:rPr>
              <w:t>LZD</w:t>
            </w:r>
          </w:p>
        </w:tc>
        <w:tc>
          <w:tcPr>
            <w:tcW w:w="2718" w:type="dxa"/>
          </w:tcPr>
          <w:p>
            <w:pPr>
              <w:pStyle w:val="TableParagraph"/>
              <w:spacing w:line="394" w:lineRule="exact"/>
              <w:ind w:left="61"/>
              <w:rPr>
                <w:sz w:val="24"/>
              </w:rPr>
            </w:pPr>
            <w:r>
              <w:rPr>
                <w:sz w:val="24"/>
              </w:rPr>
              <w:t>使用LZD應每月檢測CBC</w:t>
            </w:r>
          </w:p>
        </w:tc>
        <w:tc>
          <w:tcPr>
            <w:tcW w:w="4309" w:type="dxa"/>
          </w:tcPr>
          <w:p>
            <w:pPr>
              <w:pStyle w:val="TableParagraph"/>
              <w:spacing w:line="343" w:lineRule="exact"/>
              <w:ind w:left="61"/>
              <w:rPr>
                <w:sz w:val="24"/>
              </w:rPr>
            </w:pPr>
            <w:r>
              <w:rPr>
                <w:sz w:val="24"/>
              </w:rPr>
              <w:t>如果 血小板&lt; 75,000/mm</w:t>
            </w:r>
            <w:r>
              <w:rPr>
                <w:position w:val="11"/>
                <w:sz w:val="16"/>
              </w:rPr>
              <w:t>3</w:t>
            </w:r>
            <w:r>
              <w:rPr>
                <w:sz w:val="24"/>
              </w:rPr>
              <w:t>，停用 LZD</w:t>
            </w:r>
          </w:p>
          <w:p>
            <w:pPr>
              <w:pStyle w:val="TableParagraph"/>
              <w:spacing w:line="340" w:lineRule="exact"/>
              <w:ind w:left="61"/>
              <w:rPr>
                <w:sz w:val="24"/>
              </w:rPr>
            </w:pPr>
            <w:r>
              <w:rPr>
                <w:sz w:val="24"/>
              </w:rPr>
              <w:t>直到血小板恢復正常，可考慮改用較低</w:t>
            </w:r>
          </w:p>
          <w:p>
            <w:pPr>
              <w:pStyle w:val="TableParagraph"/>
              <w:spacing w:line="335" w:lineRule="exact"/>
              <w:ind w:left="61"/>
              <w:rPr>
                <w:sz w:val="24"/>
              </w:rPr>
            </w:pPr>
            <w:r>
              <w:rPr>
                <w:sz w:val="24"/>
              </w:rPr>
              <w:t>劑量(10 mg/kg/day)。</w:t>
            </w:r>
          </w:p>
        </w:tc>
      </w:tr>
      <w:tr>
        <w:trPr>
          <w:trHeight w:val="1378" w:hRule="atLeast"/>
        </w:trPr>
        <w:tc>
          <w:tcPr>
            <w:tcW w:w="1300" w:type="dxa"/>
          </w:tcPr>
          <w:p>
            <w:pPr>
              <w:pStyle w:val="TableParagraph"/>
              <w:spacing w:line="394" w:lineRule="exact"/>
              <w:ind w:left="52"/>
              <w:rPr>
                <w:sz w:val="24"/>
              </w:rPr>
            </w:pPr>
            <w:r>
              <w:rPr>
                <w:sz w:val="24"/>
              </w:rPr>
              <w:t>白血球低下</w:t>
            </w:r>
          </w:p>
        </w:tc>
        <w:tc>
          <w:tcPr>
            <w:tcW w:w="1170" w:type="dxa"/>
          </w:tcPr>
          <w:p>
            <w:pPr>
              <w:pStyle w:val="TableParagraph"/>
              <w:spacing w:line="394" w:lineRule="exact"/>
              <w:ind w:left="73"/>
              <w:rPr>
                <w:sz w:val="24"/>
              </w:rPr>
            </w:pPr>
            <w:r>
              <w:rPr>
                <w:sz w:val="24"/>
              </w:rPr>
              <w:t>LZD</w:t>
            </w:r>
          </w:p>
        </w:tc>
        <w:tc>
          <w:tcPr>
            <w:tcW w:w="2718" w:type="dxa"/>
          </w:tcPr>
          <w:p>
            <w:pPr>
              <w:pStyle w:val="TableParagraph"/>
              <w:spacing w:line="394" w:lineRule="exact"/>
              <w:ind w:left="61"/>
              <w:rPr>
                <w:sz w:val="24"/>
              </w:rPr>
            </w:pPr>
            <w:r>
              <w:rPr>
                <w:sz w:val="24"/>
              </w:rPr>
              <w:t>使用LZD應每月檢測CBC</w:t>
            </w:r>
          </w:p>
        </w:tc>
        <w:tc>
          <w:tcPr>
            <w:tcW w:w="4309" w:type="dxa"/>
          </w:tcPr>
          <w:p>
            <w:pPr>
              <w:pStyle w:val="TableParagraph"/>
              <w:spacing w:line="184" w:lineRule="auto" w:before="23"/>
              <w:ind w:left="61" w:right="124"/>
              <w:rPr>
                <w:sz w:val="24"/>
              </w:rPr>
            </w:pPr>
            <w:r>
              <w:rPr>
                <w:sz w:val="24"/>
              </w:rPr>
              <w:t>如 果 lymphocyte &lt; 800/mm</w:t>
            </w:r>
            <w:r>
              <w:rPr>
                <w:position w:val="11"/>
                <w:sz w:val="16"/>
              </w:rPr>
              <w:t>3</w:t>
            </w:r>
            <w:r>
              <w:rPr>
                <w:sz w:val="24"/>
              </w:rPr>
              <w:t>， neutrophil</w:t>
            </w:r>
            <w:r>
              <w:rPr>
                <w:spacing w:val="-16"/>
                <w:sz w:val="24"/>
              </w:rPr>
              <w:t> &lt; </w:t>
            </w:r>
            <w:r>
              <w:rPr>
                <w:sz w:val="24"/>
              </w:rPr>
              <w:t>1500/mm</w:t>
            </w:r>
            <w:r>
              <w:rPr>
                <w:position w:val="11"/>
                <w:sz w:val="16"/>
              </w:rPr>
              <w:t>3</w:t>
            </w:r>
            <w:r>
              <w:rPr>
                <w:spacing w:val="-6"/>
                <w:sz w:val="24"/>
              </w:rPr>
              <w:t>，停用 </w:t>
            </w:r>
            <w:r>
              <w:rPr>
                <w:sz w:val="24"/>
              </w:rPr>
              <w:t>LZD</w:t>
            </w:r>
            <w:r>
              <w:rPr>
                <w:spacing w:val="-11"/>
                <w:sz w:val="24"/>
              </w:rPr>
              <w:t> 直</w:t>
            </w:r>
            <w:r>
              <w:rPr>
                <w:spacing w:val="-7"/>
                <w:sz w:val="24"/>
              </w:rPr>
              <w:t>到白血球恢復正常，可考慮用改較低劑</w:t>
            </w:r>
          </w:p>
          <w:p>
            <w:pPr>
              <w:pStyle w:val="TableParagraph"/>
              <w:spacing w:line="309" w:lineRule="exact"/>
              <w:ind w:left="61"/>
              <w:rPr>
                <w:sz w:val="24"/>
              </w:rPr>
            </w:pPr>
            <w:r>
              <w:rPr>
                <w:sz w:val="24"/>
              </w:rPr>
              <w:t>量(10 mg/kg/day)</w:t>
            </w:r>
          </w:p>
        </w:tc>
      </w:tr>
      <w:tr>
        <w:trPr>
          <w:trHeight w:val="699" w:hRule="atLeast"/>
        </w:trPr>
        <w:tc>
          <w:tcPr>
            <w:tcW w:w="1300" w:type="dxa"/>
          </w:tcPr>
          <w:p>
            <w:pPr>
              <w:pStyle w:val="TableParagraph"/>
              <w:spacing w:line="396" w:lineRule="exact"/>
              <w:ind w:left="52"/>
              <w:rPr>
                <w:sz w:val="24"/>
              </w:rPr>
            </w:pPr>
            <w:r>
              <w:rPr>
                <w:sz w:val="24"/>
              </w:rPr>
              <w:t>聽力障礙</w:t>
            </w:r>
          </w:p>
        </w:tc>
        <w:tc>
          <w:tcPr>
            <w:tcW w:w="1170" w:type="dxa"/>
          </w:tcPr>
          <w:p>
            <w:pPr>
              <w:pStyle w:val="TableParagraph"/>
              <w:spacing w:line="345" w:lineRule="exact"/>
              <w:ind w:left="73"/>
              <w:rPr>
                <w:sz w:val="24"/>
              </w:rPr>
            </w:pPr>
            <w:r>
              <w:rPr>
                <w:sz w:val="24"/>
              </w:rPr>
              <w:t>AMK</w:t>
            </w:r>
          </w:p>
          <w:p>
            <w:pPr>
              <w:pStyle w:val="TableParagraph"/>
              <w:spacing w:line="335" w:lineRule="exact"/>
              <w:ind w:left="73"/>
              <w:rPr>
                <w:sz w:val="24"/>
              </w:rPr>
            </w:pPr>
            <w:r>
              <w:rPr>
                <w:sz w:val="24"/>
              </w:rPr>
              <w:t>SM</w:t>
            </w:r>
          </w:p>
        </w:tc>
        <w:tc>
          <w:tcPr>
            <w:tcW w:w="2718" w:type="dxa"/>
          </w:tcPr>
          <w:p>
            <w:pPr>
              <w:pStyle w:val="TableParagraph"/>
              <w:spacing w:line="345" w:lineRule="exact"/>
              <w:ind w:left="61"/>
              <w:rPr>
                <w:sz w:val="24"/>
              </w:rPr>
            </w:pPr>
            <w:r>
              <w:rPr>
                <w:spacing w:val="-2"/>
                <w:w w:val="95"/>
                <w:sz w:val="24"/>
              </w:rPr>
              <w:t>執行聽力檢測</w:t>
            </w:r>
          </w:p>
          <w:p>
            <w:pPr>
              <w:pStyle w:val="TableParagraph"/>
              <w:spacing w:line="335" w:lineRule="exact"/>
              <w:ind w:left="61"/>
              <w:rPr>
                <w:sz w:val="24"/>
              </w:rPr>
            </w:pPr>
            <w:r>
              <w:rPr>
                <w:sz w:val="24"/>
              </w:rPr>
              <w:t>(audiometry)</w:t>
            </w:r>
          </w:p>
        </w:tc>
        <w:tc>
          <w:tcPr>
            <w:tcW w:w="4309" w:type="dxa"/>
          </w:tcPr>
          <w:p>
            <w:pPr>
              <w:pStyle w:val="TableParagraph"/>
              <w:spacing w:line="345" w:lineRule="exact"/>
              <w:ind w:left="61"/>
              <w:rPr>
                <w:sz w:val="24"/>
              </w:rPr>
            </w:pPr>
            <w:r>
              <w:rPr>
                <w:sz w:val="24"/>
              </w:rPr>
              <w:t>如果聽力下降超過 26 dB (grade1) ，應</w:t>
            </w:r>
          </w:p>
          <w:p>
            <w:pPr>
              <w:pStyle w:val="TableParagraph"/>
              <w:spacing w:line="335" w:lineRule="exact"/>
              <w:ind w:left="61"/>
              <w:rPr>
                <w:sz w:val="24"/>
              </w:rPr>
            </w:pPr>
            <w:r>
              <w:rPr>
                <w:sz w:val="24"/>
              </w:rPr>
              <w:t>停藥使用其他藥物如 DLM。</w:t>
            </w:r>
          </w:p>
        </w:tc>
      </w:tr>
      <w:tr>
        <w:trPr>
          <w:trHeight w:val="3078" w:hRule="atLeast"/>
        </w:trPr>
        <w:tc>
          <w:tcPr>
            <w:tcW w:w="1300" w:type="dxa"/>
          </w:tcPr>
          <w:p>
            <w:pPr>
              <w:pStyle w:val="TableParagraph"/>
              <w:spacing w:line="184" w:lineRule="auto" w:before="26"/>
              <w:ind w:left="52" w:right="59"/>
              <w:rPr>
                <w:sz w:val="24"/>
              </w:rPr>
            </w:pPr>
            <w:r>
              <w:rPr>
                <w:w w:val="95"/>
                <w:sz w:val="24"/>
              </w:rPr>
              <w:t>甲狀腺功能</w:t>
            </w:r>
            <w:r>
              <w:rPr>
                <w:sz w:val="24"/>
              </w:rPr>
              <w:t>低下</w:t>
            </w:r>
          </w:p>
        </w:tc>
        <w:tc>
          <w:tcPr>
            <w:tcW w:w="1170" w:type="dxa"/>
          </w:tcPr>
          <w:p>
            <w:pPr>
              <w:pStyle w:val="TableParagraph"/>
              <w:spacing w:line="184" w:lineRule="auto" w:before="26"/>
              <w:ind w:left="73"/>
              <w:rPr>
                <w:sz w:val="24"/>
              </w:rPr>
            </w:pPr>
            <w:r>
              <w:rPr>
                <w:w w:val="95"/>
                <w:sz w:val="24"/>
              </w:rPr>
              <w:t>ETO/PTO </w:t>
            </w:r>
            <w:r>
              <w:rPr>
                <w:sz w:val="24"/>
              </w:rPr>
              <w:t>PAS</w:t>
            </w:r>
          </w:p>
        </w:tc>
        <w:tc>
          <w:tcPr>
            <w:tcW w:w="2718" w:type="dxa"/>
          </w:tcPr>
          <w:p>
            <w:pPr>
              <w:pStyle w:val="TableParagraph"/>
              <w:spacing w:line="184" w:lineRule="auto" w:before="26"/>
              <w:ind w:left="61" w:right="41"/>
              <w:jc w:val="both"/>
              <w:rPr>
                <w:sz w:val="24"/>
              </w:rPr>
            </w:pPr>
            <w:r>
              <w:rPr>
                <w:spacing w:val="-8"/>
                <w:sz w:val="24"/>
              </w:rPr>
              <w:t>定期檢測 </w:t>
            </w:r>
            <w:r>
              <w:rPr>
                <w:spacing w:val="-6"/>
                <w:sz w:val="24"/>
              </w:rPr>
              <w:t>TSH，</w:t>
            </w:r>
            <w:r>
              <w:rPr>
                <w:spacing w:val="-5"/>
                <w:sz w:val="24"/>
              </w:rPr>
              <w:t>臨床注意</w:t>
            </w:r>
            <w:r>
              <w:rPr>
                <w:spacing w:val="-2"/>
                <w:w w:val="95"/>
                <w:sz w:val="24"/>
              </w:rPr>
              <w:t>是否有甲狀腺亢進或低下</w:t>
            </w:r>
            <w:r>
              <w:rPr>
                <w:sz w:val="24"/>
              </w:rPr>
              <w:t>問題</w:t>
            </w:r>
          </w:p>
        </w:tc>
        <w:tc>
          <w:tcPr>
            <w:tcW w:w="4309" w:type="dxa"/>
          </w:tcPr>
          <w:p>
            <w:pPr>
              <w:pStyle w:val="TableParagraph"/>
              <w:spacing w:line="344" w:lineRule="exact"/>
              <w:ind w:left="62"/>
              <w:rPr>
                <w:sz w:val="24"/>
              </w:rPr>
            </w:pPr>
            <w:r>
              <w:rPr>
                <w:sz w:val="24"/>
              </w:rPr>
              <w:t>臨床上如有出現甲狀腺低下症狀或 TSH</w:t>
            </w:r>
          </w:p>
          <w:p>
            <w:pPr>
              <w:pStyle w:val="TableParagraph"/>
              <w:spacing w:line="184" w:lineRule="auto" w:before="23"/>
              <w:ind w:left="61" w:right="265"/>
              <w:rPr>
                <w:sz w:val="24"/>
              </w:rPr>
            </w:pPr>
            <w:r>
              <w:rPr>
                <w:sz w:val="24"/>
              </w:rPr>
              <w:t>↑FT4↓</w:t>
            </w:r>
            <w:r>
              <w:rPr>
                <w:spacing w:val="-2"/>
                <w:sz w:val="24"/>
              </w:rPr>
              <w:t>，應補充 </w:t>
            </w:r>
            <w:r>
              <w:rPr>
                <w:sz w:val="24"/>
              </w:rPr>
              <w:t>thyroxine。Thyroxine</w:t>
            </w:r>
            <w:r>
              <w:rPr>
                <w:spacing w:val="-16"/>
                <w:sz w:val="24"/>
              </w:rPr>
              <w:t> ( </w:t>
            </w:r>
            <w:r>
              <w:rPr>
                <w:sz w:val="24"/>
              </w:rPr>
              <w:t>4-15</w:t>
            </w:r>
            <w:r>
              <w:rPr>
                <w:spacing w:val="-7"/>
                <w:sz w:val="24"/>
              </w:rPr>
              <w:t> 歲)：</w:t>
            </w:r>
            <w:r>
              <w:rPr>
                <w:sz w:val="24"/>
              </w:rPr>
              <w:t>4 mcg/kg/day </w:t>
            </w:r>
            <w:r>
              <w:rPr>
                <w:spacing w:val="-4"/>
                <w:sz w:val="24"/>
              </w:rPr>
              <w:t>(最大劑量 </w:t>
            </w:r>
            <w:r>
              <w:rPr>
                <w:sz w:val="24"/>
              </w:rPr>
              <w:t>200 mcg)</w:t>
            </w:r>
            <w:r>
              <w:rPr>
                <w:spacing w:val="-12"/>
                <w:sz w:val="24"/>
              </w:rPr>
              <w:t> ( </w:t>
            </w:r>
            <w:r>
              <w:rPr>
                <w:sz w:val="24"/>
              </w:rPr>
              <w:t>1-3</w:t>
            </w:r>
            <w:r>
              <w:rPr>
                <w:spacing w:val="-5"/>
                <w:sz w:val="24"/>
              </w:rPr>
              <w:t> 歲)：</w:t>
            </w:r>
            <w:r>
              <w:rPr>
                <w:sz w:val="24"/>
              </w:rPr>
              <w:t>10-15</w:t>
            </w:r>
          </w:p>
          <w:p>
            <w:pPr>
              <w:pStyle w:val="TableParagraph"/>
              <w:spacing w:line="184" w:lineRule="auto"/>
              <w:ind w:left="61" w:right="135"/>
              <w:jc w:val="both"/>
              <w:rPr>
                <w:sz w:val="24"/>
              </w:rPr>
            </w:pPr>
            <w:r>
              <w:rPr>
                <w:w w:val="95"/>
                <w:sz w:val="24"/>
              </w:rPr>
              <w:t>mcg/kg/day</w:t>
            </w:r>
            <w:r>
              <w:rPr>
                <w:spacing w:val="4"/>
                <w:w w:val="95"/>
                <w:sz w:val="24"/>
              </w:rPr>
              <w:t>(最大劑量 </w:t>
            </w:r>
            <w:r>
              <w:rPr>
                <w:w w:val="95"/>
                <w:sz w:val="24"/>
              </w:rPr>
              <w:t>200mcg)每個月</w:t>
            </w:r>
            <w:r>
              <w:rPr>
                <w:spacing w:val="-9"/>
                <w:sz w:val="24"/>
              </w:rPr>
              <w:t>監測 </w:t>
            </w:r>
            <w:r>
              <w:rPr>
                <w:sz w:val="24"/>
              </w:rPr>
              <w:t>TSH</w:t>
            </w:r>
            <w:r>
              <w:rPr>
                <w:spacing w:val="-5"/>
                <w:sz w:val="24"/>
              </w:rPr>
              <w:t>，每次增加 </w:t>
            </w:r>
            <w:r>
              <w:rPr>
                <w:sz w:val="24"/>
              </w:rPr>
              <w:t>thyroxine 25mcg </w:t>
            </w:r>
            <w:r>
              <w:rPr>
                <w:spacing w:val="-9"/>
                <w:sz w:val="24"/>
              </w:rPr>
              <w:t>直到 </w:t>
            </w:r>
            <w:r>
              <w:rPr>
                <w:sz w:val="24"/>
              </w:rPr>
              <w:t>TSH&lt;5mIU/L，thyroxine</w:t>
            </w:r>
            <w:r>
              <w:rPr>
                <w:spacing w:val="-7"/>
                <w:sz w:val="24"/>
              </w:rPr>
              <w:t> 應持續補充直到完成 </w:t>
            </w:r>
            <w:r>
              <w:rPr>
                <w:sz w:val="24"/>
              </w:rPr>
              <w:t>TB</w:t>
            </w:r>
            <w:r>
              <w:rPr>
                <w:spacing w:val="-6"/>
                <w:sz w:val="24"/>
              </w:rPr>
              <w:t> 治療後 </w:t>
            </w:r>
            <w:r>
              <w:rPr>
                <w:sz w:val="24"/>
              </w:rPr>
              <w:t>2</w:t>
            </w:r>
            <w:r>
              <w:rPr>
                <w:spacing w:val="-7"/>
                <w:sz w:val="24"/>
              </w:rPr>
              <w:t> 至 </w:t>
            </w:r>
            <w:r>
              <w:rPr>
                <w:sz w:val="24"/>
              </w:rPr>
              <w:t>3</w:t>
            </w:r>
            <w:r>
              <w:rPr>
                <w:spacing w:val="-4"/>
                <w:sz w:val="24"/>
              </w:rPr>
              <w:t> 個月才</w:t>
            </w:r>
          </w:p>
          <w:p>
            <w:pPr>
              <w:pStyle w:val="TableParagraph"/>
              <w:spacing w:line="312" w:lineRule="exact"/>
              <w:ind w:left="61"/>
              <w:rPr>
                <w:sz w:val="24"/>
              </w:rPr>
            </w:pPr>
            <w:r>
              <w:rPr>
                <w:sz w:val="24"/>
              </w:rPr>
              <w:t>停。</w:t>
            </w:r>
          </w:p>
        </w:tc>
      </w:tr>
      <w:tr>
        <w:trPr>
          <w:trHeight w:val="1360" w:hRule="atLeast"/>
        </w:trPr>
        <w:tc>
          <w:tcPr>
            <w:tcW w:w="1300" w:type="dxa"/>
          </w:tcPr>
          <w:p>
            <w:pPr>
              <w:pStyle w:val="TableParagraph"/>
              <w:spacing w:line="396" w:lineRule="exact"/>
              <w:ind w:left="52"/>
              <w:rPr>
                <w:sz w:val="24"/>
              </w:rPr>
            </w:pPr>
            <w:r>
              <w:rPr>
                <w:sz w:val="24"/>
              </w:rPr>
              <w:t>血鉀過低</w:t>
            </w:r>
          </w:p>
        </w:tc>
        <w:tc>
          <w:tcPr>
            <w:tcW w:w="1170" w:type="dxa"/>
          </w:tcPr>
          <w:p>
            <w:pPr>
              <w:pStyle w:val="TableParagraph"/>
              <w:spacing w:line="184" w:lineRule="auto" w:before="27"/>
              <w:ind w:left="73" w:right="357"/>
              <w:rPr>
                <w:sz w:val="24"/>
              </w:rPr>
            </w:pPr>
            <w:r>
              <w:rPr>
                <w:spacing w:val="-1"/>
                <w:w w:val="95"/>
                <w:sz w:val="24"/>
              </w:rPr>
              <w:t>AMK </w:t>
            </w:r>
            <w:r>
              <w:rPr>
                <w:sz w:val="24"/>
              </w:rPr>
              <w:t>SM KM</w:t>
            </w:r>
          </w:p>
          <w:p>
            <w:pPr>
              <w:pStyle w:val="TableParagraph"/>
              <w:spacing w:line="293" w:lineRule="exact"/>
              <w:ind w:left="73"/>
              <w:rPr>
                <w:sz w:val="24"/>
              </w:rPr>
            </w:pPr>
            <w:r>
              <w:rPr>
                <w:sz w:val="24"/>
              </w:rPr>
              <w:t>CM</w:t>
            </w:r>
          </w:p>
        </w:tc>
        <w:tc>
          <w:tcPr>
            <w:tcW w:w="2718" w:type="dxa"/>
          </w:tcPr>
          <w:p>
            <w:pPr>
              <w:pStyle w:val="TableParagraph"/>
              <w:spacing w:line="396" w:lineRule="exact"/>
              <w:ind w:left="61"/>
              <w:rPr>
                <w:sz w:val="24"/>
              </w:rPr>
            </w:pPr>
            <w:r>
              <w:rPr>
                <w:sz w:val="24"/>
              </w:rPr>
              <w:t>定期監測血鉀</w:t>
            </w:r>
          </w:p>
        </w:tc>
        <w:tc>
          <w:tcPr>
            <w:tcW w:w="4309" w:type="dxa"/>
          </w:tcPr>
          <w:p>
            <w:pPr>
              <w:pStyle w:val="TableParagraph"/>
              <w:spacing w:line="184" w:lineRule="auto" w:before="27"/>
              <w:ind w:left="61" w:right="63"/>
              <w:rPr>
                <w:sz w:val="24"/>
              </w:rPr>
            </w:pPr>
            <w:r>
              <w:rPr>
                <w:spacing w:val="-3"/>
                <w:sz w:val="24"/>
              </w:rPr>
              <w:t>低血鉀可口服補充，並同時補充鎂，然</w:t>
            </w:r>
            <w:r>
              <w:rPr>
                <w:spacing w:val="-3"/>
                <w:w w:val="95"/>
                <w:sz w:val="24"/>
              </w:rPr>
              <w:t>而血鉀&lt;2.5</w:t>
            </w:r>
            <w:r>
              <w:rPr>
                <w:spacing w:val="56"/>
                <w:w w:val="95"/>
                <w:sz w:val="24"/>
              </w:rPr>
              <w:t> </w:t>
            </w:r>
            <w:r>
              <w:rPr>
                <w:w w:val="95"/>
                <w:sz w:val="24"/>
              </w:rPr>
              <w:t>meq</w:t>
            </w:r>
            <w:r>
              <w:rPr>
                <w:spacing w:val="1"/>
                <w:w w:val="95"/>
                <w:sz w:val="24"/>
              </w:rPr>
              <w:t> 則應住院以針劑補充。</w:t>
            </w:r>
          </w:p>
        </w:tc>
      </w:tr>
      <w:tr>
        <w:trPr>
          <w:trHeight w:val="699" w:hRule="atLeast"/>
        </w:trPr>
        <w:tc>
          <w:tcPr>
            <w:tcW w:w="1300" w:type="dxa"/>
          </w:tcPr>
          <w:p>
            <w:pPr>
              <w:pStyle w:val="TableParagraph"/>
              <w:spacing w:line="394" w:lineRule="exact"/>
              <w:ind w:left="52"/>
              <w:rPr>
                <w:sz w:val="24"/>
              </w:rPr>
            </w:pPr>
            <w:r>
              <w:rPr>
                <w:sz w:val="24"/>
              </w:rPr>
              <w:t>腎功能異常</w:t>
            </w:r>
          </w:p>
        </w:tc>
        <w:tc>
          <w:tcPr>
            <w:tcW w:w="1170" w:type="dxa"/>
          </w:tcPr>
          <w:p>
            <w:pPr>
              <w:pStyle w:val="TableParagraph"/>
              <w:spacing w:line="344" w:lineRule="exact"/>
              <w:ind w:left="73"/>
              <w:rPr>
                <w:sz w:val="24"/>
              </w:rPr>
            </w:pPr>
            <w:r>
              <w:rPr>
                <w:sz w:val="24"/>
              </w:rPr>
              <w:t>AMK</w:t>
            </w:r>
          </w:p>
          <w:p>
            <w:pPr>
              <w:pStyle w:val="TableParagraph"/>
              <w:spacing w:line="335" w:lineRule="exact"/>
              <w:ind w:left="73"/>
              <w:rPr>
                <w:sz w:val="24"/>
              </w:rPr>
            </w:pPr>
            <w:r>
              <w:rPr>
                <w:sz w:val="24"/>
              </w:rPr>
              <w:t>SM</w:t>
            </w:r>
          </w:p>
        </w:tc>
        <w:tc>
          <w:tcPr>
            <w:tcW w:w="2718" w:type="dxa"/>
          </w:tcPr>
          <w:p>
            <w:pPr>
              <w:pStyle w:val="TableParagraph"/>
              <w:spacing w:line="344" w:lineRule="exact"/>
              <w:ind w:left="61"/>
              <w:rPr>
                <w:sz w:val="24"/>
              </w:rPr>
            </w:pPr>
            <w:r>
              <w:rPr>
                <w:w w:val="95"/>
                <w:sz w:val="24"/>
              </w:rPr>
              <w:t>定期監測腎功能，注意高</w:t>
            </w:r>
          </w:p>
          <w:p>
            <w:pPr>
              <w:pStyle w:val="TableParagraph"/>
              <w:spacing w:line="335" w:lineRule="exact"/>
              <w:ind w:left="61"/>
              <w:rPr>
                <w:sz w:val="24"/>
              </w:rPr>
            </w:pPr>
            <w:r>
              <w:rPr>
                <w:sz w:val="24"/>
              </w:rPr>
              <w:t>鉀症狀</w:t>
            </w:r>
          </w:p>
        </w:tc>
        <w:tc>
          <w:tcPr>
            <w:tcW w:w="4309" w:type="dxa"/>
          </w:tcPr>
          <w:p>
            <w:pPr>
              <w:pStyle w:val="TableParagraph"/>
              <w:spacing w:line="344" w:lineRule="exact"/>
              <w:ind w:left="61"/>
              <w:rPr>
                <w:sz w:val="24"/>
              </w:rPr>
            </w:pPr>
            <w:r>
              <w:rPr>
                <w:sz w:val="24"/>
              </w:rPr>
              <w:t>如果 creatinine 上升或血鉀增高，停止</w:t>
            </w:r>
          </w:p>
          <w:p>
            <w:pPr>
              <w:pStyle w:val="TableParagraph"/>
              <w:spacing w:line="335" w:lineRule="exact"/>
              <w:ind w:left="61"/>
              <w:rPr>
                <w:sz w:val="24"/>
              </w:rPr>
            </w:pPr>
            <w:r>
              <w:rPr>
                <w:sz w:val="24"/>
              </w:rPr>
              <w:t>針劑及換藥。</w:t>
            </w:r>
          </w:p>
        </w:tc>
      </w:tr>
      <w:tr>
        <w:trPr>
          <w:trHeight w:val="680" w:hRule="atLeast"/>
        </w:trPr>
        <w:tc>
          <w:tcPr>
            <w:tcW w:w="1300" w:type="dxa"/>
          </w:tcPr>
          <w:p>
            <w:pPr>
              <w:pStyle w:val="TableParagraph"/>
              <w:spacing w:line="394" w:lineRule="exact"/>
              <w:ind w:left="52"/>
              <w:rPr>
                <w:sz w:val="24"/>
              </w:rPr>
            </w:pPr>
            <w:r>
              <w:rPr>
                <w:sz w:val="24"/>
              </w:rPr>
              <w:t>藥物疹</w:t>
            </w:r>
          </w:p>
        </w:tc>
        <w:tc>
          <w:tcPr>
            <w:tcW w:w="1170" w:type="dxa"/>
          </w:tcPr>
          <w:p>
            <w:pPr>
              <w:pStyle w:val="TableParagraph"/>
              <w:spacing w:line="343" w:lineRule="exact"/>
              <w:ind w:left="73"/>
              <w:rPr>
                <w:sz w:val="24"/>
              </w:rPr>
            </w:pPr>
            <w:r>
              <w:rPr>
                <w:sz w:val="24"/>
              </w:rPr>
              <w:t>任何藥</w:t>
            </w:r>
          </w:p>
          <w:p>
            <w:pPr>
              <w:pStyle w:val="TableParagraph"/>
              <w:spacing w:line="317" w:lineRule="exact"/>
              <w:ind w:left="73"/>
              <w:rPr>
                <w:sz w:val="24"/>
              </w:rPr>
            </w:pPr>
            <w:r>
              <w:rPr>
                <w:sz w:val="24"/>
              </w:rPr>
              <w:t>物，</w:t>
            </w:r>
          </w:p>
        </w:tc>
        <w:tc>
          <w:tcPr>
            <w:tcW w:w="2718" w:type="dxa"/>
          </w:tcPr>
          <w:p>
            <w:pPr>
              <w:pStyle w:val="TableParagraph"/>
              <w:spacing w:line="343" w:lineRule="exact"/>
              <w:ind w:left="61"/>
              <w:rPr>
                <w:sz w:val="24"/>
              </w:rPr>
            </w:pPr>
            <w:r>
              <w:rPr>
                <w:sz w:val="24"/>
              </w:rPr>
              <w:t>皮疹，黏膜破損，包括</w:t>
            </w:r>
          </w:p>
          <w:p>
            <w:pPr>
              <w:pStyle w:val="TableParagraph"/>
              <w:spacing w:line="317" w:lineRule="exact"/>
              <w:ind w:left="61"/>
              <w:rPr>
                <w:sz w:val="24"/>
              </w:rPr>
            </w:pPr>
            <w:r>
              <w:rPr>
                <w:sz w:val="24"/>
              </w:rPr>
              <w:t>Steven-Johnson</w:t>
            </w:r>
          </w:p>
        </w:tc>
        <w:tc>
          <w:tcPr>
            <w:tcW w:w="4309" w:type="dxa"/>
          </w:tcPr>
          <w:p>
            <w:pPr>
              <w:pStyle w:val="TableParagraph"/>
              <w:spacing w:line="343" w:lineRule="exact"/>
              <w:ind w:left="61"/>
              <w:rPr>
                <w:sz w:val="24"/>
              </w:rPr>
            </w:pPr>
            <w:r>
              <w:rPr>
                <w:spacing w:val="-3"/>
                <w:w w:val="95"/>
                <w:sz w:val="24"/>
              </w:rPr>
              <w:t>停止所有藥物，待症狀好轉，藥物再依</w:t>
            </w:r>
          </w:p>
          <w:p>
            <w:pPr>
              <w:pStyle w:val="TableParagraph"/>
              <w:spacing w:line="317" w:lineRule="exact"/>
              <w:ind w:left="61"/>
              <w:rPr>
                <w:sz w:val="24"/>
              </w:rPr>
            </w:pPr>
            <w:r>
              <w:rPr>
                <w:spacing w:val="-3"/>
                <w:w w:val="95"/>
                <w:sz w:val="24"/>
              </w:rPr>
              <w:t>序慢慢加回，以確定是何種藥物引起。</w:t>
            </w:r>
          </w:p>
        </w:tc>
      </w:tr>
    </w:tbl>
    <w:p>
      <w:pPr>
        <w:spacing w:after="0" w:line="317" w:lineRule="exact"/>
        <w:rPr>
          <w:sz w:val="24"/>
        </w:rPr>
        <w:sectPr>
          <w:pgSz w:w="12250" w:h="17190"/>
          <w:pgMar w:header="0" w:footer="734" w:top="1440" w:bottom="1020" w:left="1020" w:right="0"/>
        </w:sect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0"/>
        <w:gridCol w:w="1170"/>
        <w:gridCol w:w="2718"/>
        <w:gridCol w:w="4309"/>
      </w:tblGrid>
      <w:tr>
        <w:trPr>
          <w:trHeight w:val="352" w:hRule="atLeast"/>
        </w:trPr>
        <w:tc>
          <w:tcPr>
            <w:tcW w:w="1300" w:type="dxa"/>
            <w:shd w:val="clear" w:color="auto" w:fill="F1F1F1"/>
          </w:tcPr>
          <w:p>
            <w:pPr>
              <w:pStyle w:val="TableParagraph"/>
              <w:spacing w:line="332" w:lineRule="exact"/>
              <w:ind w:left="289"/>
              <w:rPr>
                <w:b/>
                <w:sz w:val="24"/>
              </w:rPr>
            </w:pPr>
            <w:r>
              <w:rPr>
                <w:b/>
                <w:sz w:val="24"/>
              </w:rPr>
              <w:t>副作用</w:t>
            </w:r>
          </w:p>
        </w:tc>
        <w:tc>
          <w:tcPr>
            <w:tcW w:w="1170" w:type="dxa"/>
            <w:shd w:val="clear" w:color="auto" w:fill="F1F1F1"/>
          </w:tcPr>
          <w:p>
            <w:pPr>
              <w:pStyle w:val="TableParagraph"/>
              <w:spacing w:line="332" w:lineRule="exact"/>
              <w:ind w:left="102"/>
              <w:rPr>
                <w:b/>
                <w:sz w:val="24"/>
              </w:rPr>
            </w:pPr>
            <w:r>
              <w:rPr>
                <w:b/>
                <w:sz w:val="24"/>
              </w:rPr>
              <w:t>可能藥物</w:t>
            </w:r>
          </w:p>
        </w:tc>
        <w:tc>
          <w:tcPr>
            <w:tcW w:w="2718" w:type="dxa"/>
            <w:shd w:val="clear" w:color="auto" w:fill="F1F1F1"/>
          </w:tcPr>
          <w:p>
            <w:pPr>
              <w:pStyle w:val="TableParagraph"/>
              <w:spacing w:line="332" w:lineRule="exact"/>
              <w:ind w:left="756"/>
              <w:rPr>
                <w:b/>
                <w:sz w:val="24"/>
              </w:rPr>
            </w:pPr>
            <w:r>
              <w:rPr>
                <w:b/>
                <w:sz w:val="24"/>
              </w:rPr>
              <w:t>偵測副作用</w:t>
            </w:r>
          </w:p>
        </w:tc>
        <w:tc>
          <w:tcPr>
            <w:tcW w:w="4309" w:type="dxa"/>
            <w:shd w:val="clear" w:color="auto" w:fill="F1F1F1"/>
          </w:tcPr>
          <w:p>
            <w:pPr>
              <w:pStyle w:val="TableParagraph"/>
              <w:spacing w:line="332" w:lineRule="exact"/>
              <w:ind w:left="1653" w:right="1646"/>
              <w:jc w:val="center"/>
              <w:rPr>
                <w:b/>
                <w:sz w:val="24"/>
              </w:rPr>
            </w:pPr>
            <w:r>
              <w:rPr>
                <w:b/>
                <w:sz w:val="24"/>
              </w:rPr>
              <w:t>處理原則</w:t>
            </w:r>
          </w:p>
        </w:tc>
      </w:tr>
      <w:tr>
        <w:trPr>
          <w:trHeight w:val="340" w:hRule="atLeast"/>
        </w:trPr>
        <w:tc>
          <w:tcPr>
            <w:tcW w:w="1300" w:type="dxa"/>
          </w:tcPr>
          <w:p>
            <w:pPr>
              <w:pStyle w:val="TableParagraph"/>
              <w:rPr>
                <w:rFonts w:ascii="Times New Roman"/>
                <w:sz w:val="22"/>
              </w:rPr>
            </w:pPr>
          </w:p>
        </w:tc>
        <w:tc>
          <w:tcPr>
            <w:tcW w:w="1170" w:type="dxa"/>
          </w:tcPr>
          <w:p>
            <w:pPr>
              <w:pStyle w:val="TableParagraph"/>
              <w:spacing w:line="320" w:lineRule="exact"/>
              <w:ind w:left="73"/>
              <w:rPr>
                <w:sz w:val="24"/>
              </w:rPr>
            </w:pPr>
            <w:r>
              <w:rPr>
                <w:sz w:val="24"/>
              </w:rPr>
              <w:t>尤其 PZA</w:t>
            </w:r>
          </w:p>
        </w:tc>
        <w:tc>
          <w:tcPr>
            <w:tcW w:w="2718" w:type="dxa"/>
          </w:tcPr>
          <w:p>
            <w:pPr>
              <w:pStyle w:val="TableParagraph"/>
              <w:spacing w:line="320" w:lineRule="exact"/>
              <w:ind w:left="61"/>
              <w:rPr>
                <w:sz w:val="24"/>
              </w:rPr>
            </w:pPr>
            <w:r>
              <w:rPr>
                <w:sz w:val="24"/>
              </w:rPr>
              <w:t>syndrome</w:t>
            </w:r>
          </w:p>
        </w:tc>
        <w:tc>
          <w:tcPr>
            <w:tcW w:w="4309" w:type="dxa"/>
          </w:tcPr>
          <w:p>
            <w:pPr>
              <w:pStyle w:val="TableParagraph"/>
              <w:rPr>
                <w:rFonts w:ascii="Times New Roman"/>
                <w:sz w:val="22"/>
              </w:rPr>
            </w:pPr>
          </w:p>
        </w:tc>
      </w:tr>
      <w:tr>
        <w:trPr>
          <w:trHeight w:val="1723" w:hRule="atLeast"/>
        </w:trPr>
        <w:tc>
          <w:tcPr>
            <w:tcW w:w="1300" w:type="dxa"/>
          </w:tcPr>
          <w:p>
            <w:pPr>
              <w:pStyle w:val="TableParagraph"/>
              <w:spacing w:line="388" w:lineRule="exact"/>
              <w:ind w:left="52"/>
              <w:rPr>
                <w:sz w:val="24"/>
              </w:rPr>
            </w:pPr>
            <w:r>
              <w:rPr>
                <w:sz w:val="24"/>
              </w:rPr>
              <w:t>噁心嘔吐</w:t>
            </w:r>
          </w:p>
        </w:tc>
        <w:tc>
          <w:tcPr>
            <w:tcW w:w="1170" w:type="dxa"/>
          </w:tcPr>
          <w:p>
            <w:pPr>
              <w:pStyle w:val="TableParagraph"/>
              <w:spacing w:line="184" w:lineRule="auto" w:before="19"/>
              <w:ind w:left="73"/>
              <w:rPr>
                <w:sz w:val="24"/>
              </w:rPr>
            </w:pPr>
            <w:r>
              <w:rPr>
                <w:w w:val="95"/>
                <w:sz w:val="24"/>
              </w:rPr>
              <w:t>ETO/PTO </w:t>
            </w:r>
            <w:r>
              <w:rPr>
                <w:sz w:val="24"/>
              </w:rPr>
              <w:t>PAS</w:t>
            </w:r>
          </w:p>
        </w:tc>
        <w:tc>
          <w:tcPr>
            <w:tcW w:w="2718" w:type="dxa"/>
          </w:tcPr>
          <w:p>
            <w:pPr>
              <w:pStyle w:val="TableParagraph"/>
              <w:spacing w:line="388" w:lineRule="exact"/>
              <w:ind w:left="61"/>
              <w:rPr>
                <w:sz w:val="24"/>
              </w:rPr>
            </w:pPr>
            <w:r>
              <w:rPr>
                <w:sz w:val="24"/>
              </w:rPr>
              <w:t>臨床表現</w:t>
            </w:r>
          </w:p>
        </w:tc>
        <w:tc>
          <w:tcPr>
            <w:tcW w:w="4309" w:type="dxa"/>
          </w:tcPr>
          <w:p>
            <w:pPr>
              <w:pStyle w:val="TableParagraph"/>
              <w:spacing w:line="184" w:lineRule="auto" w:before="19"/>
              <w:ind w:left="50" w:right="267"/>
              <w:rPr>
                <w:sz w:val="24"/>
              </w:rPr>
            </w:pPr>
            <w:r>
              <w:rPr>
                <w:sz w:val="24"/>
              </w:rPr>
              <w:t>將 ETO /PTO 或 PAS 與其他藥物分開使用，可改成晚上服藥。</w:t>
            </w:r>
          </w:p>
          <w:p>
            <w:pPr>
              <w:pStyle w:val="TableParagraph"/>
              <w:spacing w:line="184" w:lineRule="auto" w:before="1"/>
              <w:ind w:left="50" w:right="48"/>
              <w:rPr>
                <w:sz w:val="24"/>
              </w:rPr>
            </w:pPr>
            <w:r>
              <w:rPr>
                <w:spacing w:val="-8"/>
                <w:w w:val="95"/>
                <w:sz w:val="24"/>
              </w:rPr>
              <w:t>也可考慮從低劑量開始兩星期內慢慢增加</w:t>
            </w:r>
            <w:r>
              <w:rPr>
                <w:spacing w:val="-3"/>
                <w:sz w:val="24"/>
              </w:rPr>
              <w:t>到全劑量注意是否有肝炎、胰臟炎、或</w:t>
            </w:r>
          </w:p>
          <w:p>
            <w:pPr>
              <w:pStyle w:val="TableParagraph"/>
              <w:spacing w:line="324" w:lineRule="exact"/>
              <w:ind w:left="50"/>
              <w:rPr>
                <w:sz w:val="24"/>
              </w:rPr>
            </w:pPr>
            <w:r>
              <w:rPr>
                <w:sz w:val="24"/>
              </w:rPr>
              <w:t>顱內壓上升等其他問題。</w:t>
            </w:r>
          </w:p>
        </w:tc>
      </w:tr>
      <w:tr>
        <w:trPr>
          <w:trHeight w:val="1359" w:hRule="atLeast"/>
        </w:trPr>
        <w:tc>
          <w:tcPr>
            <w:tcW w:w="1300" w:type="dxa"/>
          </w:tcPr>
          <w:p>
            <w:pPr>
              <w:pStyle w:val="TableParagraph"/>
              <w:spacing w:line="184" w:lineRule="auto" w:before="19"/>
              <w:ind w:left="52" w:right="294"/>
              <w:rPr>
                <w:sz w:val="24"/>
              </w:rPr>
            </w:pPr>
            <w:r>
              <w:rPr>
                <w:w w:val="95"/>
                <w:sz w:val="24"/>
              </w:rPr>
              <w:t>周邊神經</w:t>
            </w:r>
            <w:r>
              <w:rPr>
                <w:sz w:val="24"/>
              </w:rPr>
              <w:t>病變</w:t>
            </w:r>
          </w:p>
        </w:tc>
        <w:tc>
          <w:tcPr>
            <w:tcW w:w="1170" w:type="dxa"/>
          </w:tcPr>
          <w:p>
            <w:pPr>
              <w:pStyle w:val="TableParagraph"/>
              <w:spacing w:line="184" w:lineRule="auto" w:before="19"/>
              <w:ind w:left="73" w:right="639"/>
              <w:rPr>
                <w:sz w:val="24"/>
              </w:rPr>
            </w:pPr>
            <w:r>
              <w:rPr>
                <w:w w:val="95"/>
                <w:sz w:val="24"/>
              </w:rPr>
              <w:t>INH LZD</w:t>
            </w:r>
          </w:p>
          <w:p>
            <w:pPr>
              <w:pStyle w:val="TableParagraph"/>
              <w:spacing w:line="369" w:lineRule="exact"/>
              <w:ind w:left="73"/>
              <w:rPr>
                <w:sz w:val="24"/>
              </w:rPr>
            </w:pPr>
            <w:r>
              <w:rPr>
                <w:sz w:val="24"/>
              </w:rPr>
              <w:t>CS (較少)</w:t>
            </w:r>
          </w:p>
        </w:tc>
        <w:tc>
          <w:tcPr>
            <w:tcW w:w="2718" w:type="dxa"/>
          </w:tcPr>
          <w:p>
            <w:pPr>
              <w:pStyle w:val="TableParagraph"/>
              <w:spacing w:line="184" w:lineRule="auto" w:before="19"/>
              <w:ind w:left="61" w:right="58"/>
              <w:rPr>
                <w:sz w:val="24"/>
              </w:rPr>
            </w:pPr>
            <w:r>
              <w:rPr>
                <w:w w:val="95"/>
                <w:sz w:val="24"/>
              </w:rPr>
              <w:t>手腳麻木或痛、針刺感、</w:t>
            </w:r>
            <w:r>
              <w:rPr>
                <w:sz w:val="24"/>
              </w:rPr>
              <w:t>觸摸痛（allodynia）， </w:t>
            </w:r>
            <w:r>
              <w:rPr>
                <w:w w:val="95"/>
                <w:sz w:val="24"/>
              </w:rPr>
              <w:t>症狀常見在穿小腿襪與戴</w:t>
            </w:r>
          </w:p>
          <w:p>
            <w:pPr>
              <w:pStyle w:val="TableParagraph"/>
              <w:spacing w:line="300" w:lineRule="exact"/>
              <w:ind w:left="61"/>
              <w:rPr>
                <w:sz w:val="24"/>
              </w:rPr>
            </w:pPr>
            <w:r>
              <w:rPr>
                <w:sz w:val="24"/>
              </w:rPr>
              <w:t>長手套的區域</w:t>
            </w:r>
          </w:p>
        </w:tc>
        <w:tc>
          <w:tcPr>
            <w:tcW w:w="4309" w:type="dxa"/>
          </w:tcPr>
          <w:p>
            <w:pPr>
              <w:pStyle w:val="TableParagraph"/>
              <w:spacing w:line="184" w:lineRule="auto" w:before="19"/>
              <w:ind w:left="61" w:right="38"/>
              <w:jc w:val="both"/>
              <w:rPr>
                <w:sz w:val="24"/>
              </w:rPr>
            </w:pPr>
            <w:r>
              <w:rPr>
                <w:sz w:val="24"/>
              </w:rPr>
              <w:t>給予維他命 B6。臨床上有神經病變應停用 INH 或 LZD，有必要時可在症狀改善後使用低劑量 LZD。</w:t>
            </w:r>
          </w:p>
        </w:tc>
      </w:tr>
      <w:tr>
        <w:trPr>
          <w:trHeight w:val="679" w:hRule="atLeast"/>
        </w:trPr>
        <w:tc>
          <w:tcPr>
            <w:tcW w:w="1300" w:type="dxa"/>
          </w:tcPr>
          <w:p>
            <w:pPr>
              <w:pStyle w:val="TableParagraph"/>
              <w:spacing w:line="389" w:lineRule="exact"/>
              <w:ind w:left="52"/>
              <w:rPr>
                <w:sz w:val="24"/>
              </w:rPr>
            </w:pPr>
            <w:r>
              <w:rPr>
                <w:sz w:val="24"/>
              </w:rPr>
              <w:t>腹瀉</w:t>
            </w:r>
          </w:p>
        </w:tc>
        <w:tc>
          <w:tcPr>
            <w:tcW w:w="1170" w:type="dxa"/>
          </w:tcPr>
          <w:p>
            <w:pPr>
              <w:pStyle w:val="TableParagraph"/>
              <w:spacing w:line="389" w:lineRule="exact"/>
              <w:ind w:left="73"/>
              <w:rPr>
                <w:sz w:val="24"/>
              </w:rPr>
            </w:pPr>
            <w:r>
              <w:rPr>
                <w:sz w:val="24"/>
              </w:rPr>
              <w:t>PAS</w:t>
            </w:r>
          </w:p>
        </w:tc>
        <w:tc>
          <w:tcPr>
            <w:tcW w:w="2718" w:type="dxa"/>
          </w:tcPr>
          <w:p>
            <w:pPr>
              <w:pStyle w:val="TableParagraph"/>
              <w:spacing w:line="389" w:lineRule="exact"/>
              <w:ind w:left="61"/>
              <w:rPr>
                <w:sz w:val="24"/>
              </w:rPr>
            </w:pPr>
            <w:r>
              <w:rPr>
                <w:sz w:val="24"/>
              </w:rPr>
              <w:t>腹瀉</w:t>
            </w:r>
          </w:p>
        </w:tc>
        <w:tc>
          <w:tcPr>
            <w:tcW w:w="4309" w:type="dxa"/>
          </w:tcPr>
          <w:p>
            <w:pPr>
              <w:pStyle w:val="TableParagraph"/>
              <w:spacing w:line="338" w:lineRule="exact"/>
              <w:ind w:left="61"/>
              <w:rPr>
                <w:sz w:val="24"/>
              </w:rPr>
            </w:pPr>
            <w:r>
              <w:rPr>
                <w:w w:val="95"/>
                <w:sz w:val="24"/>
              </w:rPr>
              <w:t>排除其他原因後可給予止瀉藥物及補充水</w:t>
            </w:r>
          </w:p>
          <w:p>
            <w:pPr>
              <w:pStyle w:val="TableParagraph"/>
              <w:spacing w:line="322" w:lineRule="exact"/>
              <w:ind w:left="61"/>
              <w:rPr>
                <w:sz w:val="24"/>
              </w:rPr>
            </w:pPr>
            <w:r>
              <w:rPr>
                <w:sz w:val="24"/>
              </w:rPr>
              <w:t>分，必要時換其他藥物。</w:t>
            </w:r>
          </w:p>
        </w:tc>
      </w:tr>
      <w:tr>
        <w:trPr>
          <w:trHeight w:val="1699" w:hRule="atLeast"/>
        </w:trPr>
        <w:tc>
          <w:tcPr>
            <w:tcW w:w="1300" w:type="dxa"/>
          </w:tcPr>
          <w:p>
            <w:pPr>
              <w:pStyle w:val="TableParagraph"/>
              <w:spacing w:line="184" w:lineRule="auto" w:before="21"/>
              <w:ind w:left="52" w:right="196"/>
              <w:rPr>
                <w:sz w:val="24"/>
              </w:rPr>
            </w:pPr>
            <w:r>
              <w:rPr>
                <w:w w:val="95"/>
                <w:sz w:val="24"/>
              </w:rPr>
              <w:t>神經/精神</w:t>
            </w:r>
            <w:r>
              <w:rPr>
                <w:sz w:val="24"/>
              </w:rPr>
              <w:t>系統障礙</w:t>
            </w:r>
          </w:p>
        </w:tc>
        <w:tc>
          <w:tcPr>
            <w:tcW w:w="1170" w:type="dxa"/>
          </w:tcPr>
          <w:p>
            <w:pPr>
              <w:pStyle w:val="TableParagraph"/>
              <w:spacing w:line="184" w:lineRule="auto" w:before="21"/>
              <w:ind w:left="73" w:right="620"/>
              <w:rPr>
                <w:sz w:val="24"/>
              </w:rPr>
            </w:pPr>
            <w:r>
              <w:rPr>
                <w:w w:val="95"/>
                <w:sz w:val="24"/>
              </w:rPr>
              <w:t>TRD </w:t>
            </w:r>
            <w:r>
              <w:rPr>
                <w:sz w:val="24"/>
              </w:rPr>
              <w:t>CS INH LFX</w:t>
            </w:r>
          </w:p>
          <w:p>
            <w:pPr>
              <w:pStyle w:val="TableParagraph"/>
              <w:spacing w:line="300" w:lineRule="exact"/>
              <w:ind w:left="73"/>
              <w:rPr>
                <w:sz w:val="24"/>
              </w:rPr>
            </w:pPr>
            <w:r>
              <w:rPr>
                <w:sz w:val="24"/>
              </w:rPr>
              <w:t>MFX</w:t>
            </w:r>
          </w:p>
        </w:tc>
        <w:tc>
          <w:tcPr>
            <w:tcW w:w="2718" w:type="dxa"/>
          </w:tcPr>
          <w:p>
            <w:pPr>
              <w:pStyle w:val="TableParagraph"/>
              <w:spacing w:line="184" w:lineRule="auto" w:before="21"/>
              <w:ind w:left="61" w:right="41"/>
              <w:rPr>
                <w:sz w:val="24"/>
              </w:rPr>
            </w:pPr>
            <w:r>
              <w:rPr>
                <w:w w:val="95"/>
                <w:sz w:val="24"/>
              </w:rPr>
              <w:t>抽搐、頭痛、行為改變、</w:t>
            </w:r>
            <w:r>
              <w:rPr>
                <w:sz w:val="24"/>
              </w:rPr>
              <w:t>憂鬱、睡眠</w:t>
            </w:r>
          </w:p>
        </w:tc>
        <w:tc>
          <w:tcPr>
            <w:tcW w:w="4309" w:type="dxa"/>
          </w:tcPr>
          <w:p>
            <w:pPr>
              <w:pStyle w:val="TableParagraph"/>
              <w:spacing w:line="184" w:lineRule="auto" w:before="21"/>
              <w:ind w:left="61" w:right="474"/>
              <w:rPr>
                <w:sz w:val="24"/>
              </w:rPr>
            </w:pPr>
            <w:r>
              <w:rPr>
                <w:w w:val="95"/>
                <w:sz w:val="24"/>
              </w:rPr>
              <w:t>重新檢視劑量是否正確，停用可能藥</w:t>
            </w:r>
            <w:r>
              <w:rPr>
                <w:sz w:val="24"/>
              </w:rPr>
              <w:t>物。</w:t>
            </w:r>
          </w:p>
        </w:tc>
      </w:tr>
      <w:tr>
        <w:trPr>
          <w:trHeight w:val="1384" w:hRule="atLeast"/>
        </w:trPr>
        <w:tc>
          <w:tcPr>
            <w:tcW w:w="1300" w:type="dxa"/>
          </w:tcPr>
          <w:p>
            <w:pPr>
              <w:pStyle w:val="TableParagraph"/>
              <w:spacing w:line="389" w:lineRule="exact"/>
              <w:ind w:left="52"/>
              <w:rPr>
                <w:sz w:val="24"/>
              </w:rPr>
            </w:pPr>
            <w:r>
              <w:rPr>
                <w:sz w:val="24"/>
              </w:rPr>
              <w:t>關節問題</w:t>
            </w:r>
          </w:p>
        </w:tc>
        <w:tc>
          <w:tcPr>
            <w:tcW w:w="1170" w:type="dxa"/>
          </w:tcPr>
          <w:p>
            <w:pPr>
              <w:pStyle w:val="TableParagraph"/>
              <w:spacing w:line="184" w:lineRule="auto" w:before="21"/>
              <w:ind w:left="73" w:right="583"/>
              <w:jc w:val="both"/>
              <w:rPr>
                <w:sz w:val="24"/>
              </w:rPr>
            </w:pPr>
            <w:r>
              <w:rPr>
                <w:sz w:val="24"/>
              </w:rPr>
              <w:t>PZA LFX </w:t>
            </w:r>
            <w:r>
              <w:rPr>
                <w:w w:val="95"/>
                <w:sz w:val="24"/>
              </w:rPr>
              <w:t>MFX</w:t>
            </w:r>
          </w:p>
        </w:tc>
        <w:tc>
          <w:tcPr>
            <w:tcW w:w="2718" w:type="dxa"/>
          </w:tcPr>
          <w:p>
            <w:pPr>
              <w:pStyle w:val="TableParagraph"/>
              <w:spacing w:line="389" w:lineRule="exact"/>
              <w:ind w:left="61"/>
              <w:rPr>
                <w:sz w:val="24"/>
              </w:rPr>
            </w:pPr>
            <w:r>
              <w:rPr>
                <w:sz w:val="24"/>
              </w:rPr>
              <w:t>關節痠痛、紅腫等</w:t>
            </w:r>
          </w:p>
        </w:tc>
        <w:tc>
          <w:tcPr>
            <w:tcW w:w="4309" w:type="dxa"/>
          </w:tcPr>
          <w:p>
            <w:pPr>
              <w:pStyle w:val="TableParagraph"/>
              <w:spacing w:line="184" w:lineRule="auto" w:before="21"/>
              <w:ind w:left="61" w:right="4"/>
              <w:jc w:val="both"/>
              <w:rPr>
                <w:sz w:val="24"/>
              </w:rPr>
            </w:pPr>
            <w:r>
              <w:rPr>
                <w:spacing w:val="-4"/>
                <w:w w:val="95"/>
                <w:sz w:val="24"/>
              </w:rPr>
              <w:t>重新檢視劑量是否正確，停用可能藥物， </w:t>
            </w:r>
            <w:r>
              <w:rPr>
                <w:spacing w:val="-10"/>
                <w:sz w:val="24"/>
              </w:rPr>
              <w:t>如有關節紅腫痛等現象，給予 </w:t>
            </w:r>
            <w:r>
              <w:rPr>
                <w:spacing w:val="-12"/>
                <w:sz w:val="24"/>
              </w:rPr>
              <w:t>NSAID，</w:t>
            </w:r>
            <w:r>
              <w:rPr>
                <w:spacing w:val="-31"/>
                <w:sz w:val="24"/>
              </w:rPr>
              <w:t>必</w:t>
            </w:r>
            <w:r>
              <w:rPr>
                <w:spacing w:val="-6"/>
                <w:w w:val="95"/>
                <w:sz w:val="24"/>
              </w:rPr>
              <w:t>要時應抽關節液排除痛風、感染、風濕性</w:t>
            </w:r>
          </w:p>
          <w:p>
            <w:pPr>
              <w:pStyle w:val="TableParagraph"/>
              <w:spacing w:line="324" w:lineRule="exact"/>
              <w:ind w:left="61"/>
              <w:rPr>
                <w:sz w:val="24"/>
              </w:rPr>
            </w:pPr>
            <w:r>
              <w:rPr>
                <w:sz w:val="24"/>
              </w:rPr>
              <w:t>關節炎等可能因素。</w:t>
            </w:r>
          </w:p>
        </w:tc>
      </w:tr>
      <w:tr>
        <w:trPr>
          <w:trHeight w:val="703" w:hRule="atLeast"/>
        </w:trPr>
        <w:tc>
          <w:tcPr>
            <w:tcW w:w="1300" w:type="dxa"/>
          </w:tcPr>
          <w:p>
            <w:pPr>
              <w:pStyle w:val="TableParagraph"/>
              <w:spacing w:line="337" w:lineRule="exact"/>
              <w:ind w:left="52"/>
              <w:rPr>
                <w:sz w:val="24"/>
              </w:rPr>
            </w:pPr>
            <w:r>
              <w:rPr>
                <w:sz w:val="24"/>
              </w:rPr>
              <w:t>注射部位</w:t>
            </w:r>
          </w:p>
          <w:p>
            <w:pPr>
              <w:pStyle w:val="TableParagraph"/>
              <w:spacing w:line="347" w:lineRule="exact"/>
              <w:ind w:left="52"/>
              <w:rPr>
                <w:sz w:val="24"/>
              </w:rPr>
            </w:pPr>
            <w:r>
              <w:rPr>
                <w:sz w:val="24"/>
              </w:rPr>
              <w:t>疼痛</w:t>
            </w:r>
          </w:p>
        </w:tc>
        <w:tc>
          <w:tcPr>
            <w:tcW w:w="1170" w:type="dxa"/>
          </w:tcPr>
          <w:p>
            <w:pPr>
              <w:pStyle w:val="TableParagraph"/>
              <w:spacing w:line="337" w:lineRule="exact"/>
              <w:ind w:left="73"/>
              <w:rPr>
                <w:sz w:val="24"/>
              </w:rPr>
            </w:pPr>
            <w:r>
              <w:rPr>
                <w:sz w:val="24"/>
              </w:rPr>
              <w:t>AMK</w:t>
            </w:r>
          </w:p>
          <w:p>
            <w:pPr>
              <w:pStyle w:val="TableParagraph"/>
              <w:spacing w:line="347" w:lineRule="exact"/>
              <w:ind w:left="73"/>
              <w:rPr>
                <w:sz w:val="24"/>
              </w:rPr>
            </w:pPr>
            <w:r>
              <w:rPr>
                <w:sz w:val="24"/>
              </w:rPr>
              <w:t>SM</w:t>
            </w:r>
          </w:p>
        </w:tc>
        <w:tc>
          <w:tcPr>
            <w:tcW w:w="2718" w:type="dxa"/>
          </w:tcPr>
          <w:p>
            <w:pPr>
              <w:pStyle w:val="TableParagraph"/>
              <w:rPr>
                <w:rFonts w:ascii="Times New Roman"/>
                <w:sz w:val="22"/>
              </w:rPr>
            </w:pPr>
          </w:p>
        </w:tc>
        <w:tc>
          <w:tcPr>
            <w:tcW w:w="4309" w:type="dxa"/>
          </w:tcPr>
          <w:p>
            <w:pPr>
              <w:pStyle w:val="TableParagraph"/>
              <w:spacing w:line="337" w:lineRule="exact"/>
              <w:ind w:left="61"/>
              <w:rPr>
                <w:sz w:val="24"/>
              </w:rPr>
            </w:pPr>
            <w:r>
              <w:rPr>
                <w:sz w:val="24"/>
              </w:rPr>
              <w:t>給予局部麻醉藥品，換其他藥物或將原</w:t>
            </w:r>
          </w:p>
          <w:p>
            <w:pPr>
              <w:pStyle w:val="TableParagraph"/>
              <w:spacing w:line="347" w:lineRule="exact"/>
              <w:ind w:left="61"/>
              <w:rPr>
                <w:sz w:val="24"/>
              </w:rPr>
            </w:pPr>
            <w:r>
              <w:rPr>
                <w:sz w:val="24"/>
              </w:rPr>
              <w:t>劑量對半分兩個不同部位注射。</w:t>
            </w:r>
          </w:p>
        </w:tc>
      </w:tr>
      <w:tr>
        <w:trPr>
          <w:trHeight w:val="2063" w:hRule="atLeast"/>
        </w:trPr>
        <w:tc>
          <w:tcPr>
            <w:tcW w:w="1300" w:type="dxa"/>
          </w:tcPr>
          <w:p>
            <w:pPr>
              <w:pStyle w:val="TableParagraph"/>
              <w:spacing w:line="184" w:lineRule="auto" w:before="19"/>
              <w:ind w:left="52" w:right="157"/>
              <w:rPr>
                <w:sz w:val="24"/>
              </w:rPr>
            </w:pPr>
            <w:r>
              <w:rPr>
                <w:sz w:val="24"/>
              </w:rPr>
              <w:t>QTc 間 隔延長</w:t>
            </w:r>
          </w:p>
        </w:tc>
        <w:tc>
          <w:tcPr>
            <w:tcW w:w="1170" w:type="dxa"/>
          </w:tcPr>
          <w:p>
            <w:pPr>
              <w:pStyle w:val="TableParagraph"/>
              <w:spacing w:line="184" w:lineRule="auto" w:before="19"/>
              <w:ind w:left="73" w:right="559"/>
              <w:jc w:val="both"/>
              <w:rPr>
                <w:sz w:val="24"/>
              </w:rPr>
            </w:pPr>
            <w:r>
              <w:rPr>
                <w:sz w:val="24"/>
              </w:rPr>
              <w:t>LFX MFX </w:t>
            </w:r>
            <w:r>
              <w:rPr>
                <w:w w:val="95"/>
                <w:sz w:val="24"/>
              </w:rPr>
              <w:t>BDQ </w:t>
            </w:r>
            <w:r>
              <w:rPr>
                <w:sz w:val="24"/>
              </w:rPr>
              <w:t>CFZ </w:t>
            </w:r>
            <w:r>
              <w:rPr>
                <w:w w:val="95"/>
                <w:sz w:val="24"/>
              </w:rPr>
              <w:t>DLM</w:t>
            </w:r>
          </w:p>
        </w:tc>
        <w:tc>
          <w:tcPr>
            <w:tcW w:w="2718" w:type="dxa"/>
          </w:tcPr>
          <w:p>
            <w:pPr>
              <w:pStyle w:val="TableParagraph"/>
              <w:spacing w:line="337" w:lineRule="exact"/>
              <w:ind w:left="61"/>
              <w:rPr>
                <w:sz w:val="24"/>
              </w:rPr>
            </w:pPr>
            <w:r>
              <w:rPr>
                <w:sz w:val="24"/>
              </w:rPr>
              <w:t>每月做心電圖。</w:t>
            </w:r>
          </w:p>
          <w:p>
            <w:pPr>
              <w:pStyle w:val="TableParagraph"/>
              <w:spacing w:line="184" w:lineRule="auto" w:before="23"/>
              <w:ind w:left="61" w:right="58"/>
              <w:rPr>
                <w:sz w:val="24"/>
              </w:rPr>
            </w:pPr>
            <w:r>
              <w:rPr>
                <w:sz w:val="24"/>
              </w:rPr>
              <w:t>QTc 延長之認定為QTc&gt;500 msec 或 QTc 較原先增加&gt;60msec 且</w:t>
            </w:r>
            <w:r>
              <w:rPr>
                <w:w w:val="95"/>
                <w:sz w:val="24"/>
              </w:rPr>
              <w:t>病患有暈眩、心悸、胸痛</w:t>
            </w:r>
          </w:p>
          <w:p>
            <w:pPr>
              <w:pStyle w:val="TableParagraph"/>
              <w:spacing w:line="324" w:lineRule="exact"/>
              <w:ind w:left="61"/>
              <w:rPr>
                <w:sz w:val="24"/>
              </w:rPr>
            </w:pPr>
            <w:r>
              <w:rPr>
                <w:sz w:val="24"/>
              </w:rPr>
              <w:t>等臨床症狀</w:t>
            </w:r>
          </w:p>
        </w:tc>
        <w:tc>
          <w:tcPr>
            <w:tcW w:w="4309" w:type="dxa"/>
          </w:tcPr>
          <w:p>
            <w:pPr>
              <w:pStyle w:val="TableParagraph"/>
              <w:spacing w:line="184" w:lineRule="auto" w:before="19"/>
              <w:ind w:left="61" w:right="37"/>
              <w:jc w:val="both"/>
              <w:rPr>
                <w:sz w:val="24"/>
              </w:rPr>
            </w:pPr>
            <w:r>
              <w:rPr>
                <w:w w:val="95"/>
                <w:sz w:val="24"/>
              </w:rPr>
              <w:t>再做一次心電圖以確認，並檢測電解質及甲狀腺素。QTc&gt;500 msec 宜停用所有可</w:t>
            </w:r>
            <w:r>
              <w:rPr>
                <w:sz w:val="24"/>
              </w:rPr>
              <w:t>能藥物，待 QTc&lt;470 msec，再逐一加藥確認。</w:t>
            </w:r>
          </w:p>
        </w:tc>
      </w:tr>
      <w:tr>
        <w:trPr>
          <w:trHeight w:val="1020" w:hRule="atLeast"/>
        </w:trPr>
        <w:tc>
          <w:tcPr>
            <w:tcW w:w="1300" w:type="dxa"/>
          </w:tcPr>
          <w:p>
            <w:pPr>
              <w:pStyle w:val="TableParagraph"/>
              <w:spacing w:line="184" w:lineRule="auto" w:before="21"/>
              <w:ind w:left="52" w:right="294"/>
              <w:rPr>
                <w:sz w:val="24"/>
              </w:rPr>
            </w:pPr>
            <w:r>
              <w:rPr>
                <w:w w:val="95"/>
                <w:sz w:val="24"/>
              </w:rPr>
              <w:t>皮膚顏色</w:t>
            </w:r>
            <w:r>
              <w:rPr>
                <w:sz w:val="24"/>
              </w:rPr>
              <w:t>加深</w:t>
            </w:r>
          </w:p>
        </w:tc>
        <w:tc>
          <w:tcPr>
            <w:tcW w:w="1170" w:type="dxa"/>
          </w:tcPr>
          <w:p>
            <w:pPr>
              <w:pStyle w:val="TableParagraph"/>
              <w:spacing w:line="389" w:lineRule="exact"/>
              <w:ind w:left="73"/>
              <w:rPr>
                <w:sz w:val="24"/>
              </w:rPr>
            </w:pPr>
            <w:r>
              <w:rPr>
                <w:sz w:val="24"/>
              </w:rPr>
              <w:t>CFZ</w:t>
            </w:r>
          </w:p>
        </w:tc>
        <w:tc>
          <w:tcPr>
            <w:tcW w:w="2718" w:type="dxa"/>
          </w:tcPr>
          <w:p>
            <w:pPr>
              <w:pStyle w:val="TableParagraph"/>
              <w:spacing w:line="389" w:lineRule="exact"/>
              <w:ind w:left="61"/>
              <w:rPr>
                <w:sz w:val="24"/>
              </w:rPr>
            </w:pPr>
            <w:r>
              <w:rPr>
                <w:sz w:val="24"/>
              </w:rPr>
              <w:t>皮膚顏色變深及乾燥</w:t>
            </w:r>
          </w:p>
        </w:tc>
        <w:tc>
          <w:tcPr>
            <w:tcW w:w="4309" w:type="dxa"/>
          </w:tcPr>
          <w:p>
            <w:pPr>
              <w:pStyle w:val="TableParagraph"/>
              <w:spacing w:line="184" w:lineRule="auto" w:before="21"/>
              <w:ind w:left="61" w:right="28"/>
              <w:rPr>
                <w:sz w:val="24"/>
              </w:rPr>
            </w:pPr>
            <w:r>
              <w:rPr>
                <w:w w:val="95"/>
                <w:sz w:val="24"/>
              </w:rPr>
              <w:t>用藥前先衛教病人皮膚色素變化，治療完成停藥後可恢復，皮膚乾燥使用潤膚乳</w:t>
            </w:r>
          </w:p>
          <w:p>
            <w:pPr>
              <w:pStyle w:val="TableParagraph"/>
              <w:spacing w:line="300" w:lineRule="exact"/>
              <w:ind w:left="61"/>
              <w:rPr>
                <w:sz w:val="24"/>
              </w:rPr>
            </w:pPr>
            <w:r>
              <w:rPr>
                <w:sz w:val="24"/>
              </w:rPr>
              <w:t>液。</w:t>
            </w:r>
          </w:p>
        </w:tc>
      </w:tr>
    </w:tbl>
    <w:p>
      <w:pPr>
        <w:pStyle w:val="BodyText"/>
        <w:spacing w:before="3"/>
        <w:rPr>
          <w:b/>
          <w:sz w:val="5"/>
        </w:rPr>
      </w:pPr>
      <w:r>
        <w:rPr/>
        <w:pict>
          <v:group style="position:absolute;margin-left:571pt;margin-top:73.749916pt;width:41.4pt;height:201.8pt;mso-position-horizontal-relative:page;mso-position-vertical-relative:page;z-index:251944960" coordorigin="11420,1475" coordsize="828,4036">
            <v:shape style="position:absolute;left:11420;top:1475;width:828;height:4036" coordorigin="11420,1475" coordsize="828,4036" path="m12247,1475l11585,1475,11521,1488,11468,1523,11433,1576,11420,1640,11420,5346,11433,5410,11468,5463,11521,5498,11585,5511,12247,5511,12247,5511,12247,1475,12247,1475xe" filled="true" fillcolor="#a6a6a6" stroked="false">
              <v:path arrowok="t"/>
              <v:fill type="solid"/>
            </v:shape>
            <v:shape style="position:absolute;left:11420;top:1475;width:828;height:4036" type="#_x0000_t202" filled="false" stroked="false">
              <v:textbox inset="0,0,0,0">
                <w:txbxContent>
                  <w:p>
                    <w:pPr>
                      <w:spacing w:line="146" w:lineRule="auto" w:before="126"/>
                      <w:ind w:left="135" w:right="469" w:firstLine="0"/>
                      <w:jc w:val="both"/>
                      <w:rPr>
                        <w:sz w:val="22"/>
                      </w:rPr>
                    </w:pPr>
                    <w:r>
                      <w:rPr>
                        <w:sz w:val="22"/>
                      </w:rPr>
                      <w:t>第十三章</w:t>
                    </w:r>
                  </w:p>
                  <w:p>
                    <w:pPr>
                      <w:spacing w:line="141" w:lineRule="auto" w:before="179"/>
                      <w:ind w:left="135" w:right="469" w:firstLine="0"/>
                      <w:jc w:val="both"/>
                      <w:rPr>
                        <w:sz w:val="22"/>
                      </w:rPr>
                    </w:pPr>
                    <w:r>
                      <w:rPr>
                        <w:sz w:val="22"/>
                      </w:rPr>
                      <w:t>兒童抗藥性結核病之診療</w:t>
                    </w:r>
                  </w:p>
                </w:txbxContent>
              </v:textbox>
              <w10:wrap type="none"/>
            </v:shape>
            <w10:wrap type="none"/>
          </v:group>
        </w:pict>
      </w:r>
    </w:p>
    <w:p>
      <w:pPr>
        <w:pStyle w:val="BodyText"/>
        <w:spacing w:line="420" w:lineRule="exact" w:before="40"/>
        <w:ind w:left="340"/>
      </w:pPr>
      <w:r>
        <w:rPr/>
        <w:t>致謝：</w:t>
      </w:r>
    </w:p>
    <w:p>
      <w:pPr>
        <w:pStyle w:val="BodyText"/>
        <w:spacing w:line="218" w:lineRule="auto" w:before="7"/>
        <w:ind w:left="340" w:right="1355"/>
        <w:jc w:val="both"/>
      </w:pPr>
      <w:r>
        <w:rPr/>
        <w:t>2019</w:t>
      </w:r>
      <w:r>
        <w:rPr>
          <w:spacing w:val="-24"/>
        </w:rPr>
        <w:t> 年 </w:t>
      </w:r>
      <w:r>
        <w:rPr/>
        <w:t>12</w:t>
      </w:r>
      <w:r>
        <w:rPr>
          <w:spacing w:val="-24"/>
        </w:rPr>
        <w:t> 月 </w:t>
      </w:r>
      <w:r>
        <w:rPr/>
        <w:t>19</w:t>
      </w:r>
      <w:r>
        <w:rPr>
          <w:spacing w:val="-12"/>
        </w:rPr>
        <w:t> 日召開本章修訂會議，參與兒童感染科專家包括李秉穎、何宗憲、何愉懷、</w:t>
      </w:r>
      <w:r>
        <w:rPr>
          <w:spacing w:val="-8"/>
          <w:w w:val="95"/>
        </w:rPr>
        <w:t>呂俊毅、林奏延、紀鑫、張鑾英、湯仁彬、黃玉成、黃高彬、曾雅淳、詹珮君、顏廷聿(依筆   </w:t>
      </w:r>
      <w:r>
        <w:rPr/>
        <w:t>劃順序)。</w:t>
      </w:r>
    </w:p>
    <w:p>
      <w:pPr>
        <w:spacing w:after="0" w:line="218" w:lineRule="auto"/>
        <w:jc w:val="both"/>
        <w:sectPr>
          <w:pgSz w:w="12250" w:h="17190"/>
          <w:pgMar w:header="0" w:footer="734" w:top="1480" w:bottom="1020" w:left="1020" w:right="0"/>
        </w:sectPr>
      </w:pPr>
    </w:p>
    <w:p>
      <w:pPr>
        <w:pStyle w:val="BodyText"/>
        <w:spacing w:before="11"/>
        <w:rPr>
          <w:sz w:val="10"/>
        </w:rPr>
      </w:pPr>
    </w:p>
    <w:p>
      <w:pPr>
        <w:pStyle w:val="Heading6"/>
        <w:spacing w:line="447" w:lineRule="exact" w:before="36"/>
        <w:ind w:left="340"/>
      </w:pPr>
      <w:bookmarkStart w:name="參考文獻" w:id="170"/>
      <w:bookmarkEnd w:id="170"/>
      <w:r>
        <w:rPr>
          <w:b w:val="0"/>
        </w:rPr>
      </w:r>
      <w:r>
        <w:rPr/>
        <w:t>參考文獻</w:t>
      </w:r>
    </w:p>
    <w:p>
      <w:pPr>
        <w:pStyle w:val="ListParagraph"/>
        <w:numPr>
          <w:ilvl w:val="0"/>
          <w:numId w:val="185"/>
        </w:numPr>
        <w:tabs>
          <w:tab w:pos="1054" w:val="left" w:leader="none"/>
        </w:tabs>
        <w:spacing w:line="232" w:lineRule="auto" w:before="0" w:after="0"/>
        <w:ind w:left="1053" w:right="1358" w:hanging="383"/>
        <w:jc w:val="left"/>
        <w:rPr>
          <w:sz w:val="23"/>
        </w:rPr>
      </w:pPr>
      <w:r>
        <w:rPr>
          <w:sz w:val="23"/>
        </w:rPr>
        <w:t>Management of multidrug-resistant tuberculosis in children: A Field Guide. Boston, USA: The Sentinel Poject for Pediatric Drug-Resistant Tuberculosis; November 2018, Fourth edition.</w:t>
      </w:r>
      <w:r>
        <w:rPr>
          <w:sz w:val="23"/>
          <w:u w:val="single"/>
        </w:rPr>
        <w:t> </w:t>
      </w:r>
      <w:hyperlink r:id="rId86">
        <w:r>
          <w:rPr>
            <w:sz w:val="23"/>
            <w:u w:val="single"/>
          </w:rPr>
          <w:t>http://www.stoptb.org/wg/dots_expansion/childhoodtb/assets/documents/Upd</w:t>
        </w:r>
      </w:hyperlink>
      <w:hyperlink r:id="rId86">
        <w:r>
          <w:rPr>
            <w:sz w:val="23"/>
            <w:u w:val="single"/>
          </w:rPr>
          <w:t> ated_DRTB-Field-Guide-2019-V3.pdf</w:t>
        </w:r>
      </w:hyperlink>
    </w:p>
    <w:p>
      <w:pPr>
        <w:pStyle w:val="ListParagraph"/>
        <w:numPr>
          <w:ilvl w:val="0"/>
          <w:numId w:val="185"/>
        </w:numPr>
        <w:tabs>
          <w:tab w:pos="1054" w:val="left" w:leader="none"/>
        </w:tabs>
        <w:spacing w:line="232" w:lineRule="auto" w:before="0" w:after="0"/>
        <w:ind w:left="1053" w:right="1360" w:hanging="383"/>
        <w:jc w:val="left"/>
        <w:rPr>
          <w:sz w:val="23"/>
        </w:rPr>
      </w:pPr>
      <w:r>
        <w:rPr>
          <w:sz w:val="23"/>
        </w:rPr>
        <w:t>WHO consolidated guidelines on drug-resistant tuberculosis treatment. Geneva: World Health Organization; 2019.</w:t>
      </w:r>
      <w:hyperlink r:id="rId87">
        <w:r>
          <w:rPr>
            <w:sz w:val="23"/>
            <w:u w:val="single"/>
          </w:rPr>
          <w:t> https://apps.who.int/iris/bitstream/handle/10665/311389/9789241550529-</w:t>
        </w:r>
      </w:hyperlink>
      <w:hyperlink r:id="rId87">
        <w:r>
          <w:rPr>
            <w:sz w:val="23"/>
            <w:u w:val="single"/>
          </w:rPr>
          <w:t> eng.pdf?ua=1</w:t>
        </w:r>
      </w:hyperlink>
    </w:p>
    <w:p>
      <w:pPr>
        <w:pStyle w:val="ListParagraph"/>
        <w:numPr>
          <w:ilvl w:val="0"/>
          <w:numId w:val="185"/>
        </w:numPr>
        <w:tabs>
          <w:tab w:pos="1054" w:val="left" w:leader="none"/>
        </w:tabs>
        <w:spacing w:line="232" w:lineRule="auto" w:before="0" w:after="0"/>
        <w:ind w:left="1053" w:right="1359" w:hanging="383"/>
        <w:jc w:val="left"/>
        <w:rPr>
          <w:sz w:val="23"/>
        </w:rPr>
      </w:pPr>
      <w:r>
        <w:rPr>
          <w:sz w:val="23"/>
        </w:rPr>
        <w:t>The Use of Delamanid in the Treatment of Multidrug-Resistant Tuberculosis in Children and Adolescents: Interim Policy Guidance. Geneva: World Health Organization; 2016.</w:t>
      </w:r>
      <w:hyperlink r:id="rId88">
        <w:r>
          <w:rPr>
            <w:sz w:val="23"/>
            <w:u w:val="single"/>
          </w:rPr>
          <w:t> https://apps.who.int/iris/bitstream/handle/10665/250614/9789241549899-</w:t>
        </w:r>
      </w:hyperlink>
      <w:hyperlink r:id="rId88">
        <w:r>
          <w:rPr>
            <w:sz w:val="23"/>
            <w:u w:val="single"/>
          </w:rPr>
          <w:t> eng.pdf?sequence=1</w:t>
        </w:r>
      </w:hyperlink>
    </w:p>
    <w:p>
      <w:pPr>
        <w:pStyle w:val="ListParagraph"/>
        <w:numPr>
          <w:ilvl w:val="0"/>
          <w:numId w:val="185"/>
        </w:numPr>
        <w:tabs>
          <w:tab w:pos="1054" w:val="left" w:leader="none"/>
        </w:tabs>
        <w:spacing w:line="406" w:lineRule="exact" w:before="0" w:after="0"/>
        <w:ind w:left="1053" w:right="0" w:hanging="384"/>
        <w:jc w:val="left"/>
        <w:rPr>
          <w:sz w:val="23"/>
        </w:rPr>
      </w:pPr>
      <w:r>
        <w:rPr>
          <w:sz w:val="23"/>
        </w:rPr>
        <w:t>Prieto</w:t>
      </w:r>
      <w:r>
        <w:rPr>
          <w:spacing w:val="-5"/>
          <w:sz w:val="23"/>
        </w:rPr>
        <w:t> </w:t>
      </w:r>
      <w:r>
        <w:rPr>
          <w:sz w:val="23"/>
        </w:rPr>
        <w:t>LM,</w:t>
      </w:r>
      <w:r>
        <w:rPr>
          <w:spacing w:val="-6"/>
          <w:sz w:val="23"/>
        </w:rPr>
        <w:t> </w:t>
      </w:r>
      <w:r>
        <w:rPr>
          <w:sz w:val="23"/>
        </w:rPr>
        <w:t>Santiago</w:t>
      </w:r>
      <w:r>
        <w:rPr>
          <w:spacing w:val="-4"/>
          <w:sz w:val="23"/>
        </w:rPr>
        <w:t> </w:t>
      </w:r>
      <w:r>
        <w:rPr>
          <w:sz w:val="23"/>
        </w:rPr>
        <w:t>B,</w:t>
      </w:r>
      <w:r>
        <w:rPr>
          <w:spacing w:val="-6"/>
          <w:sz w:val="23"/>
        </w:rPr>
        <w:t> </w:t>
      </w:r>
      <w:r>
        <w:rPr>
          <w:sz w:val="23"/>
        </w:rPr>
        <w:t>Del</w:t>
      </w:r>
      <w:r>
        <w:rPr>
          <w:spacing w:val="-4"/>
          <w:sz w:val="23"/>
        </w:rPr>
        <w:t> </w:t>
      </w:r>
      <w:r>
        <w:rPr>
          <w:sz w:val="23"/>
        </w:rPr>
        <w:t>Rosal</w:t>
      </w:r>
      <w:r>
        <w:rPr>
          <w:spacing w:val="-5"/>
          <w:sz w:val="23"/>
        </w:rPr>
        <w:t> </w:t>
      </w:r>
      <w:r>
        <w:rPr>
          <w:sz w:val="23"/>
        </w:rPr>
        <w:t>T,</w:t>
      </w:r>
      <w:r>
        <w:rPr>
          <w:spacing w:val="-4"/>
          <w:sz w:val="23"/>
        </w:rPr>
        <w:t> </w:t>
      </w:r>
      <w:r>
        <w:rPr>
          <w:sz w:val="23"/>
        </w:rPr>
        <w:t>et</w:t>
      </w:r>
      <w:r>
        <w:rPr>
          <w:spacing w:val="-5"/>
          <w:sz w:val="23"/>
        </w:rPr>
        <w:t> </w:t>
      </w:r>
      <w:r>
        <w:rPr>
          <w:sz w:val="23"/>
        </w:rPr>
        <w:t>al.</w:t>
      </w:r>
      <w:r>
        <w:rPr>
          <w:spacing w:val="-6"/>
          <w:sz w:val="23"/>
        </w:rPr>
        <w:t> </w:t>
      </w:r>
      <w:r>
        <w:rPr>
          <w:sz w:val="23"/>
        </w:rPr>
        <w:t>Linezolid-containing</w:t>
      </w:r>
      <w:r>
        <w:rPr>
          <w:spacing w:val="-3"/>
          <w:sz w:val="23"/>
        </w:rPr>
        <w:t> </w:t>
      </w:r>
      <w:r>
        <w:rPr>
          <w:sz w:val="23"/>
        </w:rPr>
        <w:t>Treatment</w:t>
      </w:r>
      <w:r>
        <w:rPr>
          <w:spacing w:val="-4"/>
          <w:sz w:val="23"/>
        </w:rPr>
        <w:t> </w:t>
      </w:r>
      <w:r>
        <w:rPr>
          <w:sz w:val="23"/>
        </w:rPr>
        <w:t>Regimens</w:t>
      </w:r>
    </w:p>
    <w:p>
      <w:pPr>
        <w:spacing w:line="410" w:lineRule="exact" w:before="0"/>
        <w:ind w:left="1053" w:right="0" w:firstLine="0"/>
        <w:jc w:val="left"/>
        <w:rPr>
          <w:sz w:val="23"/>
        </w:rPr>
      </w:pPr>
      <w:r>
        <w:rPr>
          <w:sz w:val="23"/>
        </w:rPr>
        <w:t>for Tuberculosis in Children. Pediatr Infect Dis J. 2019;38(3):263‐267.</w:t>
      </w:r>
    </w:p>
    <w:p>
      <w:pPr>
        <w:pStyle w:val="ListParagraph"/>
        <w:numPr>
          <w:ilvl w:val="0"/>
          <w:numId w:val="185"/>
        </w:numPr>
        <w:tabs>
          <w:tab w:pos="1054" w:val="left" w:leader="none"/>
        </w:tabs>
        <w:spacing w:line="232" w:lineRule="auto" w:before="0" w:after="0"/>
        <w:ind w:left="1052" w:right="1358" w:hanging="382"/>
        <w:jc w:val="both"/>
        <w:rPr>
          <w:sz w:val="23"/>
        </w:rPr>
      </w:pPr>
      <w:r>
        <w:rPr>
          <w:sz w:val="23"/>
        </w:rPr>
        <w:t>Garcia-Prats AJ, Schaaf HS, Draper HR, et al. Pharmacokinetics, optimal dosing, and</w:t>
      </w:r>
      <w:r>
        <w:rPr>
          <w:spacing w:val="-4"/>
          <w:sz w:val="23"/>
        </w:rPr>
        <w:t> </w:t>
      </w:r>
      <w:r>
        <w:rPr>
          <w:sz w:val="23"/>
        </w:rPr>
        <w:t>safety</w:t>
      </w:r>
      <w:r>
        <w:rPr>
          <w:spacing w:val="-8"/>
          <w:sz w:val="23"/>
        </w:rPr>
        <w:t> </w:t>
      </w:r>
      <w:r>
        <w:rPr>
          <w:sz w:val="23"/>
        </w:rPr>
        <w:t>of</w:t>
      </w:r>
      <w:r>
        <w:rPr>
          <w:spacing w:val="-5"/>
          <w:sz w:val="23"/>
        </w:rPr>
        <w:t> </w:t>
      </w:r>
      <w:r>
        <w:rPr>
          <w:sz w:val="23"/>
        </w:rPr>
        <w:t>linezolid</w:t>
      </w:r>
      <w:r>
        <w:rPr>
          <w:spacing w:val="-6"/>
          <w:sz w:val="23"/>
        </w:rPr>
        <w:t> </w:t>
      </w:r>
      <w:r>
        <w:rPr>
          <w:sz w:val="23"/>
        </w:rPr>
        <w:t>in</w:t>
      </w:r>
      <w:r>
        <w:rPr>
          <w:spacing w:val="-6"/>
          <w:sz w:val="23"/>
        </w:rPr>
        <w:t> </w:t>
      </w:r>
      <w:r>
        <w:rPr>
          <w:sz w:val="23"/>
        </w:rPr>
        <w:t>children</w:t>
      </w:r>
      <w:r>
        <w:rPr>
          <w:spacing w:val="-6"/>
          <w:sz w:val="23"/>
        </w:rPr>
        <w:t> </w:t>
      </w:r>
      <w:r>
        <w:rPr>
          <w:sz w:val="23"/>
        </w:rPr>
        <w:t>with</w:t>
      </w:r>
      <w:r>
        <w:rPr>
          <w:spacing w:val="-6"/>
          <w:sz w:val="23"/>
        </w:rPr>
        <w:t> </w:t>
      </w:r>
      <w:r>
        <w:rPr>
          <w:sz w:val="23"/>
        </w:rPr>
        <w:t>multidrug-resistant</w:t>
      </w:r>
      <w:r>
        <w:rPr>
          <w:spacing w:val="-7"/>
          <w:sz w:val="23"/>
        </w:rPr>
        <w:t> </w:t>
      </w:r>
      <w:r>
        <w:rPr>
          <w:sz w:val="23"/>
        </w:rPr>
        <w:t>tuberculosis:</w:t>
      </w:r>
      <w:r>
        <w:rPr>
          <w:spacing w:val="-5"/>
          <w:sz w:val="23"/>
        </w:rPr>
        <w:t> </w:t>
      </w:r>
      <w:r>
        <w:rPr>
          <w:sz w:val="23"/>
        </w:rPr>
        <w:t>Combined data</w:t>
      </w:r>
      <w:r>
        <w:rPr>
          <w:spacing w:val="-10"/>
          <w:sz w:val="23"/>
        </w:rPr>
        <w:t> </w:t>
      </w:r>
      <w:r>
        <w:rPr>
          <w:sz w:val="23"/>
        </w:rPr>
        <w:t>from</w:t>
      </w:r>
      <w:r>
        <w:rPr>
          <w:spacing w:val="-11"/>
          <w:sz w:val="23"/>
        </w:rPr>
        <w:t> </w:t>
      </w:r>
      <w:r>
        <w:rPr>
          <w:sz w:val="23"/>
        </w:rPr>
        <w:t>two</w:t>
      </w:r>
      <w:r>
        <w:rPr>
          <w:spacing w:val="-10"/>
          <w:sz w:val="23"/>
        </w:rPr>
        <w:t> </w:t>
      </w:r>
      <w:r>
        <w:rPr>
          <w:sz w:val="23"/>
        </w:rPr>
        <w:t>prospective</w:t>
      </w:r>
      <w:r>
        <w:rPr>
          <w:spacing w:val="-10"/>
          <w:sz w:val="23"/>
        </w:rPr>
        <w:t> </w:t>
      </w:r>
      <w:r>
        <w:rPr>
          <w:sz w:val="23"/>
        </w:rPr>
        <w:t>observational</w:t>
      </w:r>
      <w:r>
        <w:rPr>
          <w:spacing w:val="-10"/>
          <w:sz w:val="23"/>
        </w:rPr>
        <w:t> </w:t>
      </w:r>
      <w:r>
        <w:rPr>
          <w:sz w:val="23"/>
        </w:rPr>
        <w:t>studies.</w:t>
      </w:r>
      <w:r>
        <w:rPr>
          <w:spacing w:val="-11"/>
          <w:sz w:val="23"/>
        </w:rPr>
        <w:t> </w:t>
      </w:r>
      <w:r>
        <w:rPr>
          <w:sz w:val="23"/>
        </w:rPr>
        <w:t>PLoS</w:t>
      </w:r>
      <w:r>
        <w:rPr>
          <w:spacing w:val="-11"/>
          <w:sz w:val="23"/>
        </w:rPr>
        <w:t> </w:t>
      </w:r>
      <w:r>
        <w:rPr>
          <w:sz w:val="23"/>
        </w:rPr>
        <w:t>Med.</w:t>
      </w:r>
      <w:r>
        <w:rPr>
          <w:spacing w:val="-11"/>
          <w:sz w:val="23"/>
        </w:rPr>
        <w:t> </w:t>
      </w:r>
      <w:r>
        <w:rPr>
          <w:sz w:val="23"/>
        </w:rPr>
        <w:t>2019;</w:t>
      </w:r>
      <w:r>
        <w:rPr>
          <w:spacing w:val="-11"/>
          <w:sz w:val="23"/>
        </w:rPr>
        <w:t> </w:t>
      </w:r>
      <w:r>
        <w:rPr>
          <w:sz w:val="23"/>
        </w:rPr>
        <w:t>16(4):e1002789. Published 2019 Apr</w:t>
      </w:r>
      <w:r>
        <w:rPr>
          <w:spacing w:val="4"/>
          <w:sz w:val="23"/>
        </w:rPr>
        <w:t> </w:t>
      </w:r>
      <w:r>
        <w:rPr>
          <w:sz w:val="23"/>
        </w:rPr>
        <w:t>30.</w:t>
      </w:r>
    </w:p>
    <w:p>
      <w:pPr>
        <w:pStyle w:val="ListParagraph"/>
        <w:numPr>
          <w:ilvl w:val="0"/>
          <w:numId w:val="185"/>
        </w:numPr>
        <w:tabs>
          <w:tab w:pos="1053" w:val="left" w:leader="none"/>
        </w:tabs>
        <w:spacing w:line="232" w:lineRule="auto" w:before="0" w:after="0"/>
        <w:ind w:left="1052" w:right="1360" w:hanging="383"/>
        <w:jc w:val="both"/>
        <w:rPr>
          <w:sz w:val="23"/>
        </w:rPr>
      </w:pPr>
      <w:r>
        <w:rPr>
          <w:sz w:val="23"/>
        </w:rPr>
        <w:t>Harausz EP, Garcia-Prats AJ, Seddon JA, et al. New and Repurposed Drugs for Pediatric Multidrug-Resistant Tuberculosis. Practice-based Recommendations. Am J Respir Crit Care Med. 2017;</w:t>
      </w:r>
      <w:r>
        <w:rPr>
          <w:spacing w:val="10"/>
          <w:sz w:val="23"/>
        </w:rPr>
        <w:t> </w:t>
      </w:r>
      <w:r>
        <w:rPr>
          <w:sz w:val="23"/>
        </w:rPr>
        <w:t>195(10):1300‐1310.</w:t>
      </w:r>
    </w:p>
    <w:p>
      <w:pPr>
        <w:pStyle w:val="ListParagraph"/>
        <w:numPr>
          <w:ilvl w:val="0"/>
          <w:numId w:val="185"/>
        </w:numPr>
        <w:tabs>
          <w:tab w:pos="1053" w:val="left" w:leader="none"/>
        </w:tabs>
        <w:spacing w:line="232" w:lineRule="auto" w:before="0" w:after="0"/>
        <w:ind w:left="1052" w:right="1360" w:hanging="383"/>
        <w:jc w:val="both"/>
        <w:rPr>
          <w:sz w:val="23"/>
        </w:rPr>
      </w:pPr>
      <w:r>
        <w:rPr>
          <w:sz w:val="23"/>
        </w:rPr>
        <w:t>Nunn</w:t>
      </w:r>
      <w:r>
        <w:rPr>
          <w:spacing w:val="-4"/>
          <w:sz w:val="23"/>
        </w:rPr>
        <w:t> </w:t>
      </w:r>
      <w:r>
        <w:rPr>
          <w:sz w:val="23"/>
        </w:rPr>
        <w:t>AJ,</w:t>
      </w:r>
      <w:r>
        <w:rPr>
          <w:spacing w:val="-3"/>
          <w:sz w:val="23"/>
        </w:rPr>
        <w:t> </w:t>
      </w:r>
      <w:r>
        <w:rPr>
          <w:sz w:val="23"/>
        </w:rPr>
        <w:t>Phillips</w:t>
      </w:r>
      <w:r>
        <w:rPr>
          <w:spacing w:val="-3"/>
          <w:sz w:val="23"/>
        </w:rPr>
        <w:t> </w:t>
      </w:r>
      <w:r>
        <w:rPr>
          <w:sz w:val="23"/>
        </w:rPr>
        <w:t>PPJ,</w:t>
      </w:r>
      <w:r>
        <w:rPr>
          <w:spacing w:val="-5"/>
          <w:sz w:val="23"/>
        </w:rPr>
        <w:t> </w:t>
      </w:r>
      <w:r>
        <w:rPr>
          <w:sz w:val="23"/>
        </w:rPr>
        <w:t>Meredith</w:t>
      </w:r>
      <w:r>
        <w:rPr>
          <w:spacing w:val="-3"/>
          <w:sz w:val="23"/>
        </w:rPr>
        <w:t> </w:t>
      </w:r>
      <w:r>
        <w:rPr>
          <w:sz w:val="23"/>
        </w:rPr>
        <w:t>SK,</w:t>
      </w:r>
      <w:r>
        <w:rPr>
          <w:spacing w:val="-3"/>
          <w:sz w:val="23"/>
        </w:rPr>
        <w:t> </w:t>
      </w:r>
      <w:r>
        <w:rPr>
          <w:sz w:val="23"/>
        </w:rPr>
        <w:t>et</w:t>
      </w:r>
      <w:r>
        <w:rPr>
          <w:spacing w:val="-3"/>
          <w:sz w:val="23"/>
        </w:rPr>
        <w:t> </w:t>
      </w:r>
      <w:r>
        <w:rPr>
          <w:sz w:val="23"/>
        </w:rPr>
        <w:t>al.</w:t>
      </w:r>
      <w:r>
        <w:rPr>
          <w:spacing w:val="-3"/>
          <w:sz w:val="23"/>
        </w:rPr>
        <w:t> </w:t>
      </w:r>
      <w:r>
        <w:rPr>
          <w:sz w:val="23"/>
        </w:rPr>
        <w:t>A</w:t>
      </w:r>
      <w:r>
        <w:rPr>
          <w:spacing w:val="-4"/>
          <w:sz w:val="23"/>
        </w:rPr>
        <w:t> </w:t>
      </w:r>
      <w:r>
        <w:rPr>
          <w:sz w:val="23"/>
        </w:rPr>
        <w:t>Trial</w:t>
      </w:r>
      <w:r>
        <w:rPr>
          <w:spacing w:val="-3"/>
          <w:sz w:val="23"/>
        </w:rPr>
        <w:t> </w:t>
      </w:r>
      <w:r>
        <w:rPr>
          <w:sz w:val="23"/>
        </w:rPr>
        <w:t>of</w:t>
      </w:r>
      <w:r>
        <w:rPr>
          <w:spacing w:val="-4"/>
          <w:sz w:val="23"/>
        </w:rPr>
        <w:t> </w:t>
      </w:r>
      <w:r>
        <w:rPr>
          <w:sz w:val="23"/>
        </w:rPr>
        <w:t>a</w:t>
      </w:r>
      <w:r>
        <w:rPr>
          <w:spacing w:val="-4"/>
          <w:sz w:val="23"/>
        </w:rPr>
        <w:t> </w:t>
      </w:r>
      <w:r>
        <w:rPr>
          <w:sz w:val="23"/>
        </w:rPr>
        <w:t>Shorter</w:t>
      </w:r>
      <w:r>
        <w:rPr>
          <w:spacing w:val="-4"/>
          <w:sz w:val="23"/>
        </w:rPr>
        <w:t> </w:t>
      </w:r>
      <w:r>
        <w:rPr>
          <w:sz w:val="23"/>
        </w:rPr>
        <w:t>Regimen</w:t>
      </w:r>
      <w:r>
        <w:rPr>
          <w:spacing w:val="-4"/>
          <w:sz w:val="23"/>
        </w:rPr>
        <w:t> </w:t>
      </w:r>
      <w:r>
        <w:rPr>
          <w:sz w:val="23"/>
        </w:rPr>
        <w:t>for</w:t>
      </w:r>
      <w:r>
        <w:rPr>
          <w:spacing w:val="-4"/>
          <w:sz w:val="23"/>
        </w:rPr>
        <w:t> </w:t>
      </w:r>
      <w:r>
        <w:rPr>
          <w:sz w:val="23"/>
        </w:rPr>
        <w:t>Rifampin- Resistant Tuberculosis. N Engl J Med. 2019;</w:t>
      </w:r>
      <w:r>
        <w:rPr>
          <w:spacing w:val="10"/>
          <w:sz w:val="23"/>
        </w:rPr>
        <w:t> </w:t>
      </w:r>
      <w:r>
        <w:rPr>
          <w:sz w:val="23"/>
        </w:rPr>
        <w:t>380(13):1201‐1213.</w:t>
      </w:r>
    </w:p>
    <w:p>
      <w:pPr>
        <w:pStyle w:val="ListParagraph"/>
        <w:numPr>
          <w:ilvl w:val="0"/>
          <w:numId w:val="185"/>
        </w:numPr>
        <w:tabs>
          <w:tab w:pos="1053" w:val="left" w:leader="none"/>
        </w:tabs>
        <w:spacing w:line="407" w:lineRule="exact" w:before="0" w:after="0"/>
        <w:ind w:left="1052" w:right="0" w:hanging="384"/>
        <w:jc w:val="both"/>
        <w:rPr>
          <w:sz w:val="23"/>
        </w:rPr>
      </w:pPr>
      <w:r>
        <w:rPr>
          <w:sz w:val="23"/>
        </w:rPr>
        <w:t>Cruz</w:t>
      </w:r>
      <w:r>
        <w:rPr>
          <w:spacing w:val="40"/>
          <w:sz w:val="23"/>
        </w:rPr>
        <w:t> </w:t>
      </w:r>
      <w:r>
        <w:rPr>
          <w:sz w:val="23"/>
        </w:rPr>
        <w:t>AT,</w:t>
      </w:r>
      <w:r>
        <w:rPr>
          <w:spacing w:val="40"/>
          <w:sz w:val="23"/>
        </w:rPr>
        <w:t> </w:t>
      </w:r>
      <w:r>
        <w:rPr>
          <w:sz w:val="23"/>
        </w:rPr>
        <w:t>Garcia-Prats</w:t>
      </w:r>
      <w:r>
        <w:rPr>
          <w:spacing w:val="41"/>
          <w:sz w:val="23"/>
        </w:rPr>
        <w:t> </w:t>
      </w:r>
      <w:r>
        <w:rPr>
          <w:sz w:val="23"/>
        </w:rPr>
        <w:t>AJ,</w:t>
      </w:r>
      <w:r>
        <w:rPr>
          <w:spacing w:val="40"/>
          <w:sz w:val="23"/>
        </w:rPr>
        <w:t> </w:t>
      </w:r>
      <w:r>
        <w:rPr>
          <w:sz w:val="23"/>
        </w:rPr>
        <w:t>Furin</w:t>
      </w:r>
      <w:r>
        <w:rPr>
          <w:spacing w:val="41"/>
          <w:sz w:val="23"/>
        </w:rPr>
        <w:t> </w:t>
      </w:r>
      <w:r>
        <w:rPr>
          <w:sz w:val="23"/>
        </w:rPr>
        <w:t>J,</w:t>
      </w:r>
      <w:r>
        <w:rPr>
          <w:spacing w:val="42"/>
          <w:sz w:val="23"/>
        </w:rPr>
        <w:t> </w:t>
      </w:r>
      <w:r>
        <w:rPr>
          <w:sz w:val="23"/>
        </w:rPr>
        <w:t>Seddon</w:t>
      </w:r>
      <w:r>
        <w:rPr>
          <w:spacing w:val="41"/>
          <w:sz w:val="23"/>
        </w:rPr>
        <w:t> </w:t>
      </w:r>
      <w:r>
        <w:rPr>
          <w:sz w:val="23"/>
        </w:rPr>
        <w:t>JA.</w:t>
      </w:r>
      <w:r>
        <w:rPr>
          <w:spacing w:val="40"/>
          <w:sz w:val="23"/>
        </w:rPr>
        <w:t> </w:t>
      </w:r>
      <w:r>
        <w:rPr>
          <w:sz w:val="23"/>
        </w:rPr>
        <w:t>Treatment</w:t>
      </w:r>
      <w:r>
        <w:rPr>
          <w:spacing w:val="41"/>
          <w:sz w:val="23"/>
        </w:rPr>
        <w:t> </w:t>
      </w:r>
      <w:r>
        <w:rPr>
          <w:sz w:val="23"/>
        </w:rPr>
        <w:t>of</w:t>
      </w:r>
      <w:r>
        <w:rPr>
          <w:spacing w:val="41"/>
          <w:sz w:val="23"/>
        </w:rPr>
        <w:t> </w:t>
      </w:r>
      <w:r>
        <w:rPr>
          <w:sz w:val="23"/>
        </w:rPr>
        <w:t>Multidrug-Resistant</w:t>
      </w:r>
    </w:p>
    <w:p>
      <w:pPr>
        <w:spacing w:line="410" w:lineRule="exact" w:before="0"/>
        <w:ind w:left="1052" w:right="0" w:firstLine="0"/>
        <w:jc w:val="both"/>
        <w:rPr>
          <w:sz w:val="23"/>
        </w:rPr>
      </w:pPr>
      <w:r>
        <w:rPr>
          <w:sz w:val="23"/>
        </w:rPr>
        <w:t>Tuberculosis Infection in Children. Pediatr Infect Dis J. 2018;37(10):1061‐1064.</w:t>
      </w:r>
    </w:p>
    <w:p>
      <w:pPr>
        <w:pStyle w:val="ListParagraph"/>
        <w:numPr>
          <w:ilvl w:val="0"/>
          <w:numId w:val="185"/>
        </w:numPr>
        <w:tabs>
          <w:tab w:pos="1053" w:val="left" w:leader="none"/>
        </w:tabs>
        <w:spacing w:line="232" w:lineRule="auto" w:before="0" w:after="0"/>
        <w:ind w:left="1052" w:right="1358" w:hanging="383"/>
        <w:jc w:val="both"/>
        <w:rPr>
          <w:sz w:val="23"/>
        </w:rPr>
      </w:pPr>
      <w:r>
        <w:rPr>
          <w:sz w:val="23"/>
        </w:rPr>
        <w:t>D'Ambrosio L, Centis R, Tiberi S, et al. Delamanid and bedaquiline to treat multidrug-resistant and extensively drug-resistant tuberculosis in children: a systematic review. J Thorac Dis. 2017;</w:t>
      </w:r>
      <w:r>
        <w:rPr>
          <w:spacing w:val="8"/>
          <w:sz w:val="23"/>
        </w:rPr>
        <w:t> </w:t>
      </w:r>
      <w:r>
        <w:rPr>
          <w:sz w:val="23"/>
        </w:rPr>
        <w:t>9(7):2093‐2101.</w:t>
      </w:r>
    </w:p>
    <w:p>
      <w:pPr>
        <w:pStyle w:val="ListParagraph"/>
        <w:numPr>
          <w:ilvl w:val="0"/>
          <w:numId w:val="185"/>
        </w:numPr>
        <w:tabs>
          <w:tab w:pos="1053" w:val="left" w:leader="none"/>
        </w:tabs>
        <w:spacing w:line="232" w:lineRule="auto" w:before="0" w:after="0"/>
        <w:ind w:left="1052" w:right="1361" w:hanging="383"/>
        <w:jc w:val="both"/>
        <w:rPr>
          <w:sz w:val="23"/>
        </w:rPr>
      </w:pPr>
      <w:r>
        <w:rPr>
          <w:sz w:val="23"/>
        </w:rPr>
        <w:t>Galli L, Lancella L, Garazzino S, et al. Recommendations for treating children with drug-resistant tuberculosis. Pharmacol Res. 2016;</w:t>
      </w:r>
      <w:r>
        <w:rPr>
          <w:spacing w:val="6"/>
          <w:sz w:val="23"/>
        </w:rPr>
        <w:t> </w:t>
      </w:r>
      <w:r>
        <w:rPr>
          <w:sz w:val="23"/>
        </w:rPr>
        <w:t>105:176‐182.</w:t>
      </w:r>
    </w:p>
    <w:p>
      <w:pPr>
        <w:spacing w:after="0" w:line="232" w:lineRule="auto"/>
        <w:jc w:val="both"/>
        <w:rPr>
          <w:sz w:val="23"/>
        </w:rPr>
        <w:sectPr>
          <w:pgSz w:w="12250" w:h="17190"/>
          <w:pgMar w:header="0" w:footer="734" w:top="1640" w:bottom="1020" w:left="1020" w:right="0"/>
        </w:sectPr>
      </w:pPr>
    </w:p>
    <w:p>
      <w:pPr>
        <w:spacing w:before="19"/>
        <w:ind w:left="398" w:right="0" w:firstLine="0"/>
        <w:jc w:val="left"/>
        <w:rPr>
          <w:b/>
          <w:sz w:val="22"/>
        </w:rPr>
      </w:pPr>
      <w:r>
        <w:rPr>
          <w:b/>
          <w:sz w:val="22"/>
        </w:rPr>
        <w:t>國家圖書館出版品預行編目</w:t>
      </w:r>
    </w:p>
    <w:p>
      <w:pPr>
        <w:pStyle w:val="BodyText"/>
        <w:ind w:left="927"/>
        <w:rPr>
          <w:sz w:val="20"/>
        </w:rPr>
      </w:pPr>
      <w:r>
        <w:rPr>
          <w:sz w:val="20"/>
        </w:rPr>
        <w:pict>
          <v:group style="width:279.75pt;height:127.55pt;mso-position-horizontal-relative:char;mso-position-vertical-relative:line" coordorigin="0,0" coordsize="5595,2551">
            <v:rect style="position:absolute;left:7;top:7;width:5580;height:2536" filled="false" stroked="true" strokeweight=".75pt" strokecolor="#000000">
              <v:stroke dashstyle="solid"/>
            </v:rect>
          </v:group>
        </w:pict>
      </w:r>
      <w:r>
        <w:rPr>
          <w:sz w:val="20"/>
        </w:rPr>
      </w:r>
    </w:p>
    <w:p>
      <w:pPr>
        <w:spacing w:line="390" w:lineRule="exact" w:before="53"/>
        <w:ind w:left="398" w:right="0" w:firstLine="0"/>
        <w:jc w:val="left"/>
        <w:rPr>
          <w:sz w:val="22"/>
        </w:rPr>
      </w:pPr>
      <w:r>
        <w:rPr>
          <w:sz w:val="22"/>
        </w:rPr>
        <w:t>防疫學苑系列○○○</w:t>
      </w:r>
    </w:p>
    <w:p>
      <w:pPr>
        <w:spacing w:line="557" w:lineRule="exact" w:before="0"/>
        <w:ind w:left="398" w:right="0" w:firstLine="0"/>
        <w:jc w:val="left"/>
        <w:rPr>
          <w:sz w:val="32"/>
        </w:rPr>
      </w:pPr>
      <w:r>
        <w:rPr>
          <w:sz w:val="32"/>
        </w:rPr>
        <w:t>結核病診治指引</w:t>
      </w:r>
    </w:p>
    <w:p>
      <w:pPr>
        <w:spacing w:line="538" w:lineRule="exact" w:before="0"/>
        <w:ind w:left="398" w:right="0" w:firstLine="0"/>
        <w:jc w:val="left"/>
        <w:rPr>
          <w:sz w:val="32"/>
        </w:rPr>
      </w:pPr>
      <w:r>
        <w:rPr>
          <w:sz w:val="32"/>
        </w:rPr>
        <w:t>Taiwan Guidelines for TB Diagnosis &amp; Treatment</w:t>
      </w:r>
    </w:p>
    <w:p>
      <w:pPr>
        <w:tabs>
          <w:tab w:pos="1089" w:val="left" w:leader="none"/>
        </w:tabs>
        <w:spacing w:line="338" w:lineRule="exact" w:before="0"/>
        <w:ind w:left="398" w:right="0" w:firstLine="0"/>
        <w:jc w:val="left"/>
        <w:rPr>
          <w:sz w:val="23"/>
        </w:rPr>
      </w:pPr>
      <w:r>
        <w:rPr>
          <w:sz w:val="23"/>
        </w:rPr>
        <w:t>編</w:t>
        <w:tab/>
        <w:t>者：衛生福利部疾病管制署</w:t>
      </w:r>
    </w:p>
    <w:p>
      <w:pPr>
        <w:spacing w:line="182" w:lineRule="auto" w:before="21"/>
        <w:ind w:left="1525" w:right="1358" w:hanging="1127"/>
        <w:jc w:val="left"/>
        <w:rPr>
          <w:sz w:val="23"/>
        </w:rPr>
      </w:pPr>
      <w:r>
        <w:rPr>
          <w:sz w:val="23"/>
        </w:rPr>
        <w:t>編 輯 群：江振源、王振源、余明治、李枝新、李仁智、李秉穎、李品慧、何愉懷、周如文、洪健清、索任、陸坤泰、黃伊文、馮琦芳、詹珮君、賴珮芳、蘇維鈞</w:t>
      </w:r>
    </w:p>
    <w:p>
      <w:pPr>
        <w:tabs>
          <w:tab w:pos="1089" w:val="left" w:leader="none"/>
        </w:tabs>
        <w:spacing w:line="182" w:lineRule="auto" w:before="0"/>
        <w:ind w:left="398" w:right="7377" w:firstLine="0"/>
        <w:jc w:val="left"/>
        <w:rPr>
          <w:sz w:val="23"/>
        </w:rPr>
      </w:pPr>
      <w:r>
        <w:rPr>
          <w:sz w:val="23"/>
        </w:rPr>
        <w:t>出版機關：衛生福利部疾病管制</w:t>
      </w:r>
      <w:r>
        <w:rPr>
          <w:spacing w:val="-14"/>
          <w:sz w:val="23"/>
        </w:rPr>
        <w:t>署</w:t>
      </w:r>
      <w:r>
        <w:rPr>
          <w:sz w:val="23"/>
        </w:rPr>
        <w:t>地</w:t>
        <w:tab/>
        <w:t>址：臺北市林森南路</w:t>
      </w:r>
      <w:r>
        <w:rPr>
          <w:spacing w:val="-2"/>
          <w:sz w:val="23"/>
        </w:rPr>
        <w:t> </w:t>
      </w:r>
      <w:r>
        <w:rPr>
          <w:sz w:val="23"/>
        </w:rPr>
        <w:t>6</w:t>
      </w:r>
      <w:r>
        <w:rPr>
          <w:spacing w:val="-2"/>
          <w:sz w:val="23"/>
        </w:rPr>
        <w:t> </w:t>
      </w:r>
      <w:r>
        <w:rPr>
          <w:sz w:val="23"/>
        </w:rPr>
        <w:t>號電</w:t>
        <w:tab/>
        <w:t>話：02-23959825</w:t>
      </w:r>
    </w:p>
    <w:p>
      <w:pPr>
        <w:tabs>
          <w:tab w:pos="1089" w:val="left" w:leader="none"/>
        </w:tabs>
        <w:spacing w:line="293" w:lineRule="exact" w:before="0"/>
        <w:ind w:left="398" w:right="0" w:firstLine="0"/>
        <w:jc w:val="left"/>
        <w:rPr>
          <w:sz w:val="23"/>
        </w:rPr>
      </w:pPr>
      <w:r>
        <w:rPr>
          <w:sz w:val="23"/>
        </w:rPr>
        <w:t>網</w:t>
        <w:tab/>
        <w:t>址：</w:t>
      </w:r>
      <w:hyperlink r:id="rId90">
        <w:r>
          <w:rPr>
            <w:sz w:val="23"/>
            <w:u w:val="single"/>
          </w:rPr>
          <w:t>www.cdc.gov.tw</w:t>
        </w:r>
      </w:hyperlink>
    </w:p>
    <w:p>
      <w:pPr>
        <w:tabs>
          <w:tab w:pos="859" w:val="left" w:leader="none"/>
          <w:tab w:pos="1089" w:val="left" w:leader="none"/>
          <w:tab w:pos="1318" w:val="left" w:leader="none"/>
        </w:tabs>
        <w:spacing w:line="182" w:lineRule="auto" w:before="20"/>
        <w:ind w:left="398" w:right="5537" w:firstLine="0"/>
        <w:jc w:val="left"/>
        <w:rPr>
          <w:sz w:val="23"/>
        </w:rPr>
      </w:pPr>
      <w:r>
        <w:rPr>
          <w:sz w:val="23"/>
        </w:rPr>
        <w:t>印</w:t>
        <w:tab/>
        <w:t>製</w:t>
        <w:tab/>
        <w:tab/>
        <w:t>廠：社團法人高雄市寶慶身心障礙福利協</w:t>
      </w:r>
      <w:r>
        <w:rPr>
          <w:spacing w:val="-12"/>
          <w:sz w:val="23"/>
        </w:rPr>
        <w:t>會</w:t>
      </w:r>
      <w:r>
        <w:rPr>
          <w:sz w:val="23"/>
        </w:rPr>
        <w:t>地</w:t>
        <w:tab/>
        <w:tab/>
        <w:t>址：高雄市三民區義華路</w:t>
      </w:r>
      <w:r>
        <w:rPr>
          <w:spacing w:val="-1"/>
          <w:sz w:val="23"/>
        </w:rPr>
        <w:t> </w:t>
      </w:r>
      <w:r>
        <w:rPr>
          <w:sz w:val="23"/>
        </w:rPr>
        <w:t>270</w:t>
      </w:r>
      <w:r>
        <w:rPr>
          <w:spacing w:val="-1"/>
          <w:sz w:val="23"/>
        </w:rPr>
        <w:t> </w:t>
      </w:r>
      <w:r>
        <w:rPr>
          <w:sz w:val="23"/>
        </w:rPr>
        <w:t>號</w:t>
      </w:r>
    </w:p>
    <w:p>
      <w:pPr>
        <w:tabs>
          <w:tab w:pos="1089" w:val="left" w:leader="none"/>
        </w:tabs>
        <w:spacing w:line="296" w:lineRule="exact" w:before="0"/>
        <w:ind w:left="398" w:right="0" w:firstLine="0"/>
        <w:jc w:val="left"/>
        <w:rPr>
          <w:sz w:val="23"/>
        </w:rPr>
      </w:pPr>
      <w:r>
        <w:rPr>
          <w:sz w:val="23"/>
        </w:rPr>
        <w:t>電</w:t>
        <w:tab/>
        <w:t>話：07-3877006</w:t>
      </w:r>
    </w:p>
    <w:p>
      <w:pPr>
        <w:tabs>
          <w:tab w:pos="1089" w:val="left" w:leader="none"/>
        </w:tabs>
        <w:spacing w:line="182" w:lineRule="auto" w:before="21"/>
        <w:ind w:left="398" w:right="8377" w:firstLine="0"/>
        <w:jc w:val="left"/>
        <w:rPr>
          <w:sz w:val="23"/>
        </w:rPr>
      </w:pPr>
      <w:r>
        <w:rPr>
          <w:sz w:val="23"/>
        </w:rPr>
        <w:t>出版年月：2022</w:t>
      </w:r>
      <w:r>
        <w:rPr>
          <w:spacing w:val="-2"/>
          <w:sz w:val="23"/>
        </w:rPr>
        <w:t> </w:t>
      </w:r>
      <w:r>
        <w:rPr>
          <w:sz w:val="23"/>
        </w:rPr>
        <w:t>年</w:t>
      </w:r>
      <w:r>
        <w:rPr>
          <w:spacing w:val="-1"/>
          <w:sz w:val="23"/>
        </w:rPr>
        <w:t> </w:t>
      </w:r>
      <w:r>
        <w:rPr>
          <w:sz w:val="23"/>
        </w:rPr>
        <w:t>3</w:t>
      </w:r>
      <w:r>
        <w:rPr>
          <w:spacing w:val="-2"/>
          <w:sz w:val="23"/>
        </w:rPr>
        <w:t> </w:t>
      </w:r>
      <w:r>
        <w:rPr>
          <w:spacing w:val="-12"/>
          <w:sz w:val="23"/>
        </w:rPr>
        <w:t>月</w:t>
      </w:r>
      <w:r>
        <w:rPr>
          <w:sz w:val="23"/>
        </w:rPr>
        <w:t>版</w:t>
        <w:tab/>
        <w:t>次：第七版</w:t>
      </w:r>
    </w:p>
    <w:p>
      <w:pPr>
        <w:tabs>
          <w:tab w:pos="859" w:val="left" w:leader="none"/>
          <w:tab w:pos="1089" w:val="left" w:leader="none"/>
          <w:tab w:pos="1318" w:val="left" w:leader="none"/>
        </w:tabs>
        <w:spacing w:line="182" w:lineRule="auto" w:before="0"/>
        <w:ind w:left="398" w:right="8241" w:firstLine="0"/>
        <w:jc w:val="left"/>
        <w:rPr>
          <w:sz w:val="23"/>
        </w:rPr>
      </w:pPr>
      <w:r>
        <w:rPr>
          <w:sz w:val="23"/>
        </w:rPr>
        <w:t>定</w:t>
        <w:tab/>
        <w:tab/>
        <w:t>價：新台幣</w:t>
      </w:r>
      <w:r>
        <w:rPr>
          <w:spacing w:val="-2"/>
          <w:sz w:val="23"/>
        </w:rPr>
        <w:t> </w:t>
      </w:r>
      <w:r>
        <w:rPr>
          <w:sz w:val="23"/>
        </w:rPr>
        <w:t>200</w:t>
      </w:r>
      <w:r>
        <w:rPr>
          <w:spacing w:val="-3"/>
          <w:sz w:val="23"/>
        </w:rPr>
        <w:t> </w:t>
      </w:r>
      <w:r>
        <w:rPr>
          <w:spacing w:val="-13"/>
          <w:sz w:val="23"/>
        </w:rPr>
        <w:t>元</w:t>
      </w:r>
      <w:r>
        <w:rPr>
          <w:sz w:val="23"/>
        </w:rPr>
        <w:t>展</w:t>
        <w:tab/>
        <w:t>售</w:t>
        <w:tab/>
        <w:tab/>
        <w:t>處：</w:t>
      </w:r>
    </w:p>
    <w:p>
      <w:pPr>
        <w:pStyle w:val="BodyText"/>
        <w:spacing w:before="9"/>
        <w:rPr>
          <w:sz w:val="3"/>
        </w:rPr>
      </w:pPr>
    </w:p>
    <w:tbl>
      <w:tblPr>
        <w:tblW w:w="0" w:type="auto"/>
        <w:jc w:val="left"/>
        <w:tblInd w:w="3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2"/>
        <w:gridCol w:w="578"/>
        <w:gridCol w:w="489"/>
        <w:gridCol w:w="535"/>
        <w:gridCol w:w="534"/>
        <w:gridCol w:w="521"/>
        <w:gridCol w:w="4053"/>
        <w:gridCol w:w="2487"/>
      </w:tblGrid>
      <w:tr>
        <w:trPr>
          <w:trHeight w:val="296" w:hRule="atLeast"/>
        </w:trPr>
        <w:tc>
          <w:tcPr>
            <w:tcW w:w="662" w:type="dxa"/>
          </w:tcPr>
          <w:p>
            <w:pPr>
              <w:pStyle w:val="TableParagraph"/>
              <w:spacing w:line="276" w:lineRule="exact"/>
              <w:ind w:left="200"/>
              <w:rPr>
                <w:sz w:val="22"/>
              </w:rPr>
            </w:pPr>
            <w:r>
              <w:rPr>
                <w:w w:val="99"/>
                <w:sz w:val="22"/>
              </w:rPr>
              <w:t>基</w:t>
            </w:r>
          </w:p>
        </w:tc>
        <w:tc>
          <w:tcPr>
            <w:tcW w:w="578" w:type="dxa"/>
          </w:tcPr>
          <w:p>
            <w:pPr>
              <w:pStyle w:val="TableParagraph"/>
              <w:spacing w:line="276" w:lineRule="exact"/>
              <w:ind w:right="113"/>
              <w:jc w:val="right"/>
              <w:rPr>
                <w:sz w:val="22"/>
              </w:rPr>
            </w:pPr>
            <w:r>
              <w:rPr>
                <w:w w:val="99"/>
                <w:sz w:val="22"/>
              </w:rPr>
              <w:t>隆</w:t>
            </w:r>
          </w:p>
        </w:tc>
        <w:tc>
          <w:tcPr>
            <w:tcW w:w="2079" w:type="dxa"/>
            <w:gridSpan w:val="4"/>
          </w:tcPr>
          <w:p>
            <w:pPr>
              <w:pStyle w:val="TableParagraph"/>
              <w:spacing w:line="276" w:lineRule="exact"/>
              <w:ind w:left="111"/>
              <w:rPr>
                <w:sz w:val="22"/>
              </w:rPr>
            </w:pPr>
            <w:r>
              <w:rPr>
                <w:sz w:val="22"/>
              </w:rPr>
              <w:t>五南文化海洋書坊</w:t>
            </w:r>
          </w:p>
        </w:tc>
        <w:tc>
          <w:tcPr>
            <w:tcW w:w="4053" w:type="dxa"/>
          </w:tcPr>
          <w:p>
            <w:pPr>
              <w:pStyle w:val="TableParagraph"/>
              <w:spacing w:line="276" w:lineRule="exact"/>
              <w:ind w:left="61"/>
              <w:rPr>
                <w:sz w:val="22"/>
              </w:rPr>
            </w:pPr>
            <w:r>
              <w:rPr>
                <w:sz w:val="22"/>
              </w:rPr>
              <w:t>地址：(202)基隆市北寧路 2 號</w:t>
            </w:r>
          </w:p>
        </w:tc>
        <w:tc>
          <w:tcPr>
            <w:tcW w:w="2487" w:type="dxa"/>
          </w:tcPr>
          <w:p>
            <w:pPr>
              <w:pStyle w:val="TableParagraph"/>
              <w:spacing w:line="276" w:lineRule="exact"/>
              <w:ind w:left="119"/>
              <w:rPr>
                <w:sz w:val="22"/>
              </w:rPr>
            </w:pPr>
            <w:r>
              <w:rPr>
                <w:sz w:val="22"/>
              </w:rPr>
              <w:t>電話：(02)2463-6590</w:t>
            </w:r>
          </w:p>
        </w:tc>
      </w:tr>
      <w:tr>
        <w:trPr>
          <w:trHeight w:val="300" w:hRule="atLeast"/>
        </w:trPr>
        <w:tc>
          <w:tcPr>
            <w:tcW w:w="662" w:type="dxa"/>
          </w:tcPr>
          <w:p>
            <w:pPr>
              <w:pStyle w:val="TableParagraph"/>
              <w:spacing w:line="280" w:lineRule="exact"/>
              <w:ind w:left="200"/>
              <w:rPr>
                <w:sz w:val="22"/>
              </w:rPr>
            </w:pPr>
            <w:r>
              <w:rPr>
                <w:w w:val="99"/>
                <w:sz w:val="22"/>
              </w:rPr>
              <w:t>台</w:t>
            </w:r>
          </w:p>
        </w:tc>
        <w:tc>
          <w:tcPr>
            <w:tcW w:w="578" w:type="dxa"/>
          </w:tcPr>
          <w:p>
            <w:pPr>
              <w:pStyle w:val="TableParagraph"/>
              <w:spacing w:line="280" w:lineRule="exact"/>
              <w:ind w:right="113"/>
              <w:jc w:val="right"/>
              <w:rPr>
                <w:sz w:val="22"/>
              </w:rPr>
            </w:pPr>
            <w:r>
              <w:rPr>
                <w:w w:val="99"/>
                <w:sz w:val="22"/>
              </w:rPr>
              <w:t>北</w:t>
            </w:r>
          </w:p>
        </w:tc>
        <w:tc>
          <w:tcPr>
            <w:tcW w:w="2079" w:type="dxa"/>
            <w:gridSpan w:val="4"/>
          </w:tcPr>
          <w:p>
            <w:pPr>
              <w:pStyle w:val="TableParagraph"/>
              <w:spacing w:line="280" w:lineRule="exact"/>
              <w:ind w:left="111"/>
              <w:rPr>
                <w:sz w:val="22"/>
              </w:rPr>
            </w:pPr>
            <w:r>
              <w:rPr>
                <w:sz w:val="22"/>
              </w:rPr>
              <w:t>國家書店松江門市</w:t>
            </w:r>
          </w:p>
        </w:tc>
        <w:tc>
          <w:tcPr>
            <w:tcW w:w="4053" w:type="dxa"/>
          </w:tcPr>
          <w:p>
            <w:pPr>
              <w:pStyle w:val="TableParagraph"/>
              <w:spacing w:line="280" w:lineRule="exact"/>
              <w:ind w:left="61"/>
              <w:rPr>
                <w:sz w:val="22"/>
              </w:rPr>
            </w:pPr>
            <w:r>
              <w:rPr>
                <w:sz w:val="22"/>
              </w:rPr>
              <w:t>地址：(104)台北市松江路 209 號 1 樓</w:t>
            </w:r>
          </w:p>
        </w:tc>
        <w:tc>
          <w:tcPr>
            <w:tcW w:w="2487" w:type="dxa"/>
          </w:tcPr>
          <w:p>
            <w:pPr>
              <w:pStyle w:val="TableParagraph"/>
              <w:spacing w:line="280" w:lineRule="exact"/>
              <w:ind w:left="119"/>
              <w:rPr>
                <w:sz w:val="22"/>
              </w:rPr>
            </w:pPr>
            <w:r>
              <w:rPr>
                <w:sz w:val="22"/>
              </w:rPr>
              <w:t>電話：(02)2518-0207</w:t>
            </w:r>
          </w:p>
        </w:tc>
      </w:tr>
      <w:tr>
        <w:trPr>
          <w:trHeight w:val="300" w:hRule="atLeast"/>
        </w:trPr>
        <w:tc>
          <w:tcPr>
            <w:tcW w:w="1240" w:type="dxa"/>
            <w:gridSpan w:val="2"/>
          </w:tcPr>
          <w:p>
            <w:pPr>
              <w:pStyle w:val="TableParagraph"/>
              <w:rPr>
                <w:rFonts w:ascii="Times New Roman"/>
                <w:sz w:val="22"/>
              </w:rPr>
            </w:pPr>
          </w:p>
        </w:tc>
        <w:tc>
          <w:tcPr>
            <w:tcW w:w="2079" w:type="dxa"/>
            <w:gridSpan w:val="4"/>
          </w:tcPr>
          <w:p>
            <w:pPr>
              <w:pStyle w:val="TableParagraph"/>
              <w:spacing w:line="280" w:lineRule="exact"/>
              <w:ind w:left="111"/>
              <w:rPr>
                <w:sz w:val="22"/>
              </w:rPr>
            </w:pPr>
            <w:r>
              <w:rPr>
                <w:sz w:val="22"/>
              </w:rPr>
              <w:t>五南文化北大店 </w:t>
            </w:r>
          </w:p>
        </w:tc>
        <w:tc>
          <w:tcPr>
            <w:tcW w:w="4053" w:type="dxa"/>
          </w:tcPr>
          <w:p>
            <w:pPr>
              <w:pStyle w:val="TableParagraph"/>
              <w:spacing w:line="280" w:lineRule="exact"/>
              <w:ind w:left="61"/>
              <w:rPr>
                <w:sz w:val="22"/>
              </w:rPr>
            </w:pPr>
            <w:r>
              <w:rPr>
                <w:sz w:val="22"/>
              </w:rPr>
              <w:t>地址：(237)新北市三峽區大學路 151 號</w:t>
            </w:r>
          </w:p>
        </w:tc>
        <w:tc>
          <w:tcPr>
            <w:tcW w:w="2487" w:type="dxa"/>
          </w:tcPr>
          <w:p>
            <w:pPr>
              <w:pStyle w:val="TableParagraph"/>
              <w:spacing w:line="280" w:lineRule="exact"/>
              <w:ind w:left="119"/>
              <w:rPr>
                <w:sz w:val="22"/>
              </w:rPr>
            </w:pPr>
            <w:r>
              <w:rPr>
                <w:sz w:val="22"/>
              </w:rPr>
              <w:t>電話：(02)2368-3380</w:t>
            </w:r>
          </w:p>
        </w:tc>
      </w:tr>
      <w:tr>
        <w:trPr>
          <w:trHeight w:val="300" w:hRule="atLeast"/>
        </w:trPr>
        <w:tc>
          <w:tcPr>
            <w:tcW w:w="1240" w:type="dxa"/>
            <w:gridSpan w:val="2"/>
          </w:tcPr>
          <w:p>
            <w:pPr>
              <w:pStyle w:val="TableParagraph"/>
              <w:rPr>
                <w:rFonts w:ascii="Times New Roman"/>
                <w:sz w:val="22"/>
              </w:rPr>
            </w:pPr>
          </w:p>
        </w:tc>
        <w:tc>
          <w:tcPr>
            <w:tcW w:w="2079" w:type="dxa"/>
            <w:gridSpan w:val="4"/>
          </w:tcPr>
          <w:p>
            <w:pPr>
              <w:pStyle w:val="TableParagraph"/>
              <w:spacing w:line="280" w:lineRule="exact"/>
              <w:ind w:left="111"/>
              <w:rPr>
                <w:sz w:val="22"/>
              </w:rPr>
            </w:pPr>
            <w:r>
              <w:rPr>
                <w:sz w:val="22"/>
              </w:rPr>
              <w:t>誠品信義旗艦店 </w:t>
            </w:r>
          </w:p>
        </w:tc>
        <w:tc>
          <w:tcPr>
            <w:tcW w:w="4053" w:type="dxa"/>
          </w:tcPr>
          <w:p>
            <w:pPr>
              <w:pStyle w:val="TableParagraph"/>
              <w:spacing w:line="280" w:lineRule="exact"/>
              <w:ind w:left="61"/>
              <w:rPr>
                <w:sz w:val="22"/>
              </w:rPr>
            </w:pPr>
            <w:r>
              <w:rPr>
                <w:sz w:val="22"/>
              </w:rPr>
              <w:t>地址：(110)台北市信義區松高路 11 號</w:t>
            </w:r>
          </w:p>
        </w:tc>
        <w:tc>
          <w:tcPr>
            <w:tcW w:w="2487" w:type="dxa"/>
          </w:tcPr>
          <w:p>
            <w:pPr>
              <w:pStyle w:val="TableParagraph"/>
              <w:spacing w:line="280" w:lineRule="exact"/>
              <w:ind w:left="119"/>
              <w:rPr>
                <w:sz w:val="22"/>
              </w:rPr>
            </w:pPr>
            <w:r>
              <w:rPr>
                <w:sz w:val="22"/>
              </w:rPr>
              <w:t>電話：(02)8789-3388</w:t>
            </w:r>
          </w:p>
        </w:tc>
      </w:tr>
      <w:tr>
        <w:trPr>
          <w:trHeight w:val="299" w:hRule="atLeast"/>
        </w:trPr>
        <w:tc>
          <w:tcPr>
            <w:tcW w:w="662" w:type="dxa"/>
          </w:tcPr>
          <w:p>
            <w:pPr>
              <w:pStyle w:val="TableParagraph"/>
              <w:spacing w:line="280" w:lineRule="exact"/>
              <w:ind w:left="200"/>
              <w:rPr>
                <w:sz w:val="22"/>
              </w:rPr>
            </w:pPr>
            <w:r>
              <w:rPr>
                <w:w w:val="99"/>
                <w:sz w:val="22"/>
              </w:rPr>
              <w:t>台</w:t>
            </w:r>
          </w:p>
        </w:tc>
        <w:tc>
          <w:tcPr>
            <w:tcW w:w="578" w:type="dxa"/>
          </w:tcPr>
          <w:p>
            <w:pPr>
              <w:pStyle w:val="TableParagraph"/>
              <w:spacing w:line="280" w:lineRule="exact"/>
              <w:ind w:right="113"/>
              <w:jc w:val="right"/>
              <w:rPr>
                <w:sz w:val="22"/>
              </w:rPr>
            </w:pPr>
            <w:r>
              <w:rPr>
                <w:w w:val="99"/>
                <w:sz w:val="22"/>
              </w:rPr>
              <w:t>中</w:t>
            </w:r>
          </w:p>
        </w:tc>
        <w:tc>
          <w:tcPr>
            <w:tcW w:w="2079" w:type="dxa"/>
            <w:gridSpan w:val="4"/>
          </w:tcPr>
          <w:p>
            <w:pPr>
              <w:pStyle w:val="TableParagraph"/>
              <w:spacing w:line="280" w:lineRule="exact"/>
              <w:ind w:left="111"/>
              <w:rPr>
                <w:sz w:val="22"/>
              </w:rPr>
            </w:pPr>
            <w:r>
              <w:rPr>
                <w:sz w:val="22"/>
              </w:rPr>
              <w:t>五南文化台中總店</w:t>
            </w:r>
          </w:p>
        </w:tc>
        <w:tc>
          <w:tcPr>
            <w:tcW w:w="4053" w:type="dxa"/>
          </w:tcPr>
          <w:p>
            <w:pPr>
              <w:pStyle w:val="TableParagraph"/>
              <w:spacing w:line="280" w:lineRule="exact"/>
              <w:ind w:left="61"/>
              <w:rPr>
                <w:sz w:val="22"/>
              </w:rPr>
            </w:pPr>
            <w:r>
              <w:rPr>
                <w:sz w:val="22"/>
              </w:rPr>
              <w:t>地址：(400)台中市中區中山路 6 號</w:t>
            </w:r>
          </w:p>
        </w:tc>
        <w:tc>
          <w:tcPr>
            <w:tcW w:w="2487" w:type="dxa"/>
          </w:tcPr>
          <w:p>
            <w:pPr>
              <w:pStyle w:val="TableParagraph"/>
              <w:spacing w:line="280" w:lineRule="exact"/>
              <w:ind w:left="119"/>
              <w:rPr>
                <w:sz w:val="22"/>
              </w:rPr>
            </w:pPr>
            <w:r>
              <w:rPr>
                <w:sz w:val="22"/>
              </w:rPr>
              <w:t>電話：(04)2226-0330</w:t>
            </w:r>
          </w:p>
        </w:tc>
      </w:tr>
      <w:tr>
        <w:trPr>
          <w:trHeight w:val="300" w:hRule="atLeast"/>
        </w:trPr>
        <w:tc>
          <w:tcPr>
            <w:tcW w:w="1240" w:type="dxa"/>
            <w:gridSpan w:val="2"/>
          </w:tcPr>
          <w:p>
            <w:pPr>
              <w:pStyle w:val="TableParagraph"/>
              <w:rPr>
                <w:rFonts w:ascii="Times New Roman"/>
                <w:sz w:val="22"/>
              </w:rPr>
            </w:pPr>
          </w:p>
        </w:tc>
        <w:tc>
          <w:tcPr>
            <w:tcW w:w="489" w:type="dxa"/>
          </w:tcPr>
          <w:p>
            <w:pPr>
              <w:pStyle w:val="TableParagraph"/>
              <w:spacing w:line="280" w:lineRule="exact"/>
              <w:ind w:left="111"/>
              <w:rPr>
                <w:sz w:val="22"/>
              </w:rPr>
            </w:pPr>
            <w:r>
              <w:rPr>
                <w:w w:val="99"/>
                <w:sz w:val="22"/>
              </w:rPr>
              <w:t>嶺</w:t>
            </w:r>
          </w:p>
        </w:tc>
        <w:tc>
          <w:tcPr>
            <w:tcW w:w="535" w:type="dxa"/>
          </w:tcPr>
          <w:p>
            <w:pPr>
              <w:pStyle w:val="TableParagraph"/>
              <w:spacing w:line="280" w:lineRule="exact"/>
              <w:ind w:left="158"/>
              <w:rPr>
                <w:sz w:val="22"/>
              </w:rPr>
            </w:pPr>
            <w:r>
              <w:rPr>
                <w:w w:val="99"/>
                <w:sz w:val="22"/>
              </w:rPr>
              <w:t>東</w:t>
            </w:r>
          </w:p>
        </w:tc>
        <w:tc>
          <w:tcPr>
            <w:tcW w:w="534" w:type="dxa"/>
          </w:tcPr>
          <w:p>
            <w:pPr>
              <w:pStyle w:val="TableParagraph"/>
              <w:spacing w:line="280" w:lineRule="exact"/>
              <w:ind w:left="158"/>
              <w:rPr>
                <w:sz w:val="22"/>
              </w:rPr>
            </w:pPr>
            <w:r>
              <w:rPr>
                <w:w w:val="99"/>
                <w:sz w:val="22"/>
              </w:rPr>
              <w:t>書</w:t>
            </w:r>
          </w:p>
        </w:tc>
        <w:tc>
          <w:tcPr>
            <w:tcW w:w="521" w:type="dxa"/>
          </w:tcPr>
          <w:p>
            <w:pPr>
              <w:pStyle w:val="TableParagraph"/>
              <w:spacing w:line="280" w:lineRule="exact"/>
              <w:ind w:left="158"/>
              <w:rPr>
                <w:sz w:val="22"/>
              </w:rPr>
            </w:pPr>
            <w:r>
              <w:rPr>
                <w:w w:val="99"/>
                <w:sz w:val="22"/>
              </w:rPr>
              <w:t>坊</w:t>
            </w:r>
          </w:p>
        </w:tc>
        <w:tc>
          <w:tcPr>
            <w:tcW w:w="4053" w:type="dxa"/>
          </w:tcPr>
          <w:p>
            <w:pPr>
              <w:pStyle w:val="TableParagraph"/>
              <w:spacing w:line="280" w:lineRule="exact"/>
              <w:ind w:left="61"/>
              <w:rPr>
                <w:sz w:val="22"/>
              </w:rPr>
            </w:pPr>
            <w:r>
              <w:rPr>
                <w:sz w:val="22"/>
              </w:rPr>
              <w:t>地址：(408)台中市南屯區嶺東路 1 號</w:t>
            </w:r>
          </w:p>
        </w:tc>
        <w:tc>
          <w:tcPr>
            <w:tcW w:w="2487" w:type="dxa"/>
          </w:tcPr>
          <w:p>
            <w:pPr>
              <w:pStyle w:val="TableParagraph"/>
              <w:spacing w:line="280" w:lineRule="exact"/>
              <w:ind w:left="119"/>
              <w:rPr>
                <w:sz w:val="22"/>
              </w:rPr>
            </w:pPr>
            <w:r>
              <w:rPr>
                <w:sz w:val="22"/>
              </w:rPr>
              <w:t>電話：(04)2385-3672</w:t>
            </w:r>
          </w:p>
        </w:tc>
      </w:tr>
      <w:tr>
        <w:trPr>
          <w:trHeight w:val="300" w:hRule="atLeast"/>
        </w:trPr>
        <w:tc>
          <w:tcPr>
            <w:tcW w:w="662" w:type="dxa"/>
          </w:tcPr>
          <w:p>
            <w:pPr>
              <w:pStyle w:val="TableParagraph"/>
              <w:spacing w:line="280" w:lineRule="exact"/>
              <w:ind w:left="200"/>
              <w:rPr>
                <w:sz w:val="22"/>
              </w:rPr>
            </w:pPr>
            <w:r>
              <w:rPr>
                <w:w w:val="99"/>
                <w:sz w:val="22"/>
              </w:rPr>
              <w:t>高</w:t>
            </w:r>
          </w:p>
        </w:tc>
        <w:tc>
          <w:tcPr>
            <w:tcW w:w="578" w:type="dxa"/>
          </w:tcPr>
          <w:p>
            <w:pPr>
              <w:pStyle w:val="TableParagraph"/>
              <w:spacing w:line="280" w:lineRule="exact"/>
              <w:ind w:right="113"/>
              <w:jc w:val="right"/>
              <w:rPr>
                <w:sz w:val="22"/>
              </w:rPr>
            </w:pPr>
            <w:r>
              <w:rPr>
                <w:w w:val="99"/>
                <w:sz w:val="22"/>
              </w:rPr>
              <w:t>雄</w:t>
            </w:r>
          </w:p>
        </w:tc>
        <w:tc>
          <w:tcPr>
            <w:tcW w:w="2079" w:type="dxa"/>
            <w:gridSpan w:val="4"/>
          </w:tcPr>
          <w:p>
            <w:pPr>
              <w:pStyle w:val="TableParagraph"/>
              <w:spacing w:line="280" w:lineRule="exact"/>
              <w:ind w:left="111"/>
              <w:rPr>
                <w:sz w:val="22"/>
              </w:rPr>
            </w:pPr>
            <w:r>
              <w:rPr>
                <w:sz w:val="22"/>
              </w:rPr>
              <w:t>五南文化高雄店 </w:t>
            </w:r>
          </w:p>
        </w:tc>
        <w:tc>
          <w:tcPr>
            <w:tcW w:w="4053" w:type="dxa"/>
          </w:tcPr>
          <w:p>
            <w:pPr>
              <w:pStyle w:val="TableParagraph"/>
              <w:spacing w:line="280" w:lineRule="exact"/>
              <w:ind w:left="61"/>
              <w:rPr>
                <w:sz w:val="22"/>
              </w:rPr>
            </w:pPr>
            <w:r>
              <w:rPr>
                <w:sz w:val="22"/>
              </w:rPr>
              <w:t>地址：(800)高雄市中山一路 262 號</w:t>
            </w:r>
          </w:p>
        </w:tc>
        <w:tc>
          <w:tcPr>
            <w:tcW w:w="2487" w:type="dxa"/>
          </w:tcPr>
          <w:p>
            <w:pPr>
              <w:pStyle w:val="TableParagraph"/>
              <w:spacing w:line="280" w:lineRule="exact"/>
              <w:ind w:left="119"/>
              <w:rPr>
                <w:sz w:val="22"/>
              </w:rPr>
            </w:pPr>
            <w:r>
              <w:rPr>
                <w:sz w:val="22"/>
              </w:rPr>
              <w:t>電話：(07)235-1960</w:t>
            </w:r>
          </w:p>
        </w:tc>
      </w:tr>
      <w:tr>
        <w:trPr>
          <w:trHeight w:val="333" w:hRule="atLeast"/>
        </w:trPr>
        <w:tc>
          <w:tcPr>
            <w:tcW w:w="662" w:type="dxa"/>
          </w:tcPr>
          <w:p>
            <w:pPr>
              <w:pStyle w:val="TableParagraph"/>
              <w:spacing w:line="313" w:lineRule="exact"/>
              <w:ind w:left="200"/>
              <w:rPr>
                <w:sz w:val="22"/>
              </w:rPr>
            </w:pPr>
            <w:r>
              <w:rPr>
                <w:w w:val="99"/>
                <w:sz w:val="22"/>
              </w:rPr>
              <w:t>屏</w:t>
            </w:r>
          </w:p>
        </w:tc>
        <w:tc>
          <w:tcPr>
            <w:tcW w:w="578" w:type="dxa"/>
          </w:tcPr>
          <w:p>
            <w:pPr>
              <w:pStyle w:val="TableParagraph"/>
              <w:spacing w:line="313" w:lineRule="exact"/>
              <w:ind w:right="113"/>
              <w:jc w:val="right"/>
              <w:rPr>
                <w:sz w:val="22"/>
              </w:rPr>
            </w:pPr>
            <w:r>
              <w:rPr>
                <w:w w:val="99"/>
                <w:sz w:val="22"/>
              </w:rPr>
              <w:t>東</w:t>
            </w:r>
          </w:p>
        </w:tc>
        <w:tc>
          <w:tcPr>
            <w:tcW w:w="2079" w:type="dxa"/>
            <w:gridSpan w:val="4"/>
          </w:tcPr>
          <w:p>
            <w:pPr>
              <w:pStyle w:val="TableParagraph"/>
              <w:spacing w:line="313" w:lineRule="exact"/>
              <w:ind w:left="111"/>
              <w:rPr>
                <w:sz w:val="22"/>
              </w:rPr>
            </w:pPr>
            <w:r>
              <w:rPr>
                <w:sz w:val="22"/>
              </w:rPr>
              <w:t>五南文化屏東店 </w:t>
            </w:r>
          </w:p>
        </w:tc>
        <w:tc>
          <w:tcPr>
            <w:tcW w:w="4053" w:type="dxa"/>
          </w:tcPr>
          <w:p>
            <w:pPr>
              <w:pStyle w:val="TableParagraph"/>
              <w:spacing w:line="313" w:lineRule="exact"/>
              <w:ind w:left="61"/>
              <w:rPr>
                <w:sz w:val="22"/>
              </w:rPr>
            </w:pPr>
            <w:r>
              <w:rPr>
                <w:sz w:val="22"/>
              </w:rPr>
              <w:t>地址：(900)屏東市中山路 46-2 號</w:t>
            </w:r>
          </w:p>
        </w:tc>
        <w:tc>
          <w:tcPr>
            <w:tcW w:w="2487" w:type="dxa"/>
          </w:tcPr>
          <w:p>
            <w:pPr>
              <w:pStyle w:val="TableParagraph"/>
              <w:spacing w:line="313" w:lineRule="exact"/>
              <w:ind w:left="119"/>
              <w:rPr>
                <w:sz w:val="22"/>
              </w:rPr>
            </w:pPr>
            <w:r>
              <w:rPr>
                <w:sz w:val="22"/>
              </w:rPr>
              <w:t>電話：(08)732-4020</w:t>
            </w:r>
          </w:p>
        </w:tc>
      </w:tr>
      <w:tr>
        <w:trPr>
          <w:trHeight w:val="337" w:hRule="atLeast"/>
        </w:trPr>
        <w:tc>
          <w:tcPr>
            <w:tcW w:w="1240" w:type="dxa"/>
            <w:gridSpan w:val="2"/>
          </w:tcPr>
          <w:p>
            <w:pPr>
              <w:pStyle w:val="TableParagraph"/>
              <w:spacing w:line="318" w:lineRule="exact"/>
              <w:ind w:left="200"/>
              <w:rPr>
                <w:sz w:val="22"/>
              </w:rPr>
            </w:pPr>
            <w:r>
              <w:rPr>
                <w:sz w:val="22"/>
              </w:rPr>
              <w:t>網路書店</w:t>
            </w:r>
          </w:p>
        </w:tc>
        <w:tc>
          <w:tcPr>
            <w:tcW w:w="2079" w:type="dxa"/>
            <w:gridSpan w:val="4"/>
          </w:tcPr>
          <w:p>
            <w:pPr>
              <w:pStyle w:val="TableParagraph"/>
              <w:spacing w:line="318" w:lineRule="exact"/>
              <w:ind w:left="111"/>
              <w:rPr>
                <w:sz w:val="22"/>
              </w:rPr>
            </w:pPr>
            <w:r>
              <w:rPr>
                <w:sz w:val="22"/>
              </w:rPr>
              <w:t>國 家 網 路 書 店</w:t>
            </w:r>
          </w:p>
        </w:tc>
        <w:tc>
          <w:tcPr>
            <w:tcW w:w="4053" w:type="dxa"/>
          </w:tcPr>
          <w:p>
            <w:pPr>
              <w:pStyle w:val="TableParagraph"/>
              <w:spacing w:line="318" w:lineRule="exact"/>
              <w:ind w:left="61"/>
              <w:rPr>
                <w:sz w:val="22"/>
              </w:rPr>
            </w:pPr>
            <w:r>
              <w:rPr>
                <w:sz w:val="22"/>
              </w:rPr>
              <w:t>網址：</w:t>
            </w:r>
            <w:hyperlink r:id="rId91">
              <w:r>
                <w:rPr>
                  <w:sz w:val="22"/>
                  <w:u w:val="single"/>
                </w:rPr>
                <w:t>http://www.govbooks.com.tw</w:t>
              </w:r>
            </w:hyperlink>
          </w:p>
        </w:tc>
        <w:tc>
          <w:tcPr>
            <w:tcW w:w="2487" w:type="dxa"/>
          </w:tcPr>
          <w:p>
            <w:pPr>
              <w:pStyle w:val="TableParagraph"/>
              <w:rPr>
                <w:rFonts w:ascii="Times New Roman"/>
                <w:sz w:val="22"/>
              </w:rPr>
            </w:pPr>
          </w:p>
        </w:tc>
      </w:tr>
      <w:tr>
        <w:trPr>
          <w:trHeight w:val="309" w:hRule="atLeast"/>
        </w:trPr>
        <w:tc>
          <w:tcPr>
            <w:tcW w:w="1240" w:type="dxa"/>
            <w:gridSpan w:val="2"/>
          </w:tcPr>
          <w:p>
            <w:pPr>
              <w:pStyle w:val="TableParagraph"/>
              <w:rPr>
                <w:rFonts w:ascii="Times New Roman"/>
                <w:sz w:val="22"/>
              </w:rPr>
            </w:pPr>
          </w:p>
        </w:tc>
        <w:tc>
          <w:tcPr>
            <w:tcW w:w="2079" w:type="dxa"/>
            <w:gridSpan w:val="4"/>
          </w:tcPr>
          <w:p>
            <w:pPr>
              <w:pStyle w:val="TableParagraph"/>
              <w:spacing w:line="290" w:lineRule="exact"/>
              <w:ind w:left="111"/>
              <w:rPr>
                <w:sz w:val="22"/>
              </w:rPr>
            </w:pPr>
            <w:r>
              <w:rPr>
                <w:sz w:val="22"/>
              </w:rPr>
              <w:t>五 南 網 路 書 店</w:t>
            </w:r>
          </w:p>
        </w:tc>
        <w:tc>
          <w:tcPr>
            <w:tcW w:w="6540" w:type="dxa"/>
            <w:gridSpan w:val="2"/>
          </w:tcPr>
          <w:p>
            <w:pPr>
              <w:pStyle w:val="TableParagraph"/>
              <w:spacing w:line="290" w:lineRule="exact"/>
              <w:ind w:left="61"/>
              <w:rPr>
                <w:sz w:val="22"/>
              </w:rPr>
            </w:pPr>
            <w:r>
              <w:rPr>
                <w:sz w:val="22"/>
              </w:rPr>
              <w:t>網址：</w:t>
            </w:r>
            <w:hyperlink r:id="rId91">
              <w:r>
                <w:rPr>
                  <w:sz w:val="22"/>
                  <w:u w:val="single"/>
                </w:rPr>
                <w:t>http://www.wunanbooks.com.tw/</w:t>
              </w:r>
            </w:hyperlink>
          </w:p>
        </w:tc>
      </w:tr>
      <w:tr>
        <w:trPr>
          <w:trHeight w:val="310" w:hRule="atLeast"/>
        </w:trPr>
        <w:tc>
          <w:tcPr>
            <w:tcW w:w="1240" w:type="dxa"/>
            <w:gridSpan w:val="2"/>
          </w:tcPr>
          <w:p>
            <w:pPr>
              <w:pStyle w:val="TableParagraph"/>
              <w:rPr>
                <w:rFonts w:ascii="Times New Roman"/>
                <w:sz w:val="22"/>
              </w:rPr>
            </w:pPr>
          </w:p>
        </w:tc>
        <w:tc>
          <w:tcPr>
            <w:tcW w:w="2079" w:type="dxa"/>
            <w:gridSpan w:val="4"/>
          </w:tcPr>
          <w:p>
            <w:pPr>
              <w:pStyle w:val="TableParagraph"/>
              <w:spacing w:line="290" w:lineRule="exact"/>
              <w:ind w:left="111"/>
              <w:rPr>
                <w:sz w:val="22"/>
              </w:rPr>
            </w:pPr>
            <w:r>
              <w:rPr>
                <w:sz w:val="22"/>
              </w:rPr>
              <w:t>誠 品 網 路 書 店</w:t>
            </w:r>
          </w:p>
        </w:tc>
        <w:tc>
          <w:tcPr>
            <w:tcW w:w="4053" w:type="dxa"/>
          </w:tcPr>
          <w:p>
            <w:pPr>
              <w:pStyle w:val="TableParagraph"/>
              <w:spacing w:line="290" w:lineRule="exact"/>
              <w:ind w:left="61"/>
              <w:rPr>
                <w:sz w:val="22"/>
              </w:rPr>
            </w:pPr>
            <w:r>
              <w:rPr>
                <w:sz w:val="22"/>
              </w:rPr>
              <w:t>網址：</w:t>
            </w:r>
            <w:hyperlink r:id="rId92">
              <w:r>
                <w:rPr>
                  <w:sz w:val="22"/>
                  <w:u w:val="single"/>
                </w:rPr>
                <w:t>http://www.eslitebooks.com/</w:t>
              </w:r>
            </w:hyperlink>
          </w:p>
        </w:tc>
        <w:tc>
          <w:tcPr>
            <w:tcW w:w="2487" w:type="dxa"/>
          </w:tcPr>
          <w:p>
            <w:pPr>
              <w:pStyle w:val="TableParagraph"/>
              <w:rPr>
                <w:rFonts w:ascii="Times New Roman"/>
                <w:sz w:val="22"/>
              </w:rPr>
            </w:pPr>
          </w:p>
        </w:tc>
      </w:tr>
      <w:tr>
        <w:trPr>
          <w:trHeight w:val="301" w:hRule="atLeast"/>
        </w:trPr>
        <w:tc>
          <w:tcPr>
            <w:tcW w:w="1240" w:type="dxa"/>
            <w:gridSpan w:val="2"/>
          </w:tcPr>
          <w:p>
            <w:pPr>
              <w:pStyle w:val="TableParagraph"/>
              <w:rPr>
                <w:rFonts w:ascii="Times New Roman"/>
                <w:sz w:val="22"/>
              </w:rPr>
            </w:pPr>
          </w:p>
        </w:tc>
        <w:tc>
          <w:tcPr>
            <w:tcW w:w="2079" w:type="dxa"/>
            <w:gridSpan w:val="4"/>
          </w:tcPr>
          <w:p>
            <w:pPr>
              <w:pStyle w:val="TableParagraph"/>
              <w:spacing w:line="281" w:lineRule="exact"/>
              <w:ind w:left="111"/>
              <w:rPr>
                <w:sz w:val="22"/>
              </w:rPr>
            </w:pPr>
            <w:r>
              <w:rPr>
                <w:sz w:val="22"/>
              </w:rPr>
              <w:t>博客來網路書店 </w:t>
            </w:r>
          </w:p>
        </w:tc>
        <w:tc>
          <w:tcPr>
            <w:tcW w:w="4053" w:type="dxa"/>
          </w:tcPr>
          <w:p>
            <w:pPr>
              <w:pStyle w:val="TableParagraph"/>
              <w:spacing w:line="281" w:lineRule="exact"/>
              <w:ind w:left="61"/>
              <w:rPr>
                <w:sz w:val="22"/>
              </w:rPr>
            </w:pPr>
            <w:r>
              <w:rPr>
                <w:sz w:val="22"/>
              </w:rPr>
              <w:t>網址：</w:t>
            </w:r>
            <w:hyperlink r:id="rId93">
              <w:r>
                <w:rPr>
                  <w:sz w:val="22"/>
                  <w:u w:val="single"/>
                </w:rPr>
                <w:t>http://www.books.com.tw/</w:t>
              </w:r>
            </w:hyperlink>
          </w:p>
        </w:tc>
        <w:tc>
          <w:tcPr>
            <w:tcW w:w="2487" w:type="dxa"/>
          </w:tcPr>
          <w:p>
            <w:pPr>
              <w:pStyle w:val="TableParagraph"/>
              <w:rPr>
                <w:rFonts w:ascii="Times New Roman"/>
                <w:sz w:val="22"/>
              </w:rPr>
            </w:pPr>
          </w:p>
        </w:tc>
      </w:tr>
    </w:tbl>
    <w:p>
      <w:pPr>
        <w:pStyle w:val="Heading4"/>
        <w:spacing w:line="412" w:lineRule="exact"/>
      </w:pPr>
      <w:r>
        <w:rPr/>
        <w:t>GPN：</w:t>
      </w:r>
    </w:p>
    <w:p>
      <w:pPr>
        <w:tabs>
          <w:tab w:pos="6616" w:val="left" w:leader="none"/>
        </w:tabs>
        <w:spacing w:line="456" w:lineRule="exact" w:before="0"/>
        <w:ind w:left="398" w:right="0" w:firstLine="0"/>
        <w:jc w:val="left"/>
        <w:rPr>
          <w:sz w:val="28"/>
        </w:rPr>
      </w:pPr>
      <w:r>
        <w:rPr>
          <w:spacing w:val="-3"/>
          <w:sz w:val="28"/>
        </w:rPr>
        <w:t>ISBN：</w:t>
        <w:tab/>
      </w:r>
      <w:r>
        <w:rPr>
          <w:sz w:val="28"/>
        </w:rPr>
        <w:t>（平/精裝）</w:t>
      </w:r>
    </w:p>
    <w:p>
      <w:pPr>
        <w:spacing w:line="372" w:lineRule="exact" w:before="0"/>
        <w:ind w:left="398" w:right="0" w:firstLine="0"/>
        <w:jc w:val="left"/>
        <w:rPr>
          <w:sz w:val="22"/>
        </w:rPr>
      </w:pPr>
      <w:r>
        <w:rPr>
          <w:sz w:val="22"/>
        </w:rPr>
        <w:t>本書同時登載於衛生福利部疾病管制署網站，網址 </w:t>
      </w:r>
      <w:hyperlink r:id="rId90">
        <w:r>
          <w:rPr>
            <w:sz w:val="22"/>
          </w:rPr>
          <w:t>http://www.cdc.gov.tw</w:t>
        </w:r>
      </w:hyperlink>
    </w:p>
    <w:p>
      <w:pPr>
        <w:spacing w:line="382" w:lineRule="exact" w:before="0"/>
        <w:ind w:left="398" w:right="0" w:firstLine="0"/>
        <w:jc w:val="left"/>
        <w:rPr>
          <w:sz w:val="22"/>
        </w:rPr>
      </w:pPr>
      <w:r>
        <w:rPr>
          <w:sz w:val="22"/>
        </w:rPr>
        <w:t>請尊重智慧財產權，欲利用內容者，須徵求衛生福利部疾病管制署同意或書面授權</w:t>
      </w:r>
    </w:p>
    <w:sectPr>
      <w:footerReference w:type="default" r:id="rId89"/>
      <w:pgSz w:w="12250" w:h="17190"/>
      <w:pgMar w:footer="0" w:header="0" w:top="1500" w:bottom="280" w:left="10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微軟正黑體">
    <w:altName w:val="微軟正黑體"/>
    <w:charset w:val="88"/>
    <w:family w:val="swiss"/>
    <w:pitch w:val="variable"/>
  </w:font>
  <w:font w:name="Symbol">
    <w:altName w:val="Symbol"/>
    <w:charset w:val="2"/>
    <w:family w:val="roman"/>
    <w:pitch w:val="variable"/>
  </w:font>
  <w:font w:name="Arial">
    <w:altName w:val="Arial"/>
    <w:charset w:val="0"/>
    <w:family w:val="swiss"/>
    <w:pitch w:val="variable"/>
  </w:font>
  <w:font w:name="Wingdings">
    <w:altName w:val="Wingdings"/>
    <w:charset w:val="2"/>
    <w:family w:val="auto"/>
    <w:pitch w:val="variable"/>
  </w:font>
  <w:font w:name="Calibri">
    <w:altName w:val="Calibri"/>
    <w:charset w:val="0"/>
    <w:family w:val="swiss"/>
    <w:pitch w:val="variable"/>
  </w:font>
  <w:font w:name="Microsoft JhengHei UI">
    <w:altName w:val="Microsoft JhengHei UI"/>
    <w:charset w:val="88"/>
    <w:family w:val="swiss"/>
    <w:pitch w:val="variable"/>
  </w:font>
  <w:font w:name="Wingdings 2">
    <w:altName w:val="Wingdings 2"/>
    <w:charset w:val="2"/>
    <w:family w:val="roman"/>
    <w:pitch w:val="variable"/>
  </w:font>
  <w:font w:name="標楷體">
    <w:altName w:val="標楷體"/>
    <w:charset w:val="88"/>
    <w:family w:val="script"/>
    <w:pitch w:val="fixed"/>
  </w:font>
  <w:font w:name="新細明體">
    <w:altName w:val="新細明體"/>
    <w:charset w:val="88"/>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8.981201pt;margin-top:802.840271pt;width:14.45pt;height:15.6pt;mso-position-horizontal-relative:page;mso-position-vertical-relative:page;z-index:-268849152" type="#_x0000_t202" filled="false" stroked="false">
          <v:textbox inset="0,0,0,0">
            <w:txbxContent>
              <w:p>
                <w:pPr>
                  <w:spacing w:line="311" w:lineRule="exact" w:before="0"/>
                  <w:ind w:left="60" w:right="0" w:firstLine="0"/>
                  <w:jc w:val="left"/>
                  <w:rPr>
                    <w:sz w:val="20"/>
                  </w:rPr>
                </w:pPr>
                <w:r>
                  <w:rPr/>
                  <w:fldChar w:fldCharType="begin"/>
                </w:r>
                <w:r>
                  <w:rPr>
                    <w:sz w:val="20"/>
                  </w:rPr>
                  <w:instrText> PAGE  \* ROMAN </w:instrText>
                </w:r>
                <w:r>
                  <w:rPr/>
                  <w:fldChar w:fldCharType="separate"/>
                </w:r>
                <w:r>
                  <w:rPr/>
                  <w:t>III</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22.582397pt;margin-top:556.538513pt;width:13.75pt;height:15.35pt;mso-position-horizontal-relative:page;mso-position-vertical-relative:page;z-index:-268848128" type="#_x0000_t202" filled="false" stroked="false">
          <v:textbox inset="0,0,0,0">
            <w:txbxContent>
              <w:p>
                <w:pPr>
                  <w:spacing w:line="307" w:lineRule="exact" w:before="0"/>
                  <w:ind w:left="60" w:right="0" w:firstLine="0"/>
                  <w:jc w:val="left"/>
                  <w:rPr>
                    <w:sz w:val="20"/>
                  </w:rPr>
                </w:pPr>
                <w:r>
                  <w:rPr/>
                  <w:fldChar w:fldCharType="begin"/>
                </w:r>
                <w:r>
                  <w:rPr>
                    <w:sz w:val="20"/>
                  </w:rPr>
                  <w:instrText> PAGE  \* roman </w:instrText>
                </w:r>
                <w:r>
                  <w:rPr/>
                  <w:fldChar w:fldCharType="separate"/>
                </w:r>
                <w:r>
                  <w:rPr/>
                  <w:t>iii</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6.220001pt;margin-top:802.064758pt;width:20.05pt;height:18.2pt;mso-position-horizontal-relative:page;mso-position-vertical-relative:page;z-index:-268847104" type="#_x0000_t202" filled="false" stroked="false">
          <v:textbox inset="0,0,0,0">
            <w:txbxContent>
              <w:p>
                <w:pPr>
                  <w:spacing w:before="102"/>
                  <w:ind w:left="60" w:right="0" w:firstLine="0"/>
                  <w:jc w:val="left"/>
                  <w:rPr>
                    <w:rFonts w:ascii="Times New Roman"/>
                    <w:sz w:val="21"/>
                  </w:rPr>
                </w:pPr>
                <w:r>
                  <w:rPr/>
                  <w:fldChar w:fldCharType="begin"/>
                </w:r>
                <w:r>
                  <w:rPr>
                    <w:rFonts w:ascii="Times New Roman"/>
                    <w:sz w:val="21"/>
                  </w:rPr>
                  <w:instrText> PAGE  \* roman </w:instrText>
                </w:r>
                <w:r>
                  <w:rPr/>
                  <w:fldChar w:fldCharType="separate"/>
                </w:r>
                <w:r>
                  <w:rPr/>
                  <w:t>viii</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7.899994pt;margin-top:805.583313pt;width:16.650pt;height:14.65pt;mso-position-horizontal-relative:page;mso-position-vertical-relative:page;z-index:-268846080" type="#_x0000_t202" filled="false" stroked="false">
          <v:textbox inset="0,0,0,0">
            <w:txbxContent>
              <w:p>
                <w:pPr>
                  <w:spacing w:before="31"/>
                  <w:ind w:left="61" w:right="0" w:firstLine="0"/>
                  <w:jc w:val="left"/>
                  <w:rPr>
                    <w:rFonts w:ascii="Times New Roman"/>
                    <w:sz w:val="21"/>
                  </w:rPr>
                </w:pPr>
                <w:r>
                  <w:rPr/>
                  <w:fldChar w:fldCharType="begin"/>
                </w:r>
                <w:r>
                  <w:rPr>
                    <w:rFonts w:ascii="Times New Roman"/>
                    <w:sz w:val="21"/>
                  </w:rPr>
                  <w:instrText> PAGE </w:instrText>
                </w:r>
                <w:r>
                  <w:rPr/>
                  <w:fldChar w:fldCharType="separate"/>
                </w:r>
                <w:r>
                  <w:rPr/>
                  <w:t>10</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6.480011pt;margin-top:559.943298pt;width:12.6pt;height:13.65pt;mso-position-horizontal-relative:page;mso-position-vertical-relative:page;z-index:-268845056" type="#_x0000_t202" filled="false" stroked="false">
          <v:textbox inset="0,0,0,0">
            <w:txbxContent>
              <w:p>
                <w:pPr>
                  <w:spacing w:before="11"/>
                  <w:ind w:left="20" w:right="0" w:firstLine="0"/>
                  <w:jc w:val="left"/>
                  <w:rPr>
                    <w:rFonts w:ascii="Times New Roman"/>
                    <w:sz w:val="21"/>
                  </w:rPr>
                </w:pPr>
                <w:r>
                  <w:rPr>
                    <w:rFonts w:ascii="Times New Roman"/>
                    <w:sz w:val="21"/>
                  </w:rPr>
                  <w:t>25</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5"/>
      </w:rPr>
    </w:pPr>
    <w:r>
      <w:rPr/>
      <w:pict>
        <v:shape style="position:absolute;margin-left:297.899994pt;margin-top:806.603333pt;width:16.6pt;height:13.65pt;mso-position-horizontal-relative:page;mso-position-vertical-relative:page;z-index:-268844032" type="#_x0000_t202" filled="false" stroked="false">
          <v:textbox inset="0,0,0,0">
            <w:txbxContent>
              <w:p>
                <w:pPr>
                  <w:spacing w:before="11"/>
                  <w:ind w:left="60" w:right="0" w:firstLine="0"/>
                  <w:jc w:val="left"/>
                  <w:rPr>
                    <w:rFonts w:ascii="Times New Roman"/>
                    <w:sz w:val="21"/>
                  </w:rPr>
                </w:pPr>
                <w:r>
                  <w:rPr/>
                  <w:fldChar w:fldCharType="begin"/>
                </w:r>
                <w:r>
                  <w:rPr>
                    <w:rFonts w:ascii="Times New Roman"/>
                    <w:sz w:val="21"/>
                  </w:rPr>
                  <w:instrText> PAGE </w:instrText>
                </w:r>
                <w:r>
                  <w:rPr/>
                  <w:fldChar w:fldCharType="separate"/>
                </w:r>
                <w:r>
                  <w:rPr/>
                  <w:t>66</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21.200012pt;margin-top:559.943298pt;width:16.6pt;height:13.65pt;mso-position-horizontal-relative:page;mso-position-vertical-relative:page;z-index:-268843008" type="#_x0000_t202" filled="false" stroked="false">
          <v:textbox inset="0,0,0,0">
            <w:txbxContent>
              <w:p>
                <w:pPr>
                  <w:spacing w:before="11"/>
                  <w:ind w:left="60" w:right="0" w:firstLine="0"/>
                  <w:jc w:val="left"/>
                  <w:rPr>
                    <w:rFonts w:ascii="Times New Roman"/>
                    <w:sz w:val="21"/>
                  </w:rPr>
                </w:pPr>
                <w:r>
                  <w:rPr/>
                  <w:fldChar w:fldCharType="begin"/>
                </w:r>
                <w:r>
                  <w:rPr>
                    <w:rFonts w:ascii="Times New Roman"/>
                    <w:sz w:val="21"/>
                  </w:rPr>
                  <w:instrText> PAGE </w:instrText>
                </w:r>
                <w:r>
                  <w:rPr/>
                  <w:fldChar w:fldCharType="separate"/>
                </w:r>
                <w:r>
                  <w:rPr/>
                  <w:t>73</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7.899994pt;margin-top:806.603333pt;width:16.6pt;height:13.65pt;mso-position-horizontal-relative:page;mso-position-vertical-relative:page;z-index:-268841984" type="#_x0000_t202" filled="false" stroked="false">
          <v:textbox inset="0,0,0,0">
            <w:txbxContent>
              <w:p>
                <w:pPr>
                  <w:spacing w:before="11"/>
                  <w:ind w:left="60" w:right="0" w:firstLine="0"/>
                  <w:jc w:val="left"/>
                  <w:rPr>
                    <w:rFonts w:ascii="Times New Roman"/>
                    <w:sz w:val="21"/>
                  </w:rPr>
                </w:pPr>
                <w:r>
                  <w:rPr/>
                  <w:fldChar w:fldCharType="begin"/>
                </w:r>
                <w:r>
                  <w:rPr>
                    <w:rFonts w:ascii="Times New Roman"/>
                    <w:sz w:val="21"/>
                  </w:rPr>
                  <w:instrText> PAGE </w:instrText>
                </w:r>
                <w:r>
                  <w:rPr/>
                  <w:fldChar w:fldCharType="separate"/>
                </w:r>
                <w:r>
                  <w:rPr/>
                  <w:t>78</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21.200012pt;margin-top:559.943298pt;width:16.6pt;height:13.65pt;mso-position-horizontal-relative:page;mso-position-vertical-relative:page;z-index:-268840960" type="#_x0000_t202" filled="false" stroked="false">
          <v:textbox inset="0,0,0,0">
            <w:txbxContent>
              <w:p>
                <w:pPr>
                  <w:spacing w:before="11"/>
                  <w:ind w:left="60" w:right="0" w:firstLine="0"/>
                  <w:jc w:val="left"/>
                  <w:rPr>
                    <w:rFonts w:ascii="Times New Roman"/>
                    <w:sz w:val="21"/>
                  </w:rPr>
                </w:pPr>
                <w:r>
                  <w:rPr/>
                  <w:fldChar w:fldCharType="begin"/>
                </w:r>
                <w:r>
                  <w:rPr>
                    <w:rFonts w:ascii="Times New Roman"/>
                    <w:sz w:val="21"/>
                  </w:rPr>
                  <w:instrText> PAGE </w:instrText>
                </w:r>
                <w:r>
                  <w:rPr/>
                  <w:fldChar w:fldCharType="separate"/>
                </w:r>
                <w:r>
                  <w:rPr/>
                  <w:t>87</w:t>
                </w:r>
                <w:r>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5.320007pt;margin-top:806.603333pt;width:21.75pt;height:13.65pt;mso-position-horizontal-relative:page;mso-position-vertical-relative:page;z-index:-268839936" type="#_x0000_t202" filled="false" stroked="false">
          <v:textbox inset="0,0,0,0">
            <w:txbxContent>
              <w:p>
                <w:pPr>
                  <w:spacing w:before="11"/>
                  <w:ind w:left="60" w:right="0" w:firstLine="0"/>
                  <w:jc w:val="left"/>
                  <w:rPr>
                    <w:rFonts w:ascii="Times New Roman"/>
                    <w:sz w:val="21"/>
                  </w:rPr>
                </w:pPr>
                <w:r>
                  <w:rPr/>
                  <w:fldChar w:fldCharType="begin"/>
                </w:r>
                <w:r>
                  <w:rPr>
                    <w:rFonts w:ascii="Times New Roman"/>
                    <w:sz w:val="21"/>
                  </w:rPr>
                  <w:instrText> PAGE </w:instrText>
                </w:r>
                <w:r>
                  <w:rPr/>
                  <w:fldChar w:fldCharType="separate"/>
                </w:r>
                <w:r>
                  <w:rPr/>
                  <w:t>100</w:t>
                </w:r>
                <w:r>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6.359985pt;margin-top:559.943298pt;width:17.75pt;height:13.65pt;mso-position-horizontal-relative:page;mso-position-vertical-relative:page;z-index:-268838912" type="#_x0000_t202" filled="false" stroked="false">
          <v:textbox inset="0,0,0,0">
            <w:txbxContent>
              <w:p>
                <w:pPr>
                  <w:spacing w:before="11"/>
                  <w:ind w:left="20" w:right="0" w:firstLine="0"/>
                  <w:jc w:val="left"/>
                  <w:rPr>
                    <w:rFonts w:ascii="Times New Roman"/>
                    <w:sz w:val="21"/>
                  </w:rPr>
                </w:pPr>
                <w:r>
                  <w:rPr>
                    <w:rFonts w:ascii="Times New Roman"/>
                    <w:sz w:val="21"/>
                  </w:rPr>
                  <w:t>109</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5"/>
      </w:rPr>
    </w:pPr>
    <w:r>
      <w:rPr/>
      <w:pict>
        <v:shape style="position:absolute;margin-left:295.320007pt;margin-top:806.603333pt;width:21.75pt;height:13.65pt;mso-position-horizontal-relative:page;mso-position-vertical-relative:page;z-index:-268837888" type="#_x0000_t202" filled="false" stroked="false">
          <v:textbox inset="0,0,0,0">
            <w:txbxContent>
              <w:p>
                <w:pPr>
                  <w:spacing w:before="11"/>
                  <w:ind w:left="60" w:right="0" w:firstLine="0"/>
                  <w:jc w:val="left"/>
                  <w:rPr>
                    <w:rFonts w:ascii="Times New Roman"/>
                    <w:sz w:val="21"/>
                  </w:rPr>
                </w:pPr>
                <w:r>
                  <w:rPr/>
                  <w:fldChar w:fldCharType="begin"/>
                </w:r>
                <w:r>
                  <w:rPr>
                    <w:rFonts w:ascii="Times New Roman"/>
                    <w:sz w:val="21"/>
                  </w:rPr>
                  <w:instrText> PAGE </w:instrText>
                </w:r>
                <w:r>
                  <w:rPr/>
                  <w:fldChar w:fldCharType="separate"/>
                </w:r>
                <w:r>
                  <w:rPr/>
                  <w:t>124</w:t>
                </w:r>
                <w:r>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8.619995pt;margin-top:559.943298pt;width:21.75pt;height:13.65pt;mso-position-horizontal-relative:page;mso-position-vertical-relative:page;z-index:-268836864" type="#_x0000_t202" filled="false" stroked="false">
          <v:textbox inset="0,0,0,0">
            <w:txbxContent>
              <w:p>
                <w:pPr>
                  <w:spacing w:before="11"/>
                  <w:ind w:left="60" w:right="0" w:firstLine="0"/>
                  <w:jc w:val="left"/>
                  <w:rPr>
                    <w:rFonts w:ascii="Times New Roman"/>
                    <w:sz w:val="21"/>
                  </w:rPr>
                </w:pPr>
                <w:r>
                  <w:rPr/>
                  <w:fldChar w:fldCharType="begin"/>
                </w:r>
                <w:r>
                  <w:rPr>
                    <w:rFonts w:ascii="Times New Roman"/>
                    <w:sz w:val="21"/>
                  </w:rPr>
                  <w:instrText> PAGE </w:instrText>
                </w:r>
                <w:r>
                  <w:rPr/>
                  <w:fldChar w:fldCharType="separate"/>
                </w:r>
                <w:r>
                  <w:rPr/>
                  <w:t>144</w:t>
                </w:r>
                <w:r>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shape style="position:absolute;margin-left:295.320007pt;margin-top:806.603333pt;width:21.75pt;height:13.65pt;mso-position-horizontal-relative:page;mso-position-vertical-relative:page;z-index:-268835840" type="#_x0000_t202" filled="false" stroked="false">
          <v:textbox inset="0,0,0,0">
            <w:txbxContent>
              <w:p>
                <w:pPr>
                  <w:spacing w:before="11"/>
                  <w:ind w:left="60" w:right="0" w:firstLine="0"/>
                  <w:jc w:val="left"/>
                  <w:rPr>
                    <w:rFonts w:ascii="Times New Roman"/>
                    <w:sz w:val="21"/>
                  </w:rPr>
                </w:pPr>
                <w:r>
                  <w:rPr/>
                  <w:fldChar w:fldCharType="begin"/>
                </w:r>
                <w:r>
                  <w:rPr>
                    <w:rFonts w:ascii="Times New Roman"/>
                    <w:sz w:val="21"/>
                  </w:rPr>
                  <w:instrText> PAGE </w:instrText>
                </w:r>
                <w:r>
                  <w:rPr/>
                  <w:fldChar w:fldCharType="separate"/>
                </w:r>
                <w:r>
                  <w:rPr/>
                  <w:t>155</w:t>
                </w:r>
                <w:r>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4">
    <w:multiLevelType w:val="hybridMultilevel"/>
    <w:lvl w:ilvl="0">
      <w:start w:val="1"/>
      <w:numFmt w:val="decimal"/>
      <w:lvlText w:val="%1."/>
      <w:lvlJc w:val="left"/>
      <w:pPr>
        <w:ind w:left="1053" w:hanging="383"/>
        <w:jc w:val="left"/>
      </w:pPr>
      <w:rPr>
        <w:rFonts w:hint="default" w:ascii="微軟正黑體" w:hAnsi="微軟正黑體" w:eastAsia="微軟正黑體" w:cs="微軟正黑體"/>
        <w:w w:val="100"/>
        <w:sz w:val="23"/>
        <w:szCs w:val="23"/>
      </w:rPr>
    </w:lvl>
    <w:lvl w:ilvl="1">
      <w:start w:val="0"/>
      <w:numFmt w:val="bullet"/>
      <w:lvlText w:val="•"/>
      <w:lvlJc w:val="left"/>
      <w:pPr>
        <w:ind w:left="2076" w:hanging="383"/>
      </w:pPr>
      <w:rPr>
        <w:rFonts w:hint="default"/>
      </w:rPr>
    </w:lvl>
    <w:lvl w:ilvl="2">
      <w:start w:val="0"/>
      <w:numFmt w:val="bullet"/>
      <w:lvlText w:val="•"/>
      <w:lvlJc w:val="left"/>
      <w:pPr>
        <w:ind w:left="3093" w:hanging="383"/>
      </w:pPr>
      <w:rPr>
        <w:rFonts w:hint="default"/>
      </w:rPr>
    </w:lvl>
    <w:lvl w:ilvl="3">
      <w:start w:val="0"/>
      <w:numFmt w:val="bullet"/>
      <w:lvlText w:val="•"/>
      <w:lvlJc w:val="left"/>
      <w:pPr>
        <w:ind w:left="4110" w:hanging="383"/>
      </w:pPr>
      <w:rPr>
        <w:rFonts w:hint="default"/>
      </w:rPr>
    </w:lvl>
    <w:lvl w:ilvl="4">
      <w:start w:val="0"/>
      <w:numFmt w:val="bullet"/>
      <w:lvlText w:val="•"/>
      <w:lvlJc w:val="left"/>
      <w:pPr>
        <w:ind w:left="5126" w:hanging="383"/>
      </w:pPr>
      <w:rPr>
        <w:rFonts w:hint="default"/>
      </w:rPr>
    </w:lvl>
    <w:lvl w:ilvl="5">
      <w:start w:val="0"/>
      <w:numFmt w:val="bullet"/>
      <w:lvlText w:val="•"/>
      <w:lvlJc w:val="left"/>
      <w:pPr>
        <w:ind w:left="6143" w:hanging="383"/>
      </w:pPr>
      <w:rPr>
        <w:rFonts w:hint="default"/>
      </w:rPr>
    </w:lvl>
    <w:lvl w:ilvl="6">
      <w:start w:val="0"/>
      <w:numFmt w:val="bullet"/>
      <w:lvlText w:val="•"/>
      <w:lvlJc w:val="left"/>
      <w:pPr>
        <w:ind w:left="7160" w:hanging="383"/>
      </w:pPr>
      <w:rPr>
        <w:rFonts w:hint="default"/>
      </w:rPr>
    </w:lvl>
    <w:lvl w:ilvl="7">
      <w:start w:val="0"/>
      <w:numFmt w:val="bullet"/>
      <w:lvlText w:val="•"/>
      <w:lvlJc w:val="left"/>
      <w:pPr>
        <w:ind w:left="8177" w:hanging="383"/>
      </w:pPr>
      <w:rPr>
        <w:rFonts w:hint="default"/>
      </w:rPr>
    </w:lvl>
    <w:lvl w:ilvl="8">
      <w:start w:val="0"/>
      <w:numFmt w:val="bullet"/>
      <w:lvlText w:val="•"/>
      <w:lvlJc w:val="left"/>
      <w:pPr>
        <w:ind w:left="9193" w:hanging="383"/>
      </w:pPr>
      <w:rPr>
        <w:rFonts w:hint="default"/>
      </w:rPr>
    </w:lvl>
  </w:abstractNum>
  <w:abstractNum w:abstractNumId="183">
    <w:multiLevelType w:val="hybridMultilevel"/>
    <w:lvl w:ilvl="0">
      <w:start w:val="1"/>
      <w:numFmt w:val="decimal"/>
      <w:lvlText w:val="%1."/>
      <w:lvlJc w:val="left"/>
      <w:pPr>
        <w:ind w:left="1305" w:hanging="305"/>
        <w:jc w:val="left"/>
      </w:pPr>
      <w:rPr>
        <w:rFonts w:hint="default" w:ascii="微軟正黑體" w:hAnsi="微軟正黑體" w:eastAsia="微軟正黑體" w:cs="微軟正黑體"/>
        <w:b/>
        <w:bCs/>
        <w:spacing w:val="-16"/>
        <w:w w:val="100"/>
        <w:sz w:val="24"/>
        <w:szCs w:val="24"/>
      </w:rPr>
    </w:lvl>
    <w:lvl w:ilvl="1">
      <w:start w:val="0"/>
      <w:numFmt w:val="bullet"/>
      <w:lvlText w:val="•"/>
      <w:lvlJc w:val="left"/>
      <w:pPr>
        <w:ind w:left="2292" w:hanging="305"/>
      </w:pPr>
      <w:rPr>
        <w:rFonts w:hint="default"/>
      </w:rPr>
    </w:lvl>
    <w:lvl w:ilvl="2">
      <w:start w:val="0"/>
      <w:numFmt w:val="bullet"/>
      <w:lvlText w:val="•"/>
      <w:lvlJc w:val="left"/>
      <w:pPr>
        <w:ind w:left="3285" w:hanging="305"/>
      </w:pPr>
      <w:rPr>
        <w:rFonts w:hint="default"/>
      </w:rPr>
    </w:lvl>
    <w:lvl w:ilvl="3">
      <w:start w:val="0"/>
      <w:numFmt w:val="bullet"/>
      <w:lvlText w:val="•"/>
      <w:lvlJc w:val="left"/>
      <w:pPr>
        <w:ind w:left="4278" w:hanging="305"/>
      </w:pPr>
      <w:rPr>
        <w:rFonts w:hint="default"/>
      </w:rPr>
    </w:lvl>
    <w:lvl w:ilvl="4">
      <w:start w:val="0"/>
      <w:numFmt w:val="bullet"/>
      <w:lvlText w:val="•"/>
      <w:lvlJc w:val="left"/>
      <w:pPr>
        <w:ind w:left="5270" w:hanging="305"/>
      </w:pPr>
      <w:rPr>
        <w:rFonts w:hint="default"/>
      </w:rPr>
    </w:lvl>
    <w:lvl w:ilvl="5">
      <w:start w:val="0"/>
      <w:numFmt w:val="bullet"/>
      <w:lvlText w:val="•"/>
      <w:lvlJc w:val="left"/>
      <w:pPr>
        <w:ind w:left="6263" w:hanging="305"/>
      </w:pPr>
      <w:rPr>
        <w:rFonts w:hint="default"/>
      </w:rPr>
    </w:lvl>
    <w:lvl w:ilvl="6">
      <w:start w:val="0"/>
      <w:numFmt w:val="bullet"/>
      <w:lvlText w:val="•"/>
      <w:lvlJc w:val="left"/>
      <w:pPr>
        <w:ind w:left="7256" w:hanging="305"/>
      </w:pPr>
      <w:rPr>
        <w:rFonts w:hint="default"/>
      </w:rPr>
    </w:lvl>
    <w:lvl w:ilvl="7">
      <w:start w:val="0"/>
      <w:numFmt w:val="bullet"/>
      <w:lvlText w:val="•"/>
      <w:lvlJc w:val="left"/>
      <w:pPr>
        <w:ind w:left="8249" w:hanging="305"/>
      </w:pPr>
      <w:rPr>
        <w:rFonts w:hint="default"/>
      </w:rPr>
    </w:lvl>
    <w:lvl w:ilvl="8">
      <w:start w:val="0"/>
      <w:numFmt w:val="bullet"/>
      <w:lvlText w:val="•"/>
      <w:lvlJc w:val="left"/>
      <w:pPr>
        <w:ind w:left="9241" w:hanging="305"/>
      </w:pPr>
      <w:rPr>
        <w:rFonts w:hint="default"/>
      </w:rPr>
    </w:lvl>
  </w:abstractNum>
  <w:abstractNum w:abstractNumId="182">
    <w:multiLevelType w:val="hybridMultilevel"/>
    <w:lvl w:ilvl="0">
      <w:start w:val="13"/>
      <w:numFmt w:val="decimal"/>
      <w:lvlText w:val="%1"/>
      <w:lvlJc w:val="left"/>
      <w:pPr>
        <w:ind w:left="1316" w:hanging="866"/>
        <w:jc w:val="left"/>
      </w:pPr>
      <w:rPr>
        <w:rFonts w:hint="default"/>
      </w:rPr>
    </w:lvl>
    <w:lvl w:ilvl="1">
      <w:start w:val="3"/>
      <w:numFmt w:val="decimal"/>
      <w:lvlText w:val="%1.%2"/>
      <w:lvlJc w:val="left"/>
      <w:pPr>
        <w:ind w:left="1316" w:hanging="866"/>
        <w:jc w:val="left"/>
      </w:pPr>
      <w:rPr>
        <w:rFonts w:hint="default"/>
      </w:rPr>
    </w:lvl>
    <w:lvl w:ilvl="2">
      <w:start w:val="1"/>
      <w:numFmt w:val="decimal"/>
      <w:lvlText w:val="%1.%2.%3"/>
      <w:lvlJc w:val="left"/>
      <w:pPr>
        <w:ind w:left="1316" w:hanging="866"/>
        <w:jc w:val="left"/>
      </w:pPr>
      <w:rPr>
        <w:rFonts w:hint="default" w:ascii="微軟正黑體" w:hAnsi="微軟正黑體" w:eastAsia="微軟正黑體" w:cs="微軟正黑體"/>
        <w:b/>
        <w:bCs/>
        <w:spacing w:val="-30"/>
        <w:w w:val="96"/>
        <w:sz w:val="24"/>
        <w:szCs w:val="24"/>
      </w:rPr>
    </w:lvl>
    <w:lvl w:ilvl="3">
      <w:start w:val="1"/>
      <w:numFmt w:val="decimal"/>
      <w:lvlText w:val="%4."/>
      <w:lvlJc w:val="left"/>
      <w:pPr>
        <w:ind w:left="1305" w:hanging="305"/>
        <w:jc w:val="left"/>
      </w:pPr>
      <w:rPr>
        <w:rFonts w:hint="default" w:ascii="微軟正黑體" w:hAnsi="微軟正黑體" w:eastAsia="微軟正黑體" w:cs="微軟正黑體"/>
        <w:b/>
        <w:bCs/>
        <w:spacing w:val="-16"/>
        <w:w w:val="100"/>
        <w:sz w:val="24"/>
        <w:szCs w:val="24"/>
      </w:rPr>
    </w:lvl>
    <w:lvl w:ilvl="4">
      <w:start w:val="0"/>
      <w:numFmt w:val="bullet"/>
      <w:lvlText w:val="•"/>
      <w:lvlJc w:val="left"/>
      <w:pPr>
        <w:ind w:left="4622" w:hanging="305"/>
      </w:pPr>
      <w:rPr>
        <w:rFonts w:hint="default"/>
      </w:rPr>
    </w:lvl>
    <w:lvl w:ilvl="5">
      <w:start w:val="0"/>
      <w:numFmt w:val="bullet"/>
      <w:lvlText w:val="•"/>
      <w:lvlJc w:val="left"/>
      <w:pPr>
        <w:ind w:left="5723" w:hanging="305"/>
      </w:pPr>
      <w:rPr>
        <w:rFonts w:hint="default"/>
      </w:rPr>
    </w:lvl>
    <w:lvl w:ilvl="6">
      <w:start w:val="0"/>
      <w:numFmt w:val="bullet"/>
      <w:lvlText w:val="•"/>
      <w:lvlJc w:val="left"/>
      <w:pPr>
        <w:ind w:left="6824" w:hanging="305"/>
      </w:pPr>
      <w:rPr>
        <w:rFonts w:hint="default"/>
      </w:rPr>
    </w:lvl>
    <w:lvl w:ilvl="7">
      <w:start w:val="0"/>
      <w:numFmt w:val="bullet"/>
      <w:lvlText w:val="•"/>
      <w:lvlJc w:val="left"/>
      <w:pPr>
        <w:ind w:left="7924" w:hanging="305"/>
      </w:pPr>
      <w:rPr>
        <w:rFonts w:hint="default"/>
      </w:rPr>
    </w:lvl>
    <w:lvl w:ilvl="8">
      <w:start w:val="0"/>
      <w:numFmt w:val="bullet"/>
      <w:lvlText w:val="•"/>
      <w:lvlJc w:val="left"/>
      <w:pPr>
        <w:ind w:left="9025" w:hanging="305"/>
      </w:pPr>
      <w:rPr>
        <w:rFonts w:hint="default"/>
      </w:rPr>
    </w:lvl>
  </w:abstractNum>
  <w:abstractNum w:abstractNumId="181">
    <w:multiLevelType w:val="hybridMultilevel"/>
    <w:lvl w:ilvl="0">
      <w:start w:val="13"/>
      <w:numFmt w:val="decimal"/>
      <w:lvlText w:val="%1"/>
      <w:lvlJc w:val="left"/>
      <w:pPr>
        <w:ind w:left="975" w:hanging="635"/>
        <w:jc w:val="left"/>
      </w:pPr>
      <w:rPr>
        <w:rFonts w:hint="default"/>
      </w:rPr>
    </w:lvl>
    <w:lvl w:ilvl="1">
      <w:start w:val="1"/>
      <w:numFmt w:val="decimal"/>
      <w:lvlText w:val="%1.%2"/>
      <w:lvlJc w:val="left"/>
      <w:pPr>
        <w:ind w:left="975" w:hanging="635"/>
        <w:jc w:val="left"/>
      </w:pPr>
      <w:rPr>
        <w:rFonts w:hint="default" w:ascii="微軟正黑體" w:hAnsi="微軟正黑體" w:eastAsia="微軟正黑體" w:cs="微軟正黑體"/>
        <w:b/>
        <w:bCs/>
        <w:spacing w:val="0"/>
        <w:w w:val="99"/>
        <w:sz w:val="25"/>
        <w:szCs w:val="25"/>
      </w:rPr>
    </w:lvl>
    <w:lvl w:ilvl="2">
      <w:start w:val="1"/>
      <w:numFmt w:val="decimal"/>
      <w:lvlText w:val="%3."/>
      <w:lvlJc w:val="left"/>
      <w:pPr>
        <w:ind w:left="963" w:hanging="404"/>
        <w:jc w:val="left"/>
      </w:pPr>
      <w:rPr>
        <w:rFonts w:hint="default" w:ascii="微軟正黑體" w:hAnsi="微軟正黑體" w:eastAsia="微軟正黑體" w:cs="微軟正黑體"/>
        <w:b/>
        <w:bCs/>
        <w:spacing w:val="-28"/>
        <w:w w:val="100"/>
        <w:sz w:val="24"/>
        <w:szCs w:val="24"/>
      </w:rPr>
    </w:lvl>
    <w:lvl w:ilvl="3">
      <w:start w:val="0"/>
      <w:numFmt w:val="bullet"/>
      <w:lvlText w:val="•"/>
      <w:lvlJc w:val="left"/>
      <w:pPr>
        <w:ind w:left="3257" w:hanging="404"/>
      </w:pPr>
      <w:rPr>
        <w:rFonts w:hint="default"/>
      </w:rPr>
    </w:lvl>
    <w:lvl w:ilvl="4">
      <w:start w:val="0"/>
      <w:numFmt w:val="bullet"/>
      <w:lvlText w:val="•"/>
      <w:lvlJc w:val="left"/>
      <w:pPr>
        <w:ind w:left="4395" w:hanging="404"/>
      </w:pPr>
      <w:rPr>
        <w:rFonts w:hint="default"/>
      </w:rPr>
    </w:lvl>
    <w:lvl w:ilvl="5">
      <w:start w:val="0"/>
      <w:numFmt w:val="bullet"/>
      <w:lvlText w:val="•"/>
      <w:lvlJc w:val="left"/>
      <w:pPr>
        <w:ind w:left="5534" w:hanging="404"/>
      </w:pPr>
      <w:rPr>
        <w:rFonts w:hint="default"/>
      </w:rPr>
    </w:lvl>
    <w:lvl w:ilvl="6">
      <w:start w:val="0"/>
      <w:numFmt w:val="bullet"/>
      <w:lvlText w:val="•"/>
      <w:lvlJc w:val="left"/>
      <w:pPr>
        <w:ind w:left="6672" w:hanging="404"/>
      </w:pPr>
      <w:rPr>
        <w:rFonts w:hint="default"/>
      </w:rPr>
    </w:lvl>
    <w:lvl w:ilvl="7">
      <w:start w:val="0"/>
      <w:numFmt w:val="bullet"/>
      <w:lvlText w:val="•"/>
      <w:lvlJc w:val="left"/>
      <w:pPr>
        <w:ind w:left="7811" w:hanging="404"/>
      </w:pPr>
      <w:rPr>
        <w:rFonts w:hint="default"/>
      </w:rPr>
    </w:lvl>
    <w:lvl w:ilvl="8">
      <w:start w:val="0"/>
      <w:numFmt w:val="bullet"/>
      <w:lvlText w:val="•"/>
      <w:lvlJc w:val="left"/>
      <w:pPr>
        <w:ind w:left="8950" w:hanging="404"/>
      </w:pPr>
      <w:rPr>
        <w:rFonts w:hint="default"/>
      </w:rPr>
    </w:lvl>
  </w:abstractNum>
  <w:abstractNum w:abstractNumId="180">
    <w:multiLevelType w:val="hybridMultilevel"/>
    <w:lvl w:ilvl="0">
      <w:start w:val="0"/>
      <w:numFmt w:val="bullet"/>
      <w:lvlText w:val=""/>
      <w:lvlJc w:val="left"/>
      <w:pPr>
        <w:ind w:left="480" w:hanging="112"/>
      </w:pPr>
      <w:rPr>
        <w:rFonts w:hint="default" w:ascii="Symbol" w:hAnsi="Symbol" w:eastAsia="Symbol" w:cs="Symbol"/>
        <w:w w:val="55"/>
        <w:position w:val="10"/>
        <w:sz w:val="18"/>
        <w:szCs w:val="18"/>
      </w:rPr>
    </w:lvl>
    <w:lvl w:ilvl="1">
      <w:start w:val="0"/>
      <w:numFmt w:val="bullet"/>
      <w:lvlText w:val="•"/>
      <w:lvlJc w:val="left"/>
      <w:pPr>
        <w:ind w:left="1554" w:hanging="112"/>
      </w:pPr>
      <w:rPr>
        <w:rFonts w:hint="default"/>
      </w:rPr>
    </w:lvl>
    <w:lvl w:ilvl="2">
      <w:start w:val="0"/>
      <w:numFmt w:val="bullet"/>
      <w:lvlText w:val="•"/>
      <w:lvlJc w:val="left"/>
      <w:pPr>
        <w:ind w:left="2629" w:hanging="112"/>
      </w:pPr>
      <w:rPr>
        <w:rFonts w:hint="default"/>
      </w:rPr>
    </w:lvl>
    <w:lvl w:ilvl="3">
      <w:start w:val="0"/>
      <w:numFmt w:val="bullet"/>
      <w:lvlText w:val="•"/>
      <w:lvlJc w:val="left"/>
      <w:pPr>
        <w:ind w:left="3704" w:hanging="112"/>
      </w:pPr>
      <w:rPr>
        <w:rFonts w:hint="default"/>
      </w:rPr>
    </w:lvl>
    <w:lvl w:ilvl="4">
      <w:start w:val="0"/>
      <w:numFmt w:val="bullet"/>
      <w:lvlText w:val="•"/>
      <w:lvlJc w:val="left"/>
      <w:pPr>
        <w:ind w:left="4778" w:hanging="112"/>
      </w:pPr>
      <w:rPr>
        <w:rFonts w:hint="default"/>
      </w:rPr>
    </w:lvl>
    <w:lvl w:ilvl="5">
      <w:start w:val="0"/>
      <w:numFmt w:val="bullet"/>
      <w:lvlText w:val="•"/>
      <w:lvlJc w:val="left"/>
      <w:pPr>
        <w:ind w:left="5853" w:hanging="112"/>
      </w:pPr>
      <w:rPr>
        <w:rFonts w:hint="default"/>
      </w:rPr>
    </w:lvl>
    <w:lvl w:ilvl="6">
      <w:start w:val="0"/>
      <w:numFmt w:val="bullet"/>
      <w:lvlText w:val="•"/>
      <w:lvlJc w:val="left"/>
      <w:pPr>
        <w:ind w:left="6928" w:hanging="112"/>
      </w:pPr>
      <w:rPr>
        <w:rFonts w:hint="default"/>
      </w:rPr>
    </w:lvl>
    <w:lvl w:ilvl="7">
      <w:start w:val="0"/>
      <w:numFmt w:val="bullet"/>
      <w:lvlText w:val="•"/>
      <w:lvlJc w:val="left"/>
      <w:pPr>
        <w:ind w:left="8003" w:hanging="112"/>
      </w:pPr>
      <w:rPr>
        <w:rFonts w:hint="default"/>
      </w:rPr>
    </w:lvl>
    <w:lvl w:ilvl="8">
      <w:start w:val="0"/>
      <w:numFmt w:val="bullet"/>
      <w:lvlText w:val="•"/>
      <w:lvlJc w:val="left"/>
      <w:pPr>
        <w:ind w:left="9077" w:hanging="112"/>
      </w:pPr>
      <w:rPr>
        <w:rFonts w:hint="default"/>
      </w:rPr>
    </w:lvl>
  </w:abstractNum>
  <w:abstractNum w:abstractNumId="179">
    <w:multiLevelType w:val="hybridMultilevel"/>
    <w:lvl w:ilvl="0">
      <w:start w:val="1"/>
      <w:numFmt w:val="decimal"/>
      <w:lvlText w:val="%1."/>
      <w:lvlJc w:val="left"/>
      <w:pPr>
        <w:ind w:left="1116" w:hanging="446"/>
        <w:jc w:val="left"/>
      </w:pPr>
      <w:rPr>
        <w:rFonts w:hint="default"/>
        <w:spacing w:val="0"/>
        <w:w w:val="100"/>
      </w:rPr>
    </w:lvl>
    <w:lvl w:ilvl="1">
      <w:start w:val="0"/>
      <w:numFmt w:val="bullet"/>
      <w:lvlText w:val="•"/>
      <w:lvlJc w:val="left"/>
      <w:pPr>
        <w:ind w:left="2130" w:hanging="446"/>
      </w:pPr>
      <w:rPr>
        <w:rFonts w:hint="default"/>
      </w:rPr>
    </w:lvl>
    <w:lvl w:ilvl="2">
      <w:start w:val="0"/>
      <w:numFmt w:val="bullet"/>
      <w:lvlText w:val="•"/>
      <w:lvlJc w:val="left"/>
      <w:pPr>
        <w:ind w:left="3141" w:hanging="446"/>
      </w:pPr>
      <w:rPr>
        <w:rFonts w:hint="default"/>
      </w:rPr>
    </w:lvl>
    <w:lvl w:ilvl="3">
      <w:start w:val="0"/>
      <w:numFmt w:val="bullet"/>
      <w:lvlText w:val="•"/>
      <w:lvlJc w:val="left"/>
      <w:pPr>
        <w:ind w:left="4152" w:hanging="446"/>
      </w:pPr>
      <w:rPr>
        <w:rFonts w:hint="default"/>
      </w:rPr>
    </w:lvl>
    <w:lvl w:ilvl="4">
      <w:start w:val="0"/>
      <w:numFmt w:val="bullet"/>
      <w:lvlText w:val="•"/>
      <w:lvlJc w:val="left"/>
      <w:pPr>
        <w:ind w:left="5162" w:hanging="446"/>
      </w:pPr>
      <w:rPr>
        <w:rFonts w:hint="default"/>
      </w:rPr>
    </w:lvl>
    <w:lvl w:ilvl="5">
      <w:start w:val="0"/>
      <w:numFmt w:val="bullet"/>
      <w:lvlText w:val="•"/>
      <w:lvlJc w:val="left"/>
      <w:pPr>
        <w:ind w:left="6173" w:hanging="446"/>
      </w:pPr>
      <w:rPr>
        <w:rFonts w:hint="default"/>
      </w:rPr>
    </w:lvl>
    <w:lvl w:ilvl="6">
      <w:start w:val="0"/>
      <w:numFmt w:val="bullet"/>
      <w:lvlText w:val="•"/>
      <w:lvlJc w:val="left"/>
      <w:pPr>
        <w:ind w:left="7184" w:hanging="446"/>
      </w:pPr>
      <w:rPr>
        <w:rFonts w:hint="default"/>
      </w:rPr>
    </w:lvl>
    <w:lvl w:ilvl="7">
      <w:start w:val="0"/>
      <w:numFmt w:val="bullet"/>
      <w:lvlText w:val="•"/>
      <w:lvlJc w:val="left"/>
      <w:pPr>
        <w:ind w:left="8195" w:hanging="446"/>
      </w:pPr>
      <w:rPr>
        <w:rFonts w:hint="default"/>
      </w:rPr>
    </w:lvl>
    <w:lvl w:ilvl="8">
      <w:start w:val="0"/>
      <w:numFmt w:val="bullet"/>
      <w:lvlText w:val="•"/>
      <w:lvlJc w:val="left"/>
      <w:pPr>
        <w:ind w:left="9205" w:hanging="446"/>
      </w:pPr>
      <w:rPr>
        <w:rFonts w:hint="default"/>
      </w:rPr>
    </w:lvl>
  </w:abstractNum>
  <w:abstractNum w:abstractNumId="178">
    <w:multiLevelType w:val="hybridMultilevel"/>
    <w:lvl w:ilvl="0">
      <w:start w:val="0"/>
      <w:numFmt w:val="bullet"/>
      <w:lvlText w:val=""/>
      <w:lvlJc w:val="left"/>
      <w:pPr>
        <w:ind w:left="453" w:hanging="346"/>
      </w:pPr>
      <w:rPr>
        <w:rFonts w:hint="default" w:ascii="Wingdings" w:hAnsi="Wingdings" w:eastAsia="Wingdings" w:cs="Wingdings"/>
        <w:w w:val="100"/>
        <w:sz w:val="23"/>
        <w:szCs w:val="23"/>
      </w:rPr>
    </w:lvl>
    <w:lvl w:ilvl="1">
      <w:start w:val="0"/>
      <w:numFmt w:val="bullet"/>
      <w:lvlText w:val="•"/>
      <w:lvlJc w:val="left"/>
      <w:pPr>
        <w:ind w:left="1345" w:hanging="346"/>
      </w:pPr>
      <w:rPr>
        <w:rFonts w:hint="default"/>
      </w:rPr>
    </w:lvl>
    <w:lvl w:ilvl="2">
      <w:start w:val="0"/>
      <w:numFmt w:val="bullet"/>
      <w:lvlText w:val="•"/>
      <w:lvlJc w:val="left"/>
      <w:pPr>
        <w:ind w:left="2230" w:hanging="346"/>
      </w:pPr>
      <w:rPr>
        <w:rFonts w:hint="default"/>
      </w:rPr>
    </w:lvl>
    <w:lvl w:ilvl="3">
      <w:start w:val="0"/>
      <w:numFmt w:val="bullet"/>
      <w:lvlText w:val="•"/>
      <w:lvlJc w:val="left"/>
      <w:pPr>
        <w:ind w:left="3115" w:hanging="346"/>
      </w:pPr>
      <w:rPr>
        <w:rFonts w:hint="default"/>
      </w:rPr>
    </w:lvl>
    <w:lvl w:ilvl="4">
      <w:start w:val="0"/>
      <w:numFmt w:val="bullet"/>
      <w:lvlText w:val="•"/>
      <w:lvlJc w:val="left"/>
      <w:pPr>
        <w:ind w:left="4000" w:hanging="346"/>
      </w:pPr>
      <w:rPr>
        <w:rFonts w:hint="default"/>
      </w:rPr>
    </w:lvl>
    <w:lvl w:ilvl="5">
      <w:start w:val="0"/>
      <w:numFmt w:val="bullet"/>
      <w:lvlText w:val="•"/>
      <w:lvlJc w:val="left"/>
      <w:pPr>
        <w:ind w:left="4885" w:hanging="346"/>
      </w:pPr>
      <w:rPr>
        <w:rFonts w:hint="default"/>
      </w:rPr>
    </w:lvl>
    <w:lvl w:ilvl="6">
      <w:start w:val="0"/>
      <w:numFmt w:val="bullet"/>
      <w:lvlText w:val="•"/>
      <w:lvlJc w:val="left"/>
      <w:pPr>
        <w:ind w:left="5770" w:hanging="346"/>
      </w:pPr>
      <w:rPr>
        <w:rFonts w:hint="default"/>
      </w:rPr>
    </w:lvl>
    <w:lvl w:ilvl="7">
      <w:start w:val="0"/>
      <w:numFmt w:val="bullet"/>
      <w:lvlText w:val="•"/>
      <w:lvlJc w:val="left"/>
      <w:pPr>
        <w:ind w:left="6655" w:hanging="346"/>
      </w:pPr>
      <w:rPr>
        <w:rFonts w:hint="default"/>
      </w:rPr>
    </w:lvl>
    <w:lvl w:ilvl="8">
      <w:start w:val="0"/>
      <w:numFmt w:val="bullet"/>
      <w:lvlText w:val="•"/>
      <w:lvlJc w:val="left"/>
      <w:pPr>
        <w:ind w:left="7540" w:hanging="346"/>
      </w:pPr>
      <w:rPr>
        <w:rFonts w:hint="default"/>
      </w:rPr>
    </w:lvl>
  </w:abstractNum>
  <w:abstractNum w:abstractNumId="177">
    <w:multiLevelType w:val="hybridMultilevel"/>
    <w:lvl w:ilvl="0">
      <w:start w:val="0"/>
      <w:numFmt w:val="bullet"/>
      <w:lvlText w:val=""/>
      <w:lvlJc w:val="left"/>
      <w:pPr>
        <w:ind w:left="453" w:hanging="346"/>
      </w:pPr>
      <w:rPr>
        <w:rFonts w:hint="default" w:ascii="Wingdings" w:hAnsi="Wingdings" w:eastAsia="Wingdings" w:cs="Wingdings"/>
        <w:w w:val="100"/>
        <w:sz w:val="23"/>
        <w:szCs w:val="23"/>
      </w:rPr>
    </w:lvl>
    <w:lvl w:ilvl="1">
      <w:start w:val="0"/>
      <w:numFmt w:val="bullet"/>
      <w:lvlText w:val="•"/>
      <w:lvlJc w:val="left"/>
      <w:pPr>
        <w:ind w:left="1345" w:hanging="346"/>
      </w:pPr>
      <w:rPr>
        <w:rFonts w:hint="default"/>
      </w:rPr>
    </w:lvl>
    <w:lvl w:ilvl="2">
      <w:start w:val="0"/>
      <w:numFmt w:val="bullet"/>
      <w:lvlText w:val="•"/>
      <w:lvlJc w:val="left"/>
      <w:pPr>
        <w:ind w:left="2230" w:hanging="346"/>
      </w:pPr>
      <w:rPr>
        <w:rFonts w:hint="default"/>
      </w:rPr>
    </w:lvl>
    <w:lvl w:ilvl="3">
      <w:start w:val="0"/>
      <w:numFmt w:val="bullet"/>
      <w:lvlText w:val="•"/>
      <w:lvlJc w:val="left"/>
      <w:pPr>
        <w:ind w:left="3115" w:hanging="346"/>
      </w:pPr>
      <w:rPr>
        <w:rFonts w:hint="default"/>
      </w:rPr>
    </w:lvl>
    <w:lvl w:ilvl="4">
      <w:start w:val="0"/>
      <w:numFmt w:val="bullet"/>
      <w:lvlText w:val="•"/>
      <w:lvlJc w:val="left"/>
      <w:pPr>
        <w:ind w:left="4000" w:hanging="346"/>
      </w:pPr>
      <w:rPr>
        <w:rFonts w:hint="default"/>
      </w:rPr>
    </w:lvl>
    <w:lvl w:ilvl="5">
      <w:start w:val="0"/>
      <w:numFmt w:val="bullet"/>
      <w:lvlText w:val="•"/>
      <w:lvlJc w:val="left"/>
      <w:pPr>
        <w:ind w:left="4885" w:hanging="346"/>
      </w:pPr>
      <w:rPr>
        <w:rFonts w:hint="default"/>
      </w:rPr>
    </w:lvl>
    <w:lvl w:ilvl="6">
      <w:start w:val="0"/>
      <w:numFmt w:val="bullet"/>
      <w:lvlText w:val="•"/>
      <w:lvlJc w:val="left"/>
      <w:pPr>
        <w:ind w:left="5770" w:hanging="346"/>
      </w:pPr>
      <w:rPr>
        <w:rFonts w:hint="default"/>
      </w:rPr>
    </w:lvl>
    <w:lvl w:ilvl="7">
      <w:start w:val="0"/>
      <w:numFmt w:val="bullet"/>
      <w:lvlText w:val="•"/>
      <w:lvlJc w:val="left"/>
      <w:pPr>
        <w:ind w:left="6655" w:hanging="346"/>
      </w:pPr>
      <w:rPr>
        <w:rFonts w:hint="default"/>
      </w:rPr>
    </w:lvl>
    <w:lvl w:ilvl="8">
      <w:start w:val="0"/>
      <w:numFmt w:val="bullet"/>
      <w:lvlText w:val="•"/>
      <w:lvlJc w:val="left"/>
      <w:pPr>
        <w:ind w:left="7540" w:hanging="346"/>
      </w:pPr>
      <w:rPr>
        <w:rFonts w:hint="default"/>
      </w:rPr>
    </w:lvl>
  </w:abstractNum>
  <w:abstractNum w:abstractNumId="176">
    <w:multiLevelType w:val="hybridMultilevel"/>
    <w:lvl w:ilvl="0">
      <w:start w:val="0"/>
      <w:numFmt w:val="bullet"/>
      <w:lvlText w:val=""/>
      <w:lvlJc w:val="left"/>
      <w:pPr>
        <w:ind w:left="453" w:hanging="346"/>
      </w:pPr>
      <w:rPr>
        <w:rFonts w:hint="default" w:ascii="Wingdings" w:hAnsi="Wingdings" w:eastAsia="Wingdings" w:cs="Wingdings"/>
        <w:w w:val="100"/>
        <w:sz w:val="23"/>
        <w:szCs w:val="23"/>
      </w:rPr>
    </w:lvl>
    <w:lvl w:ilvl="1">
      <w:start w:val="0"/>
      <w:numFmt w:val="bullet"/>
      <w:lvlText w:val="•"/>
      <w:lvlJc w:val="left"/>
      <w:pPr>
        <w:ind w:left="1345" w:hanging="346"/>
      </w:pPr>
      <w:rPr>
        <w:rFonts w:hint="default"/>
      </w:rPr>
    </w:lvl>
    <w:lvl w:ilvl="2">
      <w:start w:val="0"/>
      <w:numFmt w:val="bullet"/>
      <w:lvlText w:val="•"/>
      <w:lvlJc w:val="left"/>
      <w:pPr>
        <w:ind w:left="2230" w:hanging="346"/>
      </w:pPr>
      <w:rPr>
        <w:rFonts w:hint="default"/>
      </w:rPr>
    </w:lvl>
    <w:lvl w:ilvl="3">
      <w:start w:val="0"/>
      <w:numFmt w:val="bullet"/>
      <w:lvlText w:val="•"/>
      <w:lvlJc w:val="left"/>
      <w:pPr>
        <w:ind w:left="3115" w:hanging="346"/>
      </w:pPr>
      <w:rPr>
        <w:rFonts w:hint="default"/>
      </w:rPr>
    </w:lvl>
    <w:lvl w:ilvl="4">
      <w:start w:val="0"/>
      <w:numFmt w:val="bullet"/>
      <w:lvlText w:val="•"/>
      <w:lvlJc w:val="left"/>
      <w:pPr>
        <w:ind w:left="4000" w:hanging="346"/>
      </w:pPr>
      <w:rPr>
        <w:rFonts w:hint="default"/>
      </w:rPr>
    </w:lvl>
    <w:lvl w:ilvl="5">
      <w:start w:val="0"/>
      <w:numFmt w:val="bullet"/>
      <w:lvlText w:val="•"/>
      <w:lvlJc w:val="left"/>
      <w:pPr>
        <w:ind w:left="4885" w:hanging="346"/>
      </w:pPr>
      <w:rPr>
        <w:rFonts w:hint="default"/>
      </w:rPr>
    </w:lvl>
    <w:lvl w:ilvl="6">
      <w:start w:val="0"/>
      <w:numFmt w:val="bullet"/>
      <w:lvlText w:val="•"/>
      <w:lvlJc w:val="left"/>
      <w:pPr>
        <w:ind w:left="5770" w:hanging="346"/>
      </w:pPr>
      <w:rPr>
        <w:rFonts w:hint="default"/>
      </w:rPr>
    </w:lvl>
    <w:lvl w:ilvl="7">
      <w:start w:val="0"/>
      <w:numFmt w:val="bullet"/>
      <w:lvlText w:val="•"/>
      <w:lvlJc w:val="left"/>
      <w:pPr>
        <w:ind w:left="6655" w:hanging="346"/>
      </w:pPr>
      <w:rPr>
        <w:rFonts w:hint="default"/>
      </w:rPr>
    </w:lvl>
    <w:lvl w:ilvl="8">
      <w:start w:val="0"/>
      <w:numFmt w:val="bullet"/>
      <w:lvlText w:val="•"/>
      <w:lvlJc w:val="left"/>
      <w:pPr>
        <w:ind w:left="7540" w:hanging="346"/>
      </w:pPr>
      <w:rPr>
        <w:rFonts w:hint="default"/>
      </w:rPr>
    </w:lvl>
  </w:abstractNum>
  <w:abstractNum w:abstractNumId="175">
    <w:multiLevelType w:val="hybridMultilevel"/>
    <w:lvl w:ilvl="0">
      <w:start w:val="0"/>
      <w:numFmt w:val="bullet"/>
      <w:lvlText w:val=""/>
      <w:lvlJc w:val="left"/>
      <w:pPr>
        <w:ind w:left="453" w:hanging="346"/>
      </w:pPr>
      <w:rPr>
        <w:rFonts w:hint="default" w:ascii="Wingdings" w:hAnsi="Wingdings" w:eastAsia="Wingdings" w:cs="Wingdings"/>
        <w:w w:val="100"/>
        <w:sz w:val="23"/>
        <w:szCs w:val="23"/>
      </w:rPr>
    </w:lvl>
    <w:lvl w:ilvl="1">
      <w:start w:val="0"/>
      <w:numFmt w:val="bullet"/>
      <w:lvlText w:val="•"/>
      <w:lvlJc w:val="left"/>
      <w:pPr>
        <w:ind w:left="1345" w:hanging="346"/>
      </w:pPr>
      <w:rPr>
        <w:rFonts w:hint="default"/>
      </w:rPr>
    </w:lvl>
    <w:lvl w:ilvl="2">
      <w:start w:val="0"/>
      <w:numFmt w:val="bullet"/>
      <w:lvlText w:val="•"/>
      <w:lvlJc w:val="left"/>
      <w:pPr>
        <w:ind w:left="2230" w:hanging="346"/>
      </w:pPr>
      <w:rPr>
        <w:rFonts w:hint="default"/>
      </w:rPr>
    </w:lvl>
    <w:lvl w:ilvl="3">
      <w:start w:val="0"/>
      <w:numFmt w:val="bullet"/>
      <w:lvlText w:val="•"/>
      <w:lvlJc w:val="left"/>
      <w:pPr>
        <w:ind w:left="3115" w:hanging="346"/>
      </w:pPr>
      <w:rPr>
        <w:rFonts w:hint="default"/>
      </w:rPr>
    </w:lvl>
    <w:lvl w:ilvl="4">
      <w:start w:val="0"/>
      <w:numFmt w:val="bullet"/>
      <w:lvlText w:val="•"/>
      <w:lvlJc w:val="left"/>
      <w:pPr>
        <w:ind w:left="4000" w:hanging="346"/>
      </w:pPr>
      <w:rPr>
        <w:rFonts w:hint="default"/>
      </w:rPr>
    </w:lvl>
    <w:lvl w:ilvl="5">
      <w:start w:val="0"/>
      <w:numFmt w:val="bullet"/>
      <w:lvlText w:val="•"/>
      <w:lvlJc w:val="left"/>
      <w:pPr>
        <w:ind w:left="4885" w:hanging="346"/>
      </w:pPr>
      <w:rPr>
        <w:rFonts w:hint="default"/>
      </w:rPr>
    </w:lvl>
    <w:lvl w:ilvl="6">
      <w:start w:val="0"/>
      <w:numFmt w:val="bullet"/>
      <w:lvlText w:val="•"/>
      <w:lvlJc w:val="left"/>
      <w:pPr>
        <w:ind w:left="5770" w:hanging="346"/>
      </w:pPr>
      <w:rPr>
        <w:rFonts w:hint="default"/>
      </w:rPr>
    </w:lvl>
    <w:lvl w:ilvl="7">
      <w:start w:val="0"/>
      <w:numFmt w:val="bullet"/>
      <w:lvlText w:val="•"/>
      <w:lvlJc w:val="left"/>
      <w:pPr>
        <w:ind w:left="6655" w:hanging="346"/>
      </w:pPr>
      <w:rPr>
        <w:rFonts w:hint="default"/>
      </w:rPr>
    </w:lvl>
    <w:lvl w:ilvl="8">
      <w:start w:val="0"/>
      <w:numFmt w:val="bullet"/>
      <w:lvlText w:val="•"/>
      <w:lvlJc w:val="left"/>
      <w:pPr>
        <w:ind w:left="7540" w:hanging="346"/>
      </w:pPr>
      <w:rPr>
        <w:rFonts w:hint="default"/>
      </w:rPr>
    </w:lvl>
  </w:abstractNum>
  <w:abstractNum w:abstractNumId="174">
    <w:multiLevelType w:val="hybridMultilevel"/>
    <w:lvl w:ilvl="0">
      <w:start w:val="3"/>
      <w:numFmt w:val="decimal"/>
      <w:lvlText w:val="%1"/>
      <w:lvlJc w:val="left"/>
      <w:pPr>
        <w:ind w:left="1489" w:hanging="489"/>
        <w:jc w:val="left"/>
      </w:pPr>
      <w:rPr>
        <w:rFonts w:hint="default"/>
      </w:rPr>
    </w:lvl>
    <w:lvl w:ilvl="1">
      <w:start w:val="1"/>
      <w:numFmt w:val="decimal"/>
      <w:lvlText w:val="%1-%2"/>
      <w:lvlJc w:val="left"/>
      <w:pPr>
        <w:ind w:left="1489" w:hanging="489"/>
        <w:jc w:val="left"/>
      </w:pPr>
      <w:rPr>
        <w:rFonts w:hint="default" w:ascii="微軟正黑體" w:hAnsi="微軟正黑體" w:eastAsia="微軟正黑體" w:cs="微軟正黑體"/>
        <w:spacing w:val="-30"/>
        <w:w w:val="100"/>
        <w:sz w:val="24"/>
        <w:szCs w:val="24"/>
      </w:rPr>
    </w:lvl>
    <w:lvl w:ilvl="2">
      <w:start w:val="0"/>
      <w:numFmt w:val="bullet"/>
      <w:lvlText w:val="•"/>
      <w:lvlJc w:val="left"/>
      <w:pPr>
        <w:ind w:left="3429" w:hanging="489"/>
      </w:pPr>
      <w:rPr>
        <w:rFonts w:hint="default"/>
      </w:rPr>
    </w:lvl>
    <w:lvl w:ilvl="3">
      <w:start w:val="0"/>
      <w:numFmt w:val="bullet"/>
      <w:lvlText w:val="•"/>
      <w:lvlJc w:val="left"/>
      <w:pPr>
        <w:ind w:left="4404" w:hanging="489"/>
      </w:pPr>
      <w:rPr>
        <w:rFonts w:hint="default"/>
      </w:rPr>
    </w:lvl>
    <w:lvl w:ilvl="4">
      <w:start w:val="0"/>
      <w:numFmt w:val="bullet"/>
      <w:lvlText w:val="•"/>
      <w:lvlJc w:val="left"/>
      <w:pPr>
        <w:ind w:left="5378" w:hanging="489"/>
      </w:pPr>
      <w:rPr>
        <w:rFonts w:hint="default"/>
      </w:rPr>
    </w:lvl>
    <w:lvl w:ilvl="5">
      <w:start w:val="0"/>
      <w:numFmt w:val="bullet"/>
      <w:lvlText w:val="•"/>
      <w:lvlJc w:val="left"/>
      <w:pPr>
        <w:ind w:left="6353" w:hanging="489"/>
      </w:pPr>
      <w:rPr>
        <w:rFonts w:hint="default"/>
      </w:rPr>
    </w:lvl>
    <w:lvl w:ilvl="6">
      <w:start w:val="0"/>
      <w:numFmt w:val="bullet"/>
      <w:lvlText w:val="•"/>
      <w:lvlJc w:val="left"/>
      <w:pPr>
        <w:ind w:left="7328" w:hanging="489"/>
      </w:pPr>
      <w:rPr>
        <w:rFonts w:hint="default"/>
      </w:rPr>
    </w:lvl>
    <w:lvl w:ilvl="7">
      <w:start w:val="0"/>
      <w:numFmt w:val="bullet"/>
      <w:lvlText w:val="•"/>
      <w:lvlJc w:val="left"/>
      <w:pPr>
        <w:ind w:left="8303" w:hanging="489"/>
      </w:pPr>
      <w:rPr>
        <w:rFonts w:hint="default"/>
      </w:rPr>
    </w:lvl>
    <w:lvl w:ilvl="8">
      <w:start w:val="0"/>
      <w:numFmt w:val="bullet"/>
      <w:lvlText w:val="•"/>
      <w:lvlJc w:val="left"/>
      <w:pPr>
        <w:ind w:left="9277" w:hanging="489"/>
      </w:pPr>
      <w:rPr>
        <w:rFonts w:hint="default"/>
      </w:rPr>
    </w:lvl>
  </w:abstractNum>
  <w:abstractNum w:abstractNumId="173">
    <w:multiLevelType w:val="hybridMultilevel"/>
    <w:lvl w:ilvl="0">
      <w:start w:val="2"/>
      <w:numFmt w:val="decimal"/>
      <w:lvlText w:val="%1"/>
      <w:lvlJc w:val="left"/>
      <w:pPr>
        <w:ind w:left="1489" w:hanging="489"/>
        <w:jc w:val="left"/>
      </w:pPr>
      <w:rPr>
        <w:rFonts w:hint="default"/>
      </w:rPr>
    </w:lvl>
    <w:lvl w:ilvl="1">
      <w:start w:val="1"/>
      <w:numFmt w:val="decimal"/>
      <w:lvlText w:val="%1-%2"/>
      <w:lvlJc w:val="left"/>
      <w:pPr>
        <w:ind w:left="1489"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429" w:hanging="489"/>
      </w:pPr>
      <w:rPr>
        <w:rFonts w:hint="default"/>
      </w:rPr>
    </w:lvl>
    <w:lvl w:ilvl="3">
      <w:start w:val="0"/>
      <w:numFmt w:val="bullet"/>
      <w:lvlText w:val="•"/>
      <w:lvlJc w:val="left"/>
      <w:pPr>
        <w:ind w:left="4404" w:hanging="489"/>
      </w:pPr>
      <w:rPr>
        <w:rFonts w:hint="default"/>
      </w:rPr>
    </w:lvl>
    <w:lvl w:ilvl="4">
      <w:start w:val="0"/>
      <w:numFmt w:val="bullet"/>
      <w:lvlText w:val="•"/>
      <w:lvlJc w:val="left"/>
      <w:pPr>
        <w:ind w:left="5378" w:hanging="489"/>
      </w:pPr>
      <w:rPr>
        <w:rFonts w:hint="default"/>
      </w:rPr>
    </w:lvl>
    <w:lvl w:ilvl="5">
      <w:start w:val="0"/>
      <w:numFmt w:val="bullet"/>
      <w:lvlText w:val="•"/>
      <w:lvlJc w:val="left"/>
      <w:pPr>
        <w:ind w:left="6353" w:hanging="489"/>
      </w:pPr>
      <w:rPr>
        <w:rFonts w:hint="default"/>
      </w:rPr>
    </w:lvl>
    <w:lvl w:ilvl="6">
      <w:start w:val="0"/>
      <w:numFmt w:val="bullet"/>
      <w:lvlText w:val="•"/>
      <w:lvlJc w:val="left"/>
      <w:pPr>
        <w:ind w:left="7328" w:hanging="489"/>
      </w:pPr>
      <w:rPr>
        <w:rFonts w:hint="default"/>
      </w:rPr>
    </w:lvl>
    <w:lvl w:ilvl="7">
      <w:start w:val="0"/>
      <w:numFmt w:val="bullet"/>
      <w:lvlText w:val="•"/>
      <w:lvlJc w:val="left"/>
      <w:pPr>
        <w:ind w:left="8303" w:hanging="489"/>
      </w:pPr>
      <w:rPr>
        <w:rFonts w:hint="default"/>
      </w:rPr>
    </w:lvl>
    <w:lvl w:ilvl="8">
      <w:start w:val="0"/>
      <w:numFmt w:val="bullet"/>
      <w:lvlText w:val="•"/>
      <w:lvlJc w:val="left"/>
      <w:pPr>
        <w:ind w:left="9277" w:hanging="489"/>
      </w:pPr>
      <w:rPr>
        <w:rFonts w:hint="default"/>
      </w:rPr>
    </w:lvl>
  </w:abstractNum>
  <w:abstractNum w:abstractNumId="172">
    <w:multiLevelType w:val="hybridMultilevel"/>
    <w:lvl w:ilvl="0">
      <w:start w:val="1"/>
      <w:numFmt w:val="decimal"/>
      <w:lvlText w:val="(%1)"/>
      <w:lvlJc w:val="left"/>
      <w:pPr>
        <w:ind w:left="1872" w:hanging="398"/>
        <w:jc w:val="left"/>
      </w:pPr>
      <w:rPr>
        <w:rFonts w:hint="default" w:ascii="微軟正黑體" w:hAnsi="微軟正黑體" w:eastAsia="微軟正黑體" w:cs="微軟正黑體"/>
        <w:spacing w:val="-16"/>
        <w:w w:val="100"/>
        <w:sz w:val="24"/>
        <w:szCs w:val="24"/>
      </w:rPr>
    </w:lvl>
    <w:lvl w:ilvl="1">
      <w:start w:val="0"/>
      <w:numFmt w:val="bullet"/>
      <w:lvlText w:val="•"/>
      <w:lvlJc w:val="left"/>
      <w:pPr>
        <w:ind w:left="2814" w:hanging="398"/>
      </w:pPr>
      <w:rPr>
        <w:rFonts w:hint="default"/>
      </w:rPr>
    </w:lvl>
    <w:lvl w:ilvl="2">
      <w:start w:val="0"/>
      <w:numFmt w:val="bullet"/>
      <w:lvlText w:val="•"/>
      <w:lvlJc w:val="left"/>
      <w:pPr>
        <w:ind w:left="3749" w:hanging="398"/>
      </w:pPr>
      <w:rPr>
        <w:rFonts w:hint="default"/>
      </w:rPr>
    </w:lvl>
    <w:lvl w:ilvl="3">
      <w:start w:val="0"/>
      <w:numFmt w:val="bullet"/>
      <w:lvlText w:val="•"/>
      <w:lvlJc w:val="left"/>
      <w:pPr>
        <w:ind w:left="4684" w:hanging="398"/>
      </w:pPr>
      <w:rPr>
        <w:rFonts w:hint="default"/>
      </w:rPr>
    </w:lvl>
    <w:lvl w:ilvl="4">
      <w:start w:val="0"/>
      <w:numFmt w:val="bullet"/>
      <w:lvlText w:val="•"/>
      <w:lvlJc w:val="left"/>
      <w:pPr>
        <w:ind w:left="5618" w:hanging="398"/>
      </w:pPr>
      <w:rPr>
        <w:rFonts w:hint="default"/>
      </w:rPr>
    </w:lvl>
    <w:lvl w:ilvl="5">
      <w:start w:val="0"/>
      <w:numFmt w:val="bullet"/>
      <w:lvlText w:val="•"/>
      <w:lvlJc w:val="left"/>
      <w:pPr>
        <w:ind w:left="6553" w:hanging="398"/>
      </w:pPr>
      <w:rPr>
        <w:rFonts w:hint="default"/>
      </w:rPr>
    </w:lvl>
    <w:lvl w:ilvl="6">
      <w:start w:val="0"/>
      <w:numFmt w:val="bullet"/>
      <w:lvlText w:val="•"/>
      <w:lvlJc w:val="left"/>
      <w:pPr>
        <w:ind w:left="7488" w:hanging="398"/>
      </w:pPr>
      <w:rPr>
        <w:rFonts w:hint="default"/>
      </w:rPr>
    </w:lvl>
    <w:lvl w:ilvl="7">
      <w:start w:val="0"/>
      <w:numFmt w:val="bullet"/>
      <w:lvlText w:val="•"/>
      <w:lvlJc w:val="left"/>
      <w:pPr>
        <w:ind w:left="8423" w:hanging="398"/>
      </w:pPr>
      <w:rPr>
        <w:rFonts w:hint="default"/>
      </w:rPr>
    </w:lvl>
    <w:lvl w:ilvl="8">
      <w:start w:val="0"/>
      <w:numFmt w:val="bullet"/>
      <w:lvlText w:val="•"/>
      <w:lvlJc w:val="left"/>
      <w:pPr>
        <w:ind w:left="9357" w:hanging="398"/>
      </w:pPr>
      <w:rPr>
        <w:rFonts w:hint="default"/>
      </w:rPr>
    </w:lvl>
  </w:abstractNum>
  <w:abstractNum w:abstractNumId="171">
    <w:multiLevelType w:val="hybridMultilevel"/>
    <w:lvl w:ilvl="0">
      <w:start w:val="4"/>
      <w:numFmt w:val="decimal"/>
      <w:lvlText w:val="%1"/>
      <w:lvlJc w:val="left"/>
      <w:pPr>
        <w:ind w:left="1480" w:hanging="480"/>
        <w:jc w:val="left"/>
      </w:pPr>
      <w:rPr>
        <w:rFonts w:hint="default"/>
      </w:rPr>
    </w:lvl>
    <w:lvl w:ilvl="1">
      <w:start w:val="1"/>
      <w:numFmt w:val="decimal"/>
      <w:lvlText w:val="%1-%2"/>
      <w:lvlJc w:val="left"/>
      <w:pPr>
        <w:ind w:left="1480" w:hanging="480"/>
        <w:jc w:val="left"/>
      </w:pPr>
      <w:rPr>
        <w:rFonts w:hint="default" w:ascii="微軟正黑體" w:hAnsi="微軟正黑體" w:eastAsia="微軟正黑體" w:cs="微軟正黑體"/>
        <w:spacing w:val="-22"/>
        <w:w w:val="100"/>
        <w:sz w:val="24"/>
        <w:szCs w:val="24"/>
      </w:rPr>
    </w:lvl>
    <w:lvl w:ilvl="2">
      <w:start w:val="1"/>
      <w:numFmt w:val="decimal"/>
      <w:lvlText w:val="(%3)"/>
      <w:lvlJc w:val="left"/>
      <w:pPr>
        <w:ind w:left="1872" w:hanging="398"/>
        <w:jc w:val="left"/>
      </w:pPr>
      <w:rPr>
        <w:rFonts w:hint="default" w:ascii="微軟正黑體" w:hAnsi="微軟正黑體" w:eastAsia="微軟正黑體" w:cs="微軟正黑體"/>
        <w:spacing w:val="-16"/>
        <w:w w:val="100"/>
        <w:sz w:val="24"/>
        <w:szCs w:val="24"/>
      </w:rPr>
    </w:lvl>
    <w:lvl w:ilvl="3">
      <w:start w:val="0"/>
      <w:numFmt w:val="bullet"/>
      <w:lvlText w:val="•"/>
      <w:lvlJc w:val="left"/>
      <w:pPr>
        <w:ind w:left="3957" w:hanging="398"/>
      </w:pPr>
      <w:rPr>
        <w:rFonts w:hint="default"/>
      </w:rPr>
    </w:lvl>
    <w:lvl w:ilvl="4">
      <w:start w:val="0"/>
      <w:numFmt w:val="bullet"/>
      <w:lvlText w:val="•"/>
      <w:lvlJc w:val="left"/>
      <w:pPr>
        <w:ind w:left="4995" w:hanging="398"/>
      </w:pPr>
      <w:rPr>
        <w:rFonts w:hint="default"/>
      </w:rPr>
    </w:lvl>
    <w:lvl w:ilvl="5">
      <w:start w:val="0"/>
      <w:numFmt w:val="bullet"/>
      <w:lvlText w:val="•"/>
      <w:lvlJc w:val="left"/>
      <w:pPr>
        <w:ind w:left="6034" w:hanging="398"/>
      </w:pPr>
      <w:rPr>
        <w:rFonts w:hint="default"/>
      </w:rPr>
    </w:lvl>
    <w:lvl w:ilvl="6">
      <w:start w:val="0"/>
      <w:numFmt w:val="bullet"/>
      <w:lvlText w:val="•"/>
      <w:lvlJc w:val="left"/>
      <w:pPr>
        <w:ind w:left="7072" w:hanging="398"/>
      </w:pPr>
      <w:rPr>
        <w:rFonts w:hint="default"/>
      </w:rPr>
    </w:lvl>
    <w:lvl w:ilvl="7">
      <w:start w:val="0"/>
      <w:numFmt w:val="bullet"/>
      <w:lvlText w:val="•"/>
      <w:lvlJc w:val="left"/>
      <w:pPr>
        <w:ind w:left="8111" w:hanging="398"/>
      </w:pPr>
      <w:rPr>
        <w:rFonts w:hint="default"/>
      </w:rPr>
    </w:lvl>
    <w:lvl w:ilvl="8">
      <w:start w:val="0"/>
      <w:numFmt w:val="bullet"/>
      <w:lvlText w:val="•"/>
      <w:lvlJc w:val="left"/>
      <w:pPr>
        <w:ind w:left="9150" w:hanging="398"/>
      </w:pPr>
      <w:rPr>
        <w:rFonts w:hint="default"/>
      </w:rPr>
    </w:lvl>
  </w:abstractNum>
  <w:abstractNum w:abstractNumId="170">
    <w:multiLevelType w:val="hybridMultilevel"/>
    <w:lvl w:ilvl="0">
      <w:start w:val="3"/>
      <w:numFmt w:val="decimal"/>
      <w:lvlText w:val="%1"/>
      <w:lvlJc w:val="left"/>
      <w:pPr>
        <w:ind w:left="1480" w:hanging="480"/>
        <w:jc w:val="left"/>
      </w:pPr>
      <w:rPr>
        <w:rFonts w:hint="default"/>
      </w:rPr>
    </w:lvl>
    <w:lvl w:ilvl="1">
      <w:start w:val="1"/>
      <w:numFmt w:val="decimal"/>
      <w:lvlText w:val="%1-%2"/>
      <w:lvlJc w:val="left"/>
      <w:pPr>
        <w:ind w:left="1480" w:hanging="480"/>
        <w:jc w:val="left"/>
      </w:pPr>
      <w:rPr>
        <w:rFonts w:hint="default" w:ascii="微軟正黑體" w:hAnsi="微軟正黑體" w:eastAsia="微軟正黑體" w:cs="微軟正黑體"/>
        <w:spacing w:val="-22"/>
        <w:w w:val="100"/>
        <w:sz w:val="24"/>
        <w:szCs w:val="24"/>
      </w:rPr>
    </w:lvl>
    <w:lvl w:ilvl="2">
      <w:start w:val="1"/>
      <w:numFmt w:val="decimal"/>
      <w:lvlText w:val="(%3)"/>
      <w:lvlJc w:val="left"/>
      <w:pPr>
        <w:ind w:left="1957" w:hanging="483"/>
        <w:jc w:val="left"/>
      </w:pPr>
      <w:rPr>
        <w:rFonts w:hint="default" w:ascii="微軟正黑體" w:hAnsi="微軟正黑體" w:eastAsia="微軟正黑體" w:cs="微軟正黑體"/>
        <w:spacing w:val="-1"/>
        <w:w w:val="100"/>
        <w:sz w:val="24"/>
        <w:szCs w:val="24"/>
      </w:rPr>
    </w:lvl>
    <w:lvl w:ilvl="3">
      <w:start w:val="0"/>
      <w:numFmt w:val="bullet"/>
      <w:lvlText w:val="•"/>
      <w:lvlJc w:val="left"/>
      <w:pPr>
        <w:ind w:left="4019" w:hanging="483"/>
      </w:pPr>
      <w:rPr>
        <w:rFonts w:hint="default"/>
      </w:rPr>
    </w:lvl>
    <w:lvl w:ilvl="4">
      <w:start w:val="0"/>
      <w:numFmt w:val="bullet"/>
      <w:lvlText w:val="•"/>
      <w:lvlJc w:val="left"/>
      <w:pPr>
        <w:ind w:left="5049" w:hanging="483"/>
      </w:pPr>
      <w:rPr>
        <w:rFonts w:hint="default"/>
      </w:rPr>
    </w:lvl>
    <w:lvl w:ilvl="5">
      <w:start w:val="0"/>
      <w:numFmt w:val="bullet"/>
      <w:lvlText w:val="•"/>
      <w:lvlJc w:val="left"/>
      <w:pPr>
        <w:ind w:left="6078" w:hanging="483"/>
      </w:pPr>
      <w:rPr>
        <w:rFonts w:hint="default"/>
      </w:rPr>
    </w:lvl>
    <w:lvl w:ilvl="6">
      <w:start w:val="0"/>
      <w:numFmt w:val="bullet"/>
      <w:lvlText w:val="•"/>
      <w:lvlJc w:val="left"/>
      <w:pPr>
        <w:ind w:left="7108" w:hanging="483"/>
      </w:pPr>
      <w:rPr>
        <w:rFonts w:hint="default"/>
      </w:rPr>
    </w:lvl>
    <w:lvl w:ilvl="7">
      <w:start w:val="0"/>
      <w:numFmt w:val="bullet"/>
      <w:lvlText w:val="•"/>
      <w:lvlJc w:val="left"/>
      <w:pPr>
        <w:ind w:left="8138" w:hanging="483"/>
      </w:pPr>
      <w:rPr>
        <w:rFonts w:hint="default"/>
      </w:rPr>
    </w:lvl>
    <w:lvl w:ilvl="8">
      <w:start w:val="0"/>
      <w:numFmt w:val="bullet"/>
      <w:lvlText w:val="•"/>
      <w:lvlJc w:val="left"/>
      <w:pPr>
        <w:ind w:left="9167" w:hanging="483"/>
      </w:pPr>
      <w:rPr>
        <w:rFonts w:hint="default"/>
      </w:rPr>
    </w:lvl>
  </w:abstractNum>
  <w:abstractNum w:abstractNumId="169">
    <w:multiLevelType w:val="hybridMultilevel"/>
    <w:lvl w:ilvl="0">
      <w:start w:val="1"/>
      <w:numFmt w:val="decimal"/>
      <w:lvlText w:val="%1."/>
      <w:lvlJc w:val="left"/>
      <w:pPr>
        <w:ind w:left="981" w:hanging="366"/>
        <w:jc w:val="left"/>
      </w:pPr>
      <w:rPr>
        <w:rFonts w:hint="default" w:ascii="微軟正黑體" w:hAnsi="微軟正黑體" w:eastAsia="微軟正黑體" w:cs="微軟正黑體"/>
        <w:b/>
        <w:bCs/>
        <w:spacing w:val="-21"/>
        <w:w w:val="100"/>
        <w:sz w:val="24"/>
        <w:szCs w:val="24"/>
      </w:rPr>
    </w:lvl>
    <w:lvl w:ilvl="1">
      <w:start w:val="1"/>
      <w:numFmt w:val="decimal"/>
      <w:lvlText w:val="%1-%2"/>
      <w:lvlJc w:val="left"/>
      <w:pPr>
        <w:ind w:left="1489"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2563" w:hanging="489"/>
      </w:pPr>
      <w:rPr>
        <w:rFonts w:hint="default"/>
      </w:rPr>
    </w:lvl>
    <w:lvl w:ilvl="3">
      <w:start w:val="0"/>
      <w:numFmt w:val="bullet"/>
      <w:lvlText w:val="•"/>
      <w:lvlJc w:val="left"/>
      <w:pPr>
        <w:ind w:left="3646" w:hanging="489"/>
      </w:pPr>
      <w:rPr>
        <w:rFonts w:hint="default"/>
      </w:rPr>
    </w:lvl>
    <w:lvl w:ilvl="4">
      <w:start w:val="0"/>
      <w:numFmt w:val="bullet"/>
      <w:lvlText w:val="•"/>
      <w:lvlJc w:val="left"/>
      <w:pPr>
        <w:ind w:left="4729" w:hanging="489"/>
      </w:pPr>
      <w:rPr>
        <w:rFonts w:hint="default"/>
      </w:rPr>
    </w:lvl>
    <w:lvl w:ilvl="5">
      <w:start w:val="0"/>
      <w:numFmt w:val="bullet"/>
      <w:lvlText w:val="•"/>
      <w:lvlJc w:val="left"/>
      <w:pPr>
        <w:ind w:left="5812" w:hanging="489"/>
      </w:pPr>
      <w:rPr>
        <w:rFonts w:hint="default"/>
      </w:rPr>
    </w:lvl>
    <w:lvl w:ilvl="6">
      <w:start w:val="0"/>
      <w:numFmt w:val="bullet"/>
      <w:lvlText w:val="•"/>
      <w:lvlJc w:val="left"/>
      <w:pPr>
        <w:ind w:left="6895" w:hanging="489"/>
      </w:pPr>
      <w:rPr>
        <w:rFonts w:hint="default"/>
      </w:rPr>
    </w:lvl>
    <w:lvl w:ilvl="7">
      <w:start w:val="0"/>
      <w:numFmt w:val="bullet"/>
      <w:lvlText w:val="•"/>
      <w:lvlJc w:val="left"/>
      <w:pPr>
        <w:ind w:left="7978" w:hanging="489"/>
      </w:pPr>
      <w:rPr>
        <w:rFonts w:hint="default"/>
      </w:rPr>
    </w:lvl>
    <w:lvl w:ilvl="8">
      <w:start w:val="0"/>
      <w:numFmt w:val="bullet"/>
      <w:lvlText w:val="•"/>
      <w:lvlJc w:val="left"/>
      <w:pPr>
        <w:ind w:left="9061" w:hanging="489"/>
      </w:pPr>
      <w:rPr>
        <w:rFonts w:hint="default"/>
      </w:rPr>
    </w:lvl>
  </w:abstractNum>
  <w:abstractNum w:abstractNumId="168">
    <w:multiLevelType w:val="hybridMultilevel"/>
    <w:lvl w:ilvl="0">
      <w:start w:val="5"/>
      <w:numFmt w:val="decimal"/>
      <w:lvlText w:val="%1"/>
      <w:lvlJc w:val="left"/>
      <w:pPr>
        <w:ind w:left="2336" w:hanging="489"/>
        <w:jc w:val="left"/>
      </w:pPr>
      <w:rPr>
        <w:rFonts w:hint="default"/>
      </w:rPr>
    </w:lvl>
    <w:lvl w:ilvl="1">
      <w:start w:val="1"/>
      <w:numFmt w:val="decimal"/>
      <w:lvlText w:val="%1-%2"/>
      <w:lvlJc w:val="left"/>
      <w:pPr>
        <w:ind w:left="2336"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4117" w:hanging="489"/>
      </w:pPr>
      <w:rPr>
        <w:rFonts w:hint="default"/>
      </w:rPr>
    </w:lvl>
    <w:lvl w:ilvl="3">
      <w:start w:val="0"/>
      <w:numFmt w:val="bullet"/>
      <w:lvlText w:val="•"/>
      <w:lvlJc w:val="left"/>
      <w:pPr>
        <w:ind w:left="5006" w:hanging="489"/>
      </w:pPr>
      <w:rPr>
        <w:rFonts w:hint="default"/>
      </w:rPr>
    </w:lvl>
    <w:lvl w:ilvl="4">
      <w:start w:val="0"/>
      <w:numFmt w:val="bullet"/>
      <w:lvlText w:val="•"/>
      <w:lvlJc w:val="left"/>
      <w:pPr>
        <w:ind w:left="5894" w:hanging="489"/>
      </w:pPr>
      <w:rPr>
        <w:rFonts w:hint="default"/>
      </w:rPr>
    </w:lvl>
    <w:lvl w:ilvl="5">
      <w:start w:val="0"/>
      <w:numFmt w:val="bullet"/>
      <w:lvlText w:val="•"/>
      <w:lvlJc w:val="left"/>
      <w:pPr>
        <w:ind w:left="6783" w:hanging="489"/>
      </w:pPr>
      <w:rPr>
        <w:rFonts w:hint="default"/>
      </w:rPr>
    </w:lvl>
    <w:lvl w:ilvl="6">
      <w:start w:val="0"/>
      <w:numFmt w:val="bullet"/>
      <w:lvlText w:val="•"/>
      <w:lvlJc w:val="left"/>
      <w:pPr>
        <w:ind w:left="7672" w:hanging="489"/>
      </w:pPr>
      <w:rPr>
        <w:rFonts w:hint="default"/>
      </w:rPr>
    </w:lvl>
    <w:lvl w:ilvl="7">
      <w:start w:val="0"/>
      <w:numFmt w:val="bullet"/>
      <w:lvlText w:val="•"/>
      <w:lvlJc w:val="left"/>
      <w:pPr>
        <w:ind w:left="8561" w:hanging="489"/>
      </w:pPr>
      <w:rPr>
        <w:rFonts w:hint="default"/>
      </w:rPr>
    </w:lvl>
    <w:lvl w:ilvl="8">
      <w:start w:val="0"/>
      <w:numFmt w:val="bullet"/>
      <w:lvlText w:val="•"/>
      <w:lvlJc w:val="left"/>
      <w:pPr>
        <w:ind w:left="9449" w:hanging="489"/>
      </w:pPr>
      <w:rPr>
        <w:rFonts w:hint="default"/>
      </w:rPr>
    </w:lvl>
  </w:abstractNum>
  <w:abstractNum w:abstractNumId="167">
    <w:multiLevelType w:val="hybridMultilevel"/>
    <w:lvl w:ilvl="0">
      <w:start w:val="4"/>
      <w:numFmt w:val="decimal"/>
      <w:lvlText w:val="%1"/>
      <w:lvlJc w:val="left"/>
      <w:pPr>
        <w:ind w:left="2336" w:hanging="489"/>
        <w:jc w:val="left"/>
      </w:pPr>
      <w:rPr>
        <w:rFonts w:hint="default"/>
      </w:rPr>
    </w:lvl>
    <w:lvl w:ilvl="1">
      <w:start w:val="1"/>
      <w:numFmt w:val="decimal"/>
      <w:lvlText w:val="%1-%2"/>
      <w:lvlJc w:val="left"/>
      <w:pPr>
        <w:ind w:left="2336"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4117" w:hanging="489"/>
      </w:pPr>
      <w:rPr>
        <w:rFonts w:hint="default"/>
      </w:rPr>
    </w:lvl>
    <w:lvl w:ilvl="3">
      <w:start w:val="0"/>
      <w:numFmt w:val="bullet"/>
      <w:lvlText w:val="•"/>
      <w:lvlJc w:val="left"/>
      <w:pPr>
        <w:ind w:left="5006" w:hanging="489"/>
      </w:pPr>
      <w:rPr>
        <w:rFonts w:hint="default"/>
      </w:rPr>
    </w:lvl>
    <w:lvl w:ilvl="4">
      <w:start w:val="0"/>
      <w:numFmt w:val="bullet"/>
      <w:lvlText w:val="•"/>
      <w:lvlJc w:val="left"/>
      <w:pPr>
        <w:ind w:left="5894" w:hanging="489"/>
      </w:pPr>
      <w:rPr>
        <w:rFonts w:hint="default"/>
      </w:rPr>
    </w:lvl>
    <w:lvl w:ilvl="5">
      <w:start w:val="0"/>
      <w:numFmt w:val="bullet"/>
      <w:lvlText w:val="•"/>
      <w:lvlJc w:val="left"/>
      <w:pPr>
        <w:ind w:left="6783" w:hanging="489"/>
      </w:pPr>
      <w:rPr>
        <w:rFonts w:hint="default"/>
      </w:rPr>
    </w:lvl>
    <w:lvl w:ilvl="6">
      <w:start w:val="0"/>
      <w:numFmt w:val="bullet"/>
      <w:lvlText w:val="•"/>
      <w:lvlJc w:val="left"/>
      <w:pPr>
        <w:ind w:left="7672" w:hanging="489"/>
      </w:pPr>
      <w:rPr>
        <w:rFonts w:hint="default"/>
      </w:rPr>
    </w:lvl>
    <w:lvl w:ilvl="7">
      <w:start w:val="0"/>
      <w:numFmt w:val="bullet"/>
      <w:lvlText w:val="•"/>
      <w:lvlJc w:val="left"/>
      <w:pPr>
        <w:ind w:left="8561" w:hanging="489"/>
      </w:pPr>
      <w:rPr>
        <w:rFonts w:hint="default"/>
      </w:rPr>
    </w:lvl>
    <w:lvl w:ilvl="8">
      <w:start w:val="0"/>
      <w:numFmt w:val="bullet"/>
      <w:lvlText w:val="•"/>
      <w:lvlJc w:val="left"/>
      <w:pPr>
        <w:ind w:left="9449" w:hanging="489"/>
      </w:pPr>
      <w:rPr>
        <w:rFonts w:hint="default"/>
      </w:rPr>
    </w:lvl>
  </w:abstractNum>
  <w:abstractNum w:abstractNumId="166">
    <w:multiLevelType w:val="hybridMultilevel"/>
    <w:lvl w:ilvl="0">
      <w:start w:val="3"/>
      <w:numFmt w:val="decimal"/>
      <w:lvlText w:val="%1"/>
      <w:lvlJc w:val="left"/>
      <w:pPr>
        <w:ind w:left="2336" w:hanging="489"/>
        <w:jc w:val="left"/>
      </w:pPr>
      <w:rPr>
        <w:rFonts w:hint="default"/>
      </w:rPr>
    </w:lvl>
    <w:lvl w:ilvl="1">
      <w:start w:val="1"/>
      <w:numFmt w:val="decimal"/>
      <w:lvlText w:val="%1-%2"/>
      <w:lvlJc w:val="left"/>
      <w:pPr>
        <w:ind w:left="2336" w:hanging="489"/>
        <w:jc w:val="left"/>
      </w:pPr>
      <w:rPr>
        <w:rFonts w:hint="default" w:ascii="微軟正黑體" w:hAnsi="微軟正黑體" w:eastAsia="微軟正黑體" w:cs="微軟正黑體"/>
        <w:spacing w:val="-38"/>
        <w:w w:val="100"/>
        <w:sz w:val="24"/>
        <w:szCs w:val="24"/>
      </w:rPr>
    </w:lvl>
    <w:lvl w:ilvl="2">
      <w:start w:val="0"/>
      <w:numFmt w:val="bullet"/>
      <w:lvlText w:val="•"/>
      <w:lvlJc w:val="left"/>
      <w:pPr>
        <w:ind w:left="4117" w:hanging="489"/>
      </w:pPr>
      <w:rPr>
        <w:rFonts w:hint="default"/>
      </w:rPr>
    </w:lvl>
    <w:lvl w:ilvl="3">
      <w:start w:val="0"/>
      <w:numFmt w:val="bullet"/>
      <w:lvlText w:val="•"/>
      <w:lvlJc w:val="left"/>
      <w:pPr>
        <w:ind w:left="5006" w:hanging="489"/>
      </w:pPr>
      <w:rPr>
        <w:rFonts w:hint="default"/>
      </w:rPr>
    </w:lvl>
    <w:lvl w:ilvl="4">
      <w:start w:val="0"/>
      <w:numFmt w:val="bullet"/>
      <w:lvlText w:val="•"/>
      <w:lvlJc w:val="left"/>
      <w:pPr>
        <w:ind w:left="5894" w:hanging="489"/>
      </w:pPr>
      <w:rPr>
        <w:rFonts w:hint="default"/>
      </w:rPr>
    </w:lvl>
    <w:lvl w:ilvl="5">
      <w:start w:val="0"/>
      <w:numFmt w:val="bullet"/>
      <w:lvlText w:val="•"/>
      <w:lvlJc w:val="left"/>
      <w:pPr>
        <w:ind w:left="6783" w:hanging="489"/>
      </w:pPr>
      <w:rPr>
        <w:rFonts w:hint="default"/>
      </w:rPr>
    </w:lvl>
    <w:lvl w:ilvl="6">
      <w:start w:val="0"/>
      <w:numFmt w:val="bullet"/>
      <w:lvlText w:val="•"/>
      <w:lvlJc w:val="left"/>
      <w:pPr>
        <w:ind w:left="7672" w:hanging="489"/>
      </w:pPr>
      <w:rPr>
        <w:rFonts w:hint="default"/>
      </w:rPr>
    </w:lvl>
    <w:lvl w:ilvl="7">
      <w:start w:val="0"/>
      <w:numFmt w:val="bullet"/>
      <w:lvlText w:val="•"/>
      <w:lvlJc w:val="left"/>
      <w:pPr>
        <w:ind w:left="8561" w:hanging="489"/>
      </w:pPr>
      <w:rPr>
        <w:rFonts w:hint="default"/>
      </w:rPr>
    </w:lvl>
    <w:lvl w:ilvl="8">
      <w:start w:val="0"/>
      <w:numFmt w:val="bullet"/>
      <w:lvlText w:val="•"/>
      <w:lvlJc w:val="left"/>
      <w:pPr>
        <w:ind w:left="9449" w:hanging="489"/>
      </w:pPr>
      <w:rPr>
        <w:rFonts w:hint="default"/>
      </w:rPr>
    </w:lvl>
  </w:abstractNum>
  <w:abstractNum w:abstractNumId="165">
    <w:multiLevelType w:val="hybridMultilevel"/>
    <w:lvl w:ilvl="0">
      <w:start w:val="1"/>
      <w:numFmt w:val="decimal"/>
      <w:lvlText w:val="%1."/>
      <w:lvlJc w:val="left"/>
      <w:pPr>
        <w:ind w:left="1849" w:hanging="342"/>
        <w:jc w:val="left"/>
      </w:pPr>
      <w:rPr>
        <w:rFonts w:hint="default" w:ascii="微軟正黑體" w:hAnsi="微軟正黑體" w:eastAsia="微軟正黑體" w:cs="微軟正黑體"/>
        <w:b/>
        <w:bCs/>
        <w:spacing w:val="-58"/>
        <w:w w:val="100"/>
        <w:sz w:val="24"/>
        <w:szCs w:val="24"/>
      </w:rPr>
    </w:lvl>
    <w:lvl w:ilvl="1">
      <w:start w:val="1"/>
      <w:numFmt w:val="decimal"/>
      <w:lvlText w:val="%1-%2"/>
      <w:lvlJc w:val="left"/>
      <w:pPr>
        <w:ind w:left="2336" w:hanging="489"/>
        <w:jc w:val="left"/>
      </w:pPr>
      <w:rPr>
        <w:rFonts w:hint="default" w:ascii="微軟正黑體" w:hAnsi="微軟正黑體" w:eastAsia="微軟正黑體" w:cs="微軟正黑體"/>
        <w:spacing w:val="-26"/>
        <w:w w:val="100"/>
        <w:sz w:val="24"/>
        <w:szCs w:val="24"/>
      </w:rPr>
    </w:lvl>
    <w:lvl w:ilvl="2">
      <w:start w:val="0"/>
      <w:numFmt w:val="bullet"/>
      <w:lvlText w:val="•"/>
      <w:lvlJc w:val="left"/>
      <w:pPr>
        <w:ind w:left="3327" w:hanging="489"/>
      </w:pPr>
      <w:rPr>
        <w:rFonts w:hint="default"/>
      </w:rPr>
    </w:lvl>
    <w:lvl w:ilvl="3">
      <w:start w:val="0"/>
      <w:numFmt w:val="bullet"/>
      <w:lvlText w:val="•"/>
      <w:lvlJc w:val="left"/>
      <w:pPr>
        <w:ind w:left="4314" w:hanging="489"/>
      </w:pPr>
      <w:rPr>
        <w:rFonts w:hint="default"/>
      </w:rPr>
    </w:lvl>
    <w:lvl w:ilvl="4">
      <w:start w:val="0"/>
      <w:numFmt w:val="bullet"/>
      <w:lvlText w:val="•"/>
      <w:lvlJc w:val="left"/>
      <w:pPr>
        <w:ind w:left="5302" w:hanging="489"/>
      </w:pPr>
      <w:rPr>
        <w:rFonts w:hint="default"/>
      </w:rPr>
    </w:lvl>
    <w:lvl w:ilvl="5">
      <w:start w:val="0"/>
      <w:numFmt w:val="bullet"/>
      <w:lvlText w:val="•"/>
      <w:lvlJc w:val="left"/>
      <w:pPr>
        <w:ind w:left="6289" w:hanging="489"/>
      </w:pPr>
      <w:rPr>
        <w:rFonts w:hint="default"/>
      </w:rPr>
    </w:lvl>
    <w:lvl w:ilvl="6">
      <w:start w:val="0"/>
      <w:numFmt w:val="bullet"/>
      <w:lvlText w:val="•"/>
      <w:lvlJc w:val="left"/>
      <w:pPr>
        <w:ind w:left="7277" w:hanging="489"/>
      </w:pPr>
      <w:rPr>
        <w:rFonts w:hint="default"/>
      </w:rPr>
    </w:lvl>
    <w:lvl w:ilvl="7">
      <w:start w:val="0"/>
      <w:numFmt w:val="bullet"/>
      <w:lvlText w:val="•"/>
      <w:lvlJc w:val="left"/>
      <w:pPr>
        <w:ind w:left="8264" w:hanging="489"/>
      </w:pPr>
      <w:rPr>
        <w:rFonts w:hint="default"/>
      </w:rPr>
    </w:lvl>
    <w:lvl w:ilvl="8">
      <w:start w:val="0"/>
      <w:numFmt w:val="bullet"/>
      <w:lvlText w:val="•"/>
      <w:lvlJc w:val="left"/>
      <w:pPr>
        <w:ind w:left="9252" w:hanging="489"/>
      </w:pPr>
      <w:rPr>
        <w:rFonts w:hint="default"/>
      </w:rPr>
    </w:lvl>
  </w:abstractNum>
  <w:abstractNum w:abstractNumId="164">
    <w:multiLevelType w:val="hybridMultilevel"/>
    <w:lvl w:ilvl="0">
      <w:start w:val="1"/>
      <w:numFmt w:val="decimal"/>
      <w:lvlText w:val="%1"/>
      <w:lvlJc w:val="left"/>
      <w:pPr>
        <w:ind w:left="2347" w:hanging="489"/>
        <w:jc w:val="left"/>
      </w:pPr>
      <w:rPr>
        <w:rFonts w:hint="default"/>
      </w:rPr>
    </w:lvl>
    <w:lvl w:ilvl="1">
      <w:start w:val="1"/>
      <w:numFmt w:val="decimal"/>
      <w:lvlText w:val="%1-%2"/>
      <w:lvlJc w:val="left"/>
      <w:pPr>
        <w:ind w:left="2347"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4117" w:hanging="489"/>
      </w:pPr>
      <w:rPr>
        <w:rFonts w:hint="default"/>
      </w:rPr>
    </w:lvl>
    <w:lvl w:ilvl="3">
      <w:start w:val="0"/>
      <w:numFmt w:val="bullet"/>
      <w:lvlText w:val="•"/>
      <w:lvlJc w:val="left"/>
      <w:pPr>
        <w:ind w:left="5006" w:hanging="489"/>
      </w:pPr>
      <w:rPr>
        <w:rFonts w:hint="default"/>
      </w:rPr>
    </w:lvl>
    <w:lvl w:ilvl="4">
      <w:start w:val="0"/>
      <w:numFmt w:val="bullet"/>
      <w:lvlText w:val="•"/>
      <w:lvlJc w:val="left"/>
      <w:pPr>
        <w:ind w:left="5894" w:hanging="489"/>
      </w:pPr>
      <w:rPr>
        <w:rFonts w:hint="default"/>
      </w:rPr>
    </w:lvl>
    <w:lvl w:ilvl="5">
      <w:start w:val="0"/>
      <w:numFmt w:val="bullet"/>
      <w:lvlText w:val="•"/>
      <w:lvlJc w:val="left"/>
      <w:pPr>
        <w:ind w:left="6783" w:hanging="489"/>
      </w:pPr>
      <w:rPr>
        <w:rFonts w:hint="default"/>
      </w:rPr>
    </w:lvl>
    <w:lvl w:ilvl="6">
      <w:start w:val="0"/>
      <w:numFmt w:val="bullet"/>
      <w:lvlText w:val="•"/>
      <w:lvlJc w:val="left"/>
      <w:pPr>
        <w:ind w:left="7672" w:hanging="489"/>
      </w:pPr>
      <w:rPr>
        <w:rFonts w:hint="default"/>
      </w:rPr>
    </w:lvl>
    <w:lvl w:ilvl="7">
      <w:start w:val="0"/>
      <w:numFmt w:val="bullet"/>
      <w:lvlText w:val="•"/>
      <w:lvlJc w:val="left"/>
      <w:pPr>
        <w:ind w:left="8561" w:hanging="489"/>
      </w:pPr>
      <w:rPr>
        <w:rFonts w:hint="default"/>
      </w:rPr>
    </w:lvl>
    <w:lvl w:ilvl="8">
      <w:start w:val="0"/>
      <w:numFmt w:val="bullet"/>
      <w:lvlText w:val="•"/>
      <w:lvlJc w:val="left"/>
      <w:pPr>
        <w:ind w:left="9449" w:hanging="489"/>
      </w:pPr>
      <w:rPr>
        <w:rFonts w:hint="default"/>
      </w:rPr>
    </w:lvl>
  </w:abstractNum>
  <w:abstractNum w:abstractNumId="163">
    <w:multiLevelType w:val="hybridMultilevel"/>
    <w:lvl w:ilvl="0">
      <w:start w:val="4"/>
      <w:numFmt w:val="decimal"/>
      <w:lvlText w:val="%1"/>
      <w:lvlJc w:val="left"/>
      <w:pPr>
        <w:ind w:left="2368" w:hanging="489"/>
        <w:jc w:val="left"/>
      </w:pPr>
      <w:rPr>
        <w:rFonts w:hint="default"/>
      </w:rPr>
    </w:lvl>
    <w:lvl w:ilvl="1">
      <w:start w:val="1"/>
      <w:numFmt w:val="decimal"/>
      <w:lvlText w:val="%1-%2"/>
      <w:lvlJc w:val="left"/>
      <w:pPr>
        <w:ind w:left="2368"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4133" w:hanging="489"/>
      </w:pPr>
      <w:rPr>
        <w:rFonts w:hint="default"/>
      </w:rPr>
    </w:lvl>
    <w:lvl w:ilvl="3">
      <w:start w:val="0"/>
      <w:numFmt w:val="bullet"/>
      <w:lvlText w:val="•"/>
      <w:lvlJc w:val="left"/>
      <w:pPr>
        <w:ind w:left="5020" w:hanging="489"/>
      </w:pPr>
      <w:rPr>
        <w:rFonts w:hint="default"/>
      </w:rPr>
    </w:lvl>
    <w:lvl w:ilvl="4">
      <w:start w:val="0"/>
      <w:numFmt w:val="bullet"/>
      <w:lvlText w:val="•"/>
      <w:lvlJc w:val="left"/>
      <w:pPr>
        <w:ind w:left="5906" w:hanging="489"/>
      </w:pPr>
      <w:rPr>
        <w:rFonts w:hint="default"/>
      </w:rPr>
    </w:lvl>
    <w:lvl w:ilvl="5">
      <w:start w:val="0"/>
      <w:numFmt w:val="bullet"/>
      <w:lvlText w:val="•"/>
      <w:lvlJc w:val="left"/>
      <w:pPr>
        <w:ind w:left="6793" w:hanging="489"/>
      </w:pPr>
      <w:rPr>
        <w:rFonts w:hint="default"/>
      </w:rPr>
    </w:lvl>
    <w:lvl w:ilvl="6">
      <w:start w:val="0"/>
      <w:numFmt w:val="bullet"/>
      <w:lvlText w:val="•"/>
      <w:lvlJc w:val="left"/>
      <w:pPr>
        <w:ind w:left="7680" w:hanging="489"/>
      </w:pPr>
      <w:rPr>
        <w:rFonts w:hint="default"/>
      </w:rPr>
    </w:lvl>
    <w:lvl w:ilvl="7">
      <w:start w:val="0"/>
      <w:numFmt w:val="bullet"/>
      <w:lvlText w:val="•"/>
      <w:lvlJc w:val="left"/>
      <w:pPr>
        <w:ind w:left="8567" w:hanging="489"/>
      </w:pPr>
      <w:rPr>
        <w:rFonts w:hint="default"/>
      </w:rPr>
    </w:lvl>
    <w:lvl w:ilvl="8">
      <w:start w:val="0"/>
      <w:numFmt w:val="bullet"/>
      <w:lvlText w:val="•"/>
      <w:lvlJc w:val="left"/>
      <w:pPr>
        <w:ind w:left="9453" w:hanging="489"/>
      </w:pPr>
      <w:rPr>
        <w:rFonts w:hint="default"/>
      </w:rPr>
    </w:lvl>
  </w:abstractNum>
  <w:abstractNum w:abstractNumId="162">
    <w:multiLevelType w:val="hybridMultilevel"/>
    <w:lvl w:ilvl="0">
      <w:start w:val="3"/>
      <w:numFmt w:val="decimal"/>
      <w:lvlText w:val="%1"/>
      <w:lvlJc w:val="left"/>
      <w:pPr>
        <w:ind w:left="2368" w:hanging="489"/>
        <w:jc w:val="left"/>
      </w:pPr>
      <w:rPr>
        <w:rFonts w:hint="default"/>
      </w:rPr>
    </w:lvl>
    <w:lvl w:ilvl="1">
      <w:start w:val="1"/>
      <w:numFmt w:val="decimal"/>
      <w:lvlText w:val="%1-%2"/>
      <w:lvlJc w:val="left"/>
      <w:pPr>
        <w:ind w:left="2368"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4133" w:hanging="489"/>
      </w:pPr>
      <w:rPr>
        <w:rFonts w:hint="default"/>
      </w:rPr>
    </w:lvl>
    <w:lvl w:ilvl="3">
      <w:start w:val="0"/>
      <w:numFmt w:val="bullet"/>
      <w:lvlText w:val="•"/>
      <w:lvlJc w:val="left"/>
      <w:pPr>
        <w:ind w:left="5020" w:hanging="489"/>
      </w:pPr>
      <w:rPr>
        <w:rFonts w:hint="default"/>
      </w:rPr>
    </w:lvl>
    <w:lvl w:ilvl="4">
      <w:start w:val="0"/>
      <w:numFmt w:val="bullet"/>
      <w:lvlText w:val="•"/>
      <w:lvlJc w:val="left"/>
      <w:pPr>
        <w:ind w:left="5906" w:hanging="489"/>
      </w:pPr>
      <w:rPr>
        <w:rFonts w:hint="default"/>
      </w:rPr>
    </w:lvl>
    <w:lvl w:ilvl="5">
      <w:start w:val="0"/>
      <w:numFmt w:val="bullet"/>
      <w:lvlText w:val="•"/>
      <w:lvlJc w:val="left"/>
      <w:pPr>
        <w:ind w:left="6793" w:hanging="489"/>
      </w:pPr>
      <w:rPr>
        <w:rFonts w:hint="default"/>
      </w:rPr>
    </w:lvl>
    <w:lvl w:ilvl="6">
      <w:start w:val="0"/>
      <w:numFmt w:val="bullet"/>
      <w:lvlText w:val="•"/>
      <w:lvlJc w:val="left"/>
      <w:pPr>
        <w:ind w:left="7680" w:hanging="489"/>
      </w:pPr>
      <w:rPr>
        <w:rFonts w:hint="default"/>
      </w:rPr>
    </w:lvl>
    <w:lvl w:ilvl="7">
      <w:start w:val="0"/>
      <w:numFmt w:val="bullet"/>
      <w:lvlText w:val="•"/>
      <w:lvlJc w:val="left"/>
      <w:pPr>
        <w:ind w:left="8567" w:hanging="489"/>
      </w:pPr>
      <w:rPr>
        <w:rFonts w:hint="default"/>
      </w:rPr>
    </w:lvl>
    <w:lvl w:ilvl="8">
      <w:start w:val="0"/>
      <w:numFmt w:val="bullet"/>
      <w:lvlText w:val="•"/>
      <w:lvlJc w:val="left"/>
      <w:pPr>
        <w:ind w:left="9453" w:hanging="489"/>
      </w:pPr>
      <w:rPr>
        <w:rFonts w:hint="default"/>
      </w:rPr>
    </w:lvl>
  </w:abstractNum>
  <w:abstractNum w:abstractNumId="161">
    <w:multiLevelType w:val="hybridMultilevel"/>
    <w:lvl w:ilvl="0">
      <w:start w:val="2"/>
      <w:numFmt w:val="decimal"/>
      <w:lvlText w:val="%1"/>
      <w:lvlJc w:val="left"/>
      <w:pPr>
        <w:ind w:left="2368" w:hanging="489"/>
        <w:jc w:val="left"/>
      </w:pPr>
      <w:rPr>
        <w:rFonts w:hint="default"/>
      </w:rPr>
    </w:lvl>
    <w:lvl w:ilvl="1">
      <w:start w:val="1"/>
      <w:numFmt w:val="decimal"/>
      <w:lvlText w:val="%1-%2"/>
      <w:lvlJc w:val="left"/>
      <w:pPr>
        <w:ind w:left="2368" w:hanging="489"/>
        <w:jc w:val="left"/>
      </w:pPr>
      <w:rPr>
        <w:rFonts w:hint="default" w:ascii="微軟正黑體" w:hAnsi="微軟正黑體" w:eastAsia="微軟正黑體" w:cs="微軟正黑體"/>
        <w:spacing w:val="-30"/>
        <w:w w:val="100"/>
        <w:sz w:val="24"/>
        <w:szCs w:val="24"/>
      </w:rPr>
    </w:lvl>
    <w:lvl w:ilvl="2">
      <w:start w:val="0"/>
      <w:numFmt w:val="bullet"/>
      <w:lvlText w:val="•"/>
      <w:lvlJc w:val="left"/>
      <w:pPr>
        <w:ind w:left="4133" w:hanging="489"/>
      </w:pPr>
      <w:rPr>
        <w:rFonts w:hint="default"/>
      </w:rPr>
    </w:lvl>
    <w:lvl w:ilvl="3">
      <w:start w:val="0"/>
      <w:numFmt w:val="bullet"/>
      <w:lvlText w:val="•"/>
      <w:lvlJc w:val="left"/>
      <w:pPr>
        <w:ind w:left="5020" w:hanging="489"/>
      </w:pPr>
      <w:rPr>
        <w:rFonts w:hint="default"/>
      </w:rPr>
    </w:lvl>
    <w:lvl w:ilvl="4">
      <w:start w:val="0"/>
      <w:numFmt w:val="bullet"/>
      <w:lvlText w:val="•"/>
      <w:lvlJc w:val="left"/>
      <w:pPr>
        <w:ind w:left="5906" w:hanging="489"/>
      </w:pPr>
      <w:rPr>
        <w:rFonts w:hint="default"/>
      </w:rPr>
    </w:lvl>
    <w:lvl w:ilvl="5">
      <w:start w:val="0"/>
      <w:numFmt w:val="bullet"/>
      <w:lvlText w:val="•"/>
      <w:lvlJc w:val="left"/>
      <w:pPr>
        <w:ind w:left="6793" w:hanging="489"/>
      </w:pPr>
      <w:rPr>
        <w:rFonts w:hint="default"/>
      </w:rPr>
    </w:lvl>
    <w:lvl w:ilvl="6">
      <w:start w:val="0"/>
      <w:numFmt w:val="bullet"/>
      <w:lvlText w:val="•"/>
      <w:lvlJc w:val="left"/>
      <w:pPr>
        <w:ind w:left="7680" w:hanging="489"/>
      </w:pPr>
      <w:rPr>
        <w:rFonts w:hint="default"/>
      </w:rPr>
    </w:lvl>
    <w:lvl w:ilvl="7">
      <w:start w:val="0"/>
      <w:numFmt w:val="bullet"/>
      <w:lvlText w:val="•"/>
      <w:lvlJc w:val="left"/>
      <w:pPr>
        <w:ind w:left="8567" w:hanging="489"/>
      </w:pPr>
      <w:rPr>
        <w:rFonts w:hint="default"/>
      </w:rPr>
    </w:lvl>
    <w:lvl w:ilvl="8">
      <w:start w:val="0"/>
      <w:numFmt w:val="bullet"/>
      <w:lvlText w:val="•"/>
      <w:lvlJc w:val="left"/>
      <w:pPr>
        <w:ind w:left="9453" w:hanging="489"/>
      </w:pPr>
      <w:rPr>
        <w:rFonts w:hint="default"/>
      </w:rPr>
    </w:lvl>
  </w:abstractNum>
  <w:abstractNum w:abstractNumId="160">
    <w:multiLevelType w:val="hybridMultilevel"/>
    <w:lvl w:ilvl="0">
      <w:start w:val="12"/>
      <w:numFmt w:val="decimal"/>
      <w:lvlText w:val="%1"/>
      <w:lvlJc w:val="left"/>
      <w:pPr>
        <w:ind w:left="1443" w:hanging="884"/>
        <w:jc w:val="left"/>
      </w:pPr>
      <w:rPr>
        <w:rFonts w:hint="default"/>
      </w:rPr>
    </w:lvl>
    <w:lvl w:ilvl="1">
      <w:start w:val="7"/>
      <w:numFmt w:val="decimal"/>
      <w:lvlText w:val="%1.%2"/>
      <w:lvlJc w:val="left"/>
      <w:pPr>
        <w:ind w:left="1443" w:hanging="884"/>
        <w:jc w:val="left"/>
      </w:pPr>
      <w:rPr>
        <w:rFonts w:hint="default"/>
      </w:rPr>
    </w:lvl>
    <w:lvl w:ilvl="2">
      <w:start w:val="1"/>
      <w:numFmt w:val="decimal"/>
      <w:lvlText w:val="%1.%2.%3"/>
      <w:lvlJc w:val="left"/>
      <w:pPr>
        <w:ind w:left="1443" w:hanging="884"/>
        <w:jc w:val="left"/>
      </w:pPr>
      <w:rPr>
        <w:rFonts w:hint="default" w:ascii="微軟正黑體" w:hAnsi="微軟正黑體" w:eastAsia="微軟正黑體" w:cs="微軟正黑體"/>
        <w:b/>
        <w:bCs/>
        <w:spacing w:val="-2"/>
        <w:w w:val="100"/>
        <w:sz w:val="24"/>
        <w:szCs w:val="24"/>
      </w:rPr>
    </w:lvl>
    <w:lvl w:ilvl="3">
      <w:start w:val="1"/>
      <w:numFmt w:val="decimal"/>
      <w:lvlText w:val="%4."/>
      <w:lvlJc w:val="left"/>
      <w:pPr>
        <w:ind w:left="1857" w:hanging="329"/>
        <w:jc w:val="left"/>
      </w:pPr>
      <w:rPr>
        <w:rFonts w:hint="default" w:ascii="微軟正黑體" w:hAnsi="微軟正黑體" w:eastAsia="微軟正黑體" w:cs="微軟正黑體"/>
        <w:spacing w:val="-24"/>
        <w:w w:val="100"/>
        <w:sz w:val="24"/>
        <w:szCs w:val="24"/>
      </w:rPr>
    </w:lvl>
    <w:lvl w:ilvl="4">
      <w:start w:val="1"/>
      <w:numFmt w:val="decimal"/>
      <w:lvlText w:val="%4-%5"/>
      <w:lvlJc w:val="left"/>
      <w:pPr>
        <w:ind w:left="2368" w:hanging="489"/>
        <w:jc w:val="left"/>
      </w:pPr>
      <w:rPr>
        <w:rFonts w:hint="default" w:ascii="微軟正黑體" w:hAnsi="微軟正黑體" w:eastAsia="微軟正黑體" w:cs="微軟正黑體"/>
        <w:spacing w:val="-18"/>
        <w:w w:val="100"/>
        <w:sz w:val="24"/>
        <w:szCs w:val="24"/>
      </w:rPr>
    </w:lvl>
    <w:lvl w:ilvl="5">
      <w:start w:val="0"/>
      <w:numFmt w:val="bullet"/>
      <w:lvlText w:val="•"/>
      <w:lvlJc w:val="left"/>
      <w:pPr>
        <w:ind w:left="5685" w:hanging="489"/>
      </w:pPr>
      <w:rPr>
        <w:rFonts w:hint="default"/>
      </w:rPr>
    </w:lvl>
    <w:lvl w:ilvl="6">
      <w:start w:val="0"/>
      <w:numFmt w:val="bullet"/>
      <w:lvlText w:val="•"/>
      <w:lvlJc w:val="left"/>
      <w:pPr>
        <w:ind w:left="6793" w:hanging="489"/>
      </w:pPr>
      <w:rPr>
        <w:rFonts w:hint="default"/>
      </w:rPr>
    </w:lvl>
    <w:lvl w:ilvl="7">
      <w:start w:val="0"/>
      <w:numFmt w:val="bullet"/>
      <w:lvlText w:val="•"/>
      <w:lvlJc w:val="left"/>
      <w:pPr>
        <w:ind w:left="7902" w:hanging="489"/>
      </w:pPr>
      <w:rPr>
        <w:rFonts w:hint="default"/>
      </w:rPr>
    </w:lvl>
    <w:lvl w:ilvl="8">
      <w:start w:val="0"/>
      <w:numFmt w:val="bullet"/>
      <w:lvlText w:val="•"/>
      <w:lvlJc w:val="left"/>
      <w:pPr>
        <w:ind w:left="9010" w:hanging="489"/>
      </w:pPr>
      <w:rPr>
        <w:rFonts w:hint="default"/>
      </w:rPr>
    </w:lvl>
  </w:abstractNum>
  <w:abstractNum w:abstractNumId="159">
    <w:multiLevelType w:val="hybridMultilevel"/>
    <w:lvl w:ilvl="0">
      <w:start w:val="0"/>
      <w:numFmt w:val="bullet"/>
      <w:lvlText w:val=""/>
      <w:lvlJc w:val="left"/>
      <w:pPr>
        <w:ind w:left="981" w:hanging="366"/>
      </w:pPr>
      <w:rPr>
        <w:rFonts w:hint="default" w:ascii="Wingdings" w:hAnsi="Wingdings" w:eastAsia="Wingdings" w:cs="Wingdings"/>
        <w:w w:val="100"/>
        <w:sz w:val="24"/>
        <w:szCs w:val="24"/>
      </w:rPr>
    </w:lvl>
    <w:lvl w:ilvl="1">
      <w:start w:val="0"/>
      <w:numFmt w:val="bullet"/>
      <w:lvlText w:val="•"/>
      <w:lvlJc w:val="left"/>
      <w:pPr>
        <w:ind w:left="2004" w:hanging="366"/>
      </w:pPr>
      <w:rPr>
        <w:rFonts w:hint="default"/>
      </w:rPr>
    </w:lvl>
    <w:lvl w:ilvl="2">
      <w:start w:val="0"/>
      <w:numFmt w:val="bullet"/>
      <w:lvlText w:val="•"/>
      <w:lvlJc w:val="left"/>
      <w:pPr>
        <w:ind w:left="3029" w:hanging="366"/>
      </w:pPr>
      <w:rPr>
        <w:rFonts w:hint="default"/>
      </w:rPr>
    </w:lvl>
    <w:lvl w:ilvl="3">
      <w:start w:val="0"/>
      <w:numFmt w:val="bullet"/>
      <w:lvlText w:val="•"/>
      <w:lvlJc w:val="left"/>
      <w:pPr>
        <w:ind w:left="4054" w:hanging="366"/>
      </w:pPr>
      <w:rPr>
        <w:rFonts w:hint="default"/>
      </w:rPr>
    </w:lvl>
    <w:lvl w:ilvl="4">
      <w:start w:val="0"/>
      <w:numFmt w:val="bullet"/>
      <w:lvlText w:val="•"/>
      <w:lvlJc w:val="left"/>
      <w:pPr>
        <w:ind w:left="5078" w:hanging="366"/>
      </w:pPr>
      <w:rPr>
        <w:rFonts w:hint="default"/>
      </w:rPr>
    </w:lvl>
    <w:lvl w:ilvl="5">
      <w:start w:val="0"/>
      <w:numFmt w:val="bullet"/>
      <w:lvlText w:val="•"/>
      <w:lvlJc w:val="left"/>
      <w:pPr>
        <w:ind w:left="6103" w:hanging="366"/>
      </w:pPr>
      <w:rPr>
        <w:rFonts w:hint="default"/>
      </w:rPr>
    </w:lvl>
    <w:lvl w:ilvl="6">
      <w:start w:val="0"/>
      <w:numFmt w:val="bullet"/>
      <w:lvlText w:val="•"/>
      <w:lvlJc w:val="left"/>
      <w:pPr>
        <w:ind w:left="7128" w:hanging="366"/>
      </w:pPr>
      <w:rPr>
        <w:rFonts w:hint="default"/>
      </w:rPr>
    </w:lvl>
    <w:lvl w:ilvl="7">
      <w:start w:val="0"/>
      <w:numFmt w:val="bullet"/>
      <w:lvlText w:val="•"/>
      <w:lvlJc w:val="left"/>
      <w:pPr>
        <w:ind w:left="8153" w:hanging="366"/>
      </w:pPr>
      <w:rPr>
        <w:rFonts w:hint="default"/>
      </w:rPr>
    </w:lvl>
    <w:lvl w:ilvl="8">
      <w:start w:val="0"/>
      <w:numFmt w:val="bullet"/>
      <w:lvlText w:val="•"/>
      <w:lvlJc w:val="left"/>
      <w:pPr>
        <w:ind w:left="9177" w:hanging="366"/>
      </w:pPr>
      <w:rPr>
        <w:rFonts w:hint="default"/>
      </w:rPr>
    </w:lvl>
  </w:abstractNum>
  <w:abstractNum w:abstractNumId="158">
    <w:multiLevelType w:val="hybridMultilevel"/>
    <w:lvl w:ilvl="0">
      <w:start w:val="1"/>
      <w:numFmt w:val="decimal"/>
      <w:lvlText w:val="%1."/>
      <w:lvlJc w:val="left"/>
      <w:pPr>
        <w:ind w:left="969" w:hanging="354"/>
        <w:jc w:val="left"/>
      </w:pPr>
      <w:rPr>
        <w:rFonts w:hint="default" w:ascii="微軟正黑體" w:hAnsi="微軟正黑體" w:eastAsia="微軟正黑體" w:cs="微軟正黑體"/>
        <w:b/>
        <w:bCs/>
        <w:spacing w:val="0"/>
        <w:w w:val="100"/>
        <w:sz w:val="24"/>
        <w:szCs w:val="24"/>
      </w:rPr>
    </w:lvl>
    <w:lvl w:ilvl="1">
      <w:start w:val="1"/>
      <w:numFmt w:val="decimal"/>
      <w:lvlText w:val="%1-%2"/>
      <w:lvlJc w:val="left"/>
      <w:pPr>
        <w:ind w:left="1489" w:hanging="489"/>
        <w:jc w:val="left"/>
      </w:pPr>
      <w:rPr>
        <w:rFonts w:hint="default" w:ascii="微軟正黑體" w:hAnsi="微軟正黑體" w:eastAsia="微軟正黑體" w:cs="微軟正黑體"/>
        <w:b/>
        <w:bCs/>
        <w:spacing w:val="-27"/>
        <w:w w:val="100"/>
        <w:sz w:val="24"/>
        <w:szCs w:val="24"/>
      </w:rPr>
    </w:lvl>
    <w:lvl w:ilvl="2">
      <w:start w:val="0"/>
      <w:numFmt w:val="bullet"/>
      <w:lvlText w:val="•"/>
      <w:lvlJc w:val="left"/>
      <w:pPr>
        <w:ind w:left="2563" w:hanging="489"/>
      </w:pPr>
      <w:rPr>
        <w:rFonts w:hint="default"/>
      </w:rPr>
    </w:lvl>
    <w:lvl w:ilvl="3">
      <w:start w:val="0"/>
      <w:numFmt w:val="bullet"/>
      <w:lvlText w:val="•"/>
      <w:lvlJc w:val="left"/>
      <w:pPr>
        <w:ind w:left="3646" w:hanging="489"/>
      </w:pPr>
      <w:rPr>
        <w:rFonts w:hint="default"/>
      </w:rPr>
    </w:lvl>
    <w:lvl w:ilvl="4">
      <w:start w:val="0"/>
      <w:numFmt w:val="bullet"/>
      <w:lvlText w:val="•"/>
      <w:lvlJc w:val="left"/>
      <w:pPr>
        <w:ind w:left="4729" w:hanging="489"/>
      </w:pPr>
      <w:rPr>
        <w:rFonts w:hint="default"/>
      </w:rPr>
    </w:lvl>
    <w:lvl w:ilvl="5">
      <w:start w:val="0"/>
      <w:numFmt w:val="bullet"/>
      <w:lvlText w:val="•"/>
      <w:lvlJc w:val="left"/>
      <w:pPr>
        <w:ind w:left="5812" w:hanging="489"/>
      </w:pPr>
      <w:rPr>
        <w:rFonts w:hint="default"/>
      </w:rPr>
    </w:lvl>
    <w:lvl w:ilvl="6">
      <w:start w:val="0"/>
      <w:numFmt w:val="bullet"/>
      <w:lvlText w:val="•"/>
      <w:lvlJc w:val="left"/>
      <w:pPr>
        <w:ind w:left="6895" w:hanging="489"/>
      </w:pPr>
      <w:rPr>
        <w:rFonts w:hint="default"/>
      </w:rPr>
    </w:lvl>
    <w:lvl w:ilvl="7">
      <w:start w:val="0"/>
      <w:numFmt w:val="bullet"/>
      <w:lvlText w:val="•"/>
      <w:lvlJc w:val="left"/>
      <w:pPr>
        <w:ind w:left="7978" w:hanging="489"/>
      </w:pPr>
      <w:rPr>
        <w:rFonts w:hint="default"/>
      </w:rPr>
    </w:lvl>
    <w:lvl w:ilvl="8">
      <w:start w:val="0"/>
      <w:numFmt w:val="bullet"/>
      <w:lvlText w:val="•"/>
      <w:lvlJc w:val="left"/>
      <w:pPr>
        <w:ind w:left="9061" w:hanging="489"/>
      </w:pPr>
      <w:rPr>
        <w:rFonts w:hint="default"/>
      </w:rPr>
    </w:lvl>
  </w:abstractNum>
  <w:abstractNum w:abstractNumId="157">
    <w:multiLevelType w:val="hybridMultilevel"/>
    <w:lvl w:ilvl="0">
      <w:start w:val="4"/>
      <w:numFmt w:val="decimal"/>
      <w:lvlText w:val="%1"/>
      <w:lvlJc w:val="left"/>
      <w:pPr>
        <w:ind w:left="1489" w:hanging="489"/>
        <w:jc w:val="left"/>
      </w:pPr>
      <w:rPr>
        <w:rFonts w:hint="default"/>
      </w:rPr>
    </w:lvl>
    <w:lvl w:ilvl="1">
      <w:start w:val="1"/>
      <w:numFmt w:val="decimal"/>
      <w:lvlText w:val="%1-%2"/>
      <w:lvlJc w:val="left"/>
      <w:pPr>
        <w:ind w:left="1489" w:hanging="489"/>
        <w:jc w:val="left"/>
      </w:pPr>
      <w:rPr>
        <w:rFonts w:hint="default" w:ascii="微軟正黑體" w:hAnsi="微軟正黑體" w:eastAsia="微軟正黑體" w:cs="微軟正黑體"/>
        <w:spacing w:val="-29"/>
        <w:w w:val="100"/>
        <w:sz w:val="24"/>
        <w:szCs w:val="24"/>
      </w:rPr>
    </w:lvl>
    <w:lvl w:ilvl="2">
      <w:start w:val="0"/>
      <w:numFmt w:val="bullet"/>
      <w:lvlText w:val="•"/>
      <w:lvlJc w:val="left"/>
      <w:pPr>
        <w:ind w:left="3429" w:hanging="489"/>
      </w:pPr>
      <w:rPr>
        <w:rFonts w:hint="default"/>
      </w:rPr>
    </w:lvl>
    <w:lvl w:ilvl="3">
      <w:start w:val="0"/>
      <w:numFmt w:val="bullet"/>
      <w:lvlText w:val="•"/>
      <w:lvlJc w:val="left"/>
      <w:pPr>
        <w:ind w:left="4404" w:hanging="489"/>
      </w:pPr>
      <w:rPr>
        <w:rFonts w:hint="default"/>
      </w:rPr>
    </w:lvl>
    <w:lvl w:ilvl="4">
      <w:start w:val="0"/>
      <w:numFmt w:val="bullet"/>
      <w:lvlText w:val="•"/>
      <w:lvlJc w:val="left"/>
      <w:pPr>
        <w:ind w:left="5378" w:hanging="489"/>
      </w:pPr>
      <w:rPr>
        <w:rFonts w:hint="default"/>
      </w:rPr>
    </w:lvl>
    <w:lvl w:ilvl="5">
      <w:start w:val="0"/>
      <w:numFmt w:val="bullet"/>
      <w:lvlText w:val="•"/>
      <w:lvlJc w:val="left"/>
      <w:pPr>
        <w:ind w:left="6353" w:hanging="489"/>
      </w:pPr>
      <w:rPr>
        <w:rFonts w:hint="default"/>
      </w:rPr>
    </w:lvl>
    <w:lvl w:ilvl="6">
      <w:start w:val="0"/>
      <w:numFmt w:val="bullet"/>
      <w:lvlText w:val="•"/>
      <w:lvlJc w:val="left"/>
      <w:pPr>
        <w:ind w:left="7328" w:hanging="489"/>
      </w:pPr>
      <w:rPr>
        <w:rFonts w:hint="default"/>
      </w:rPr>
    </w:lvl>
    <w:lvl w:ilvl="7">
      <w:start w:val="0"/>
      <w:numFmt w:val="bullet"/>
      <w:lvlText w:val="•"/>
      <w:lvlJc w:val="left"/>
      <w:pPr>
        <w:ind w:left="8303" w:hanging="489"/>
      </w:pPr>
      <w:rPr>
        <w:rFonts w:hint="default"/>
      </w:rPr>
    </w:lvl>
    <w:lvl w:ilvl="8">
      <w:start w:val="0"/>
      <w:numFmt w:val="bullet"/>
      <w:lvlText w:val="•"/>
      <w:lvlJc w:val="left"/>
      <w:pPr>
        <w:ind w:left="9277" w:hanging="489"/>
      </w:pPr>
      <w:rPr>
        <w:rFonts w:hint="default"/>
      </w:rPr>
    </w:lvl>
  </w:abstractNum>
  <w:abstractNum w:abstractNumId="156">
    <w:multiLevelType w:val="hybridMultilevel"/>
    <w:lvl w:ilvl="0">
      <w:start w:val="3"/>
      <w:numFmt w:val="decimal"/>
      <w:lvlText w:val="%1"/>
      <w:lvlJc w:val="left"/>
      <w:pPr>
        <w:ind w:left="1489" w:hanging="489"/>
        <w:jc w:val="left"/>
      </w:pPr>
      <w:rPr>
        <w:rFonts w:hint="default"/>
      </w:rPr>
    </w:lvl>
    <w:lvl w:ilvl="1">
      <w:start w:val="1"/>
      <w:numFmt w:val="decimal"/>
      <w:lvlText w:val="%1-%2"/>
      <w:lvlJc w:val="left"/>
      <w:pPr>
        <w:ind w:left="1489"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429" w:hanging="489"/>
      </w:pPr>
      <w:rPr>
        <w:rFonts w:hint="default"/>
      </w:rPr>
    </w:lvl>
    <w:lvl w:ilvl="3">
      <w:start w:val="0"/>
      <w:numFmt w:val="bullet"/>
      <w:lvlText w:val="•"/>
      <w:lvlJc w:val="left"/>
      <w:pPr>
        <w:ind w:left="4404" w:hanging="489"/>
      </w:pPr>
      <w:rPr>
        <w:rFonts w:hint="default"/>
      </w:rPr>
    </w:lvl>
    <w:lvl w:ilvl="4">
      <w:start w:val="0"/>
      <w:numFmt w:val="bullet"/>
      <w:lvlText w:val="•"/>
      <w:lvlJc w:val="left"/>
      <w:pPr>
        <w:ind w:left="5378" w:hanging="489"/>
      </w:pPr>
      <w:rPr>
        <w:rFonts w:hint="default"/>
      </w:rPr>
    </w:lvl>
    <w:lvl w:ilvl="5">
      <w:start w:val="0"/>
      <w:numFmt w:val="bullet"/>
      <w:lvlText w:val="•"/>
      <w:lvlJc w:val="left"/>
      <w:pPr>
        <w:ind w:left="6353" w:hanging="489"/>
      </w:pPr>
      <w:rPr>
        <w:rFonts w:hint="default"/>
      </w:rPr>
    </w:lvl>
    <w:lvl w:ilvl="6">
      <w:start w:val="0"/>
      <w:numFmt w:val="bullet"/>
      <w:lvlText w:val="•"/>
      <w:lvlJc w:val="left"/>
      <w:pPr>
        <w:ind w:left="7328" w:hanging="489"/>
      </w:pPr>
      <w:rPr>
        <w:rFonts w:hint="default"/>
      </w:rPr>
    </w:lvl>
    <w:lvl w:ilvl="7">
      <w:start w:val="0"/>
      <w:numFmt w:val="bullet"/>
      <w:lvlText w:val="•"/>
      <w:lvlJc w:val="left"/>
      <w:pPr>
        <w:ind w:left="8303" w:hanging="489"/>
      </w:pPr>
      <w:rPr>
        <w:rFonts w:hint="default"/>
      </w:rPr>
    </w:lvl>
    <w:lvl w:ilvl="8">
      <w:start w:val="0"/>
      <w:numFmt w:val="bullet"/>
      <w:lvlText w:val="•"/>
      <w:lvlJc w:val="left"/>
      <w:pPr>
        <w:ind w:left="9277" w:hanging="489"/>
      </w:pPr>
      <w:rPr>
        <w:rFonts w:hint="default"/>
      </w:rPr>
    </w:lvl>
  </w:abstractNum>
  <w:abstractNum w:abstractNumId="155">
    <w:multiLevelType w:val="hybridMultilevel"/>
    <w:lvl w:ilvl="0">
      <w:start w:val="1"/>
      <w:numFmt w:val="decimal"/>
      <w:lvlText w:val="%1."/>
      <w:lvlJc w:val="left"/>
      <w:pPr>
        <w:ind w:left="957" w:hanging="342"/>
        <w:jc w:val="left"/>
      </w:pPr>
      <w:rPr>
        <w:rFonts w:hint="default" w:ascii="微軟正黑體" w:hAnsi="微軟正黑體" w:eastAsia="微軟正黑體" w:cs="微軟正黑體"/>
        <w:b/>
        <w:bCs/>
        <w:spacing w:val="0"/>
        <w:w w:val="100"/>
        <w:sz w:val="24"/>
        <w:szCs w:val="24"/>
      </w:rPr>
    </w:lvl>
    <w:lvl w:ilvl="1">
      <w:start w:val="1"/>
      <w:numFmt w:val="decimal"/>
      <w:lvlText w:val="%1-%2"/>
      <w:lvlJc w:val="left"/>
      <w:pPr>
        <w:ind w:left="1489"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2563" w:hanging="489"/>
      </w:pPr>
      <w:rPr>
        <w:rFonts w:hint="default"/>
      </w:rPr>
    </w:lvl>
    <w:lvl w:ilvl="3">
      <w:start w:val="0"/>
      <w:numFmt w:val="bullet"/>
      <w:lvlText w:val="•"/>
      <w:lvlJc w:val="left"/>
      <w:pPr>
        <w:ind w:left="3646" w:hanging="489"/>
      </w:pPr>
      <w:rPr>
        <w:rFonts w:hint="default"/>
      </w:rPr>
    </w:lvl>
    <w:lvl w:ilvl="4">
      <w:start w:val="0"/>
      <w:numFmt w:val="bullet"/>
      <w:lvlText w:val="•"/>
      <w:lvlJc w:val="left"/>
      <w:pPr>
        <w:ind w:left="4729" w:hanging="489"/>
      </w:pPr>
      <w:rPr>
        <w:rFonts w:hint="default"/>
      </w:rPr>
    </w:lvl>
    <w:lvl w:ilvl="5">
      <w:start w:val="0"/>
      <w:numFmt w:val="bullet"/>
      <w:lvlText w:val="•"/>
      <w:lvlJc w:val="left"/>
      <w:pPr>
        <w:ind w:left="5812" w:hanging="489"/>
      </w:pPr>
      <w:rPr>
        <w:rFonts w:hint="default"/>
      </w:rPr>
    </w:lvl>
    <w:lvl w:ilvl="6">
      <w:start w:val="0"/>
      <w:numFmt w:val="bullet"/>
      <w:lvlText w:val="•"/>
      <w:lvlJc w:val="left"/>
      <w:pPr>
        <w:ind w:left="6895" w:hanging="489"/>
      </w:pPr>
      <w:rPr>
        <w:rFonts w:hint="default"/>
      </w:rPr>
    </w:lvl>
    <w:lvl w:ilvl="7">
      <w:start w:val="0"/>
      <w:numFmt w:val="bullet"/>
      <w:lvlText w:val="•"/>
      <w:lvlJc w:val="left"/>
      <w:pPr>
        <w:ind w:left="7978" w:hanging="489"/>
      </w:pPr>
      <w:rPr>
        <w:rFonts w:hint="default"/>
      </w:rPr>
    </w:lvl>
    <w:lvl w:ilvl="8">
      <w:start w:val="0"/>
      <w:numFmt w:val="bullet"/>
      <w:lvlText w:val="•"/>
      <w:lvlJc w:val="left"/>
      <w:pPr>
        <w:ind w:left="9061" w:hanging="489"/>
      </w:pPr>
      <w:rPr>
        <w:rFonts w:hint="default"/>
      </w:rPr>
    </w:lvl>
  </w:abstractNum>
  <w:abstractNum w:abstractNumId="154">
    <w:multiLevelType w:val="hybridMultilevel"/>
    <w:lvl w:ilvl="0">
      <w:start w:val="1"/>
      <w:numFmt w:val="decimal"/>
      <w:lvlText w:val="%1."/>
      <w:lvlJc w:val="left"/>
      <w:pPr>
        <w:ind w:left="1861" w:hanging="333"/>
        <w:jc w:val="left"/>
      </w:pPr>
      <w:rPr>
        <w:rFonts w:hint="default" w:ascii="微軟正黑體" w:hAnsi="微軟正黑體" w:eastAsia="微軟正黑體" w:cs="微軟正黑體"/>
        <w:b/>
        <w:bCs/>
        <w:spacing w:val="0"/>
        <w:w w:val="100"/>
        <w:sz w:val="24"/>
        <w:szCs w:val="24"/>
      </w:rPr>
    </w:lvl>
    <w:lvl w:ilvl="1">
      <w:start w:val="0"/>
      <w:numFmt w:val="bullet"/>
      <w:lvlText w:val="•"/>
      <w:lvlJc w:val="left"/>
      <w:pPr>
        <w:ind w:left="2796" w:hanging="333"/>
      </w:pPr>
      <w:rPr>
        <w:rFonts w:hint="default"/>
      </w:rPr>
    </w:lvl>
    <w:lvl w:ilvl="2">
      <w:start w:val="0"/>
      <w:numFmt w:val="bullet"/>
      <w:lvlText w:val="•"/>
      <w:lvlJc w:val="left"/>
      <w:pPr>
        <w:ind w:left="3733" w:hanging="333"/>
      </w:pPr>
      <w:rPr>
        <w:rFonts w:hint="default"/>
      </w:rPr>
    </w:lvl>
    <w:lvl w:ilvl="3">
      <w:start w:val="0"/>
      <w:numFmt w:val="bullet"/>
      <w:lvlText w:val="•"/>
      <w:lvlJc w:val="left"/>
      <w:pPr>
        <w:ind w:left="4670" w:hanging="333"/>
      </w:pPr>
      <w:rPr>
        <w:rFonts w:hint="default"/>
      </w:rPr>
    </w:lvl>
    <w:lvl w:ilvl="4">
      <w:start w:val="0"/>
      <w:numFmt w:val="bullet"/>
      <w:lvlText w:val="•"/>
      <w:lvlJc w:val="left"/>
      <w:pPr>
        <w:ind w:left="5606" w:hanging="333"/>
      </w:pPr>
      <w:rPr>
        <w:rFonts w:hint="default"/>
      </w:rPr>
    </w:lvl>
    <w:lvl w:ilvl="5">
      <w:start w:val="0"/>
      <w:numFmt w:val="bullet"/>
      <w:lvlText w:val="•"/>
      <w:lvlJc w:val="left"/>
      <w:pPr>
        <w:ind w:left="6543" w:hanging="333"/>
      </w:pPr>
      <w:rPr>
        <w:rFonts w:hint="default"/>
      </w:rPr>
    </w:lvl>
    <w:lvl w:ilvl="6">
      <w:start w:val="0"/>
      <w:numFmt w:val="bullet"/>
      <w:lvlText w:val="•"/>
      <w:lvlJc w:val="left"/>
      <w:pPr>
        <w:ind w:left="7480" w:hanging="333"/>
      </w:pPr>
      <w:rPr>
        <w:rFonts w:hint="default"/>
      </w:rPr>
    </w:lvl>
    <w:lvl w:ilvl="7">
      <w:start w:val="0"/>
      <w:numFmt w:val="bullet"/>
      <w:lvlText w:val="•"/>
      <w:lvlJc w:val="left"/>
      <w:pPr>
        <w:ind w:left="8417" w:hanging="333"/>
      </w:pPr>
      <w:rPr>
        <w:rFonts w:hint="default"/>
      </w:rPr>
    </w:lvl>
    <w:lvl w:ilvl="8">
      <w:start w:val="0"/>
      <w:numFmt w:val="bullet"/>
      <w:lvlText w:val="•"/>
      <w:lvlJc w:val="left"/>
      <w:pPr>
        <w:ind w:left="9353" w:hanging="333"/>
      </w:pPr>
      <w:rPr>
        <w:rFonts w:hint="default"/>
      </w:rPr>
    </w:lvl>
  </w:abstractNum>
  <w:abstractNum w:abstractNumId="153">
    <w:multiLevelType w:val="hybridMultilevel"/>
    <w:lvl w:ilvl="0">
      <w:start w:val="0"/>
      <w:numFmt w:val="bullet"/>
      <w:lvlText w:val=""/>
      <w:lvlJc w:val="left"/>
      <w:pPr>
        <w:ind w:left="355" w:hanging="244"/>
      </w:pPr>
      <w:rPr>
        <w:rFonts w:hint="default" w:ascii="Wingdings" w:hAnsi="Wingdings" w:eastAsia="Wingdings" w:cs="Wingdings"/>
        <w:w w:val="100"/>
        <w:sz w:val="20"/>
        <w:szCs w:val="20"/>
      </w:rPr>
    </w:lvl>
    <w:lvl w:ilvl="1">
      <w:start w:val="0"/>
      <w:numFmt w:val="bullet"/>
      <w:lvlText w:val="•"/>
      <w:lvlJc w:val="left"/>
      <w:pPr>
        <w:ind w:left="1143" w:hanging="244"/>
      </w:pPr>
      <w:rPr>
        <w:rFonts w:hint="default"/>
      </w:rPr>
    </w:lvl>
    <w:lvl w:ilvl="2">
      <w:start w:val="0"/>
      <w:numFmt w:val="bullet"/>
      <w:lvlText w:val="•"/>
      <w:lvlJc w:val="left"/>
      <w:pPr>
        <w:ind w:left="1927" w:hanging="244"/>
      </w:pPr>
      <w:rPr>
        <w:rFonts w:hint="default"/>
      </w:rPr>
    </w:lvl>
    <w:lvl w:ilvl="3">
      <w:start w:val="0"/>
      <w:numFmt w:val="bullet"/>
      <w:lvlText w:val="•"/>
      <w:lvlJc w:val="left"/>
      <w:pPr>
        <w:ind w:left="2710" w:hanging="244"/>
      </w:pPr>
      <w:rPr>
        <w:rFonts w:hint="default"/>
      </w:rPr>
    </w:lvl>
    <w:lvl w:ilvl="4">
      <w:start w:val="0"/>
      <w:numFmt w:val="bullet"/>
      <w:lvlText w:val="•"/>
      <w:lvlJc w:val="left"/>
      <w:pPr>
        <w:ind w:left="3494" w:hanging="244"/>
      </w:pPr>
      <w:rPr>
        <w:rFonts w:hint="default"/>
      </w:rPr>
    </w:lvl>
    <w:lvl w:ilvl="5">
      <w:start w:val="0"/>
      <w:numFmt w:val="bullet"/>
      <w:lvlText w:val="•"/>
      <w:lvlJc w:val="left"/>
      <w:pPr>
        <w:ind w:left="4278" w:hanging="244"/>
      </w:pPr>
      <w:rPr>
        <w:rFonts w:hint="default"/>
      </w:rPr>
    </w:lvl>
    <w:lvl w:ilvl="6">
      <w:start w:val="0"/>
      <w:numFmt w:val="bullet"/>
      <w:lvlText w:val="•"/>
      <w:lvlJc w:val="left"/>
      <w:pPr>
        <w:ind w:left="5061" w:hanging="244"/>
      </w:pPr>
      <w:rPr>
        <w:rFonts w:hint="default"/>
      </w:rPr>
    </w:lvl>
    <w:lvl w:ilvl="7">
      <w:start w:val="0"/>
      <w:numFmt w:val="bullet"/>
      <w:lvlText w:val="•"/>
      <w:lvlJc w:val="left"/>
      <w:pPr>
        <w:ind w:left="5845" w:hanging="244"/>
      </w:pPr>
      <w:rPr>
        <w:rFonts w:hint="default"/>
      </w:rPr>
    </w:lvl>
    <w:lvl w:ilvl="8">
      <w:start w:val="0"/>
      <w:numFmt w:val="bullet"/>
      <w:lvlText w:val="•"/>
      <w:lvlJc w:val="left"/>
      <w:pPr>
        <w:ind w:left="6628" w:hanging="244"/>
      </w:pPr>
      <w:rPr>
        <w:rFonts w:hint="default"/>
      </w:rPr>
    </w:lvl>
  </w:abstractNum>
  <w:abstractNum w:abstractNumId="152">
    <w:multiLevelType w:val="hybridMultilevel"/>
    <w:lvl w:ilvl="0">
      <w:start w:val="0"/>
      <w:numFmt w:val="bullet"/>
      <w:lvlText w:val=""/>
      <w:lvlJc w:val="left"/>
      <w:pPr>
        <w:ind w:left="355" w:hanging="244"/>
      </w:pPr>
      <w:rPr>
        <w:rFonts w:hint="default" w:ascii="Wingdings" w:hAnsi="Wingdings" w:eastAsia="Wingdings" w:cs="Wingdings"/>
        <w:w w:val="100"/>
        <w:sz w:val="20"/>
        <w:szCs w:val="20"/>
      </w:rPr>
    </w:lvl>
    <w:lvl w:ilvl="1">
      <w:start w:val="0"/>
      <w:numFmt w:val="bullet"/>
      <w:lvlText w:val="•"/>
      <w:lvlJc w:val="left"/>
      <w:pPr>
        <w:ind w:left="1143" w:hanging="244"/>
      </w:pPr>
      <w:rPr>
        <w:rFonts w:hint="default"/>
      </w:rPr>
    </w:lvl>
    <w:lvl w:ilvl="2">
      <w:start w:val="0"/>
      <w:numFmt w:val="bullet"/>
      <w:lvlText w:val="•"/>
      <w:lvlJc w:val="left"/>
      <w:pPr>
        <w:ind w:left="1927" w:hanging="244"/>
      </w:pPr>
      <w:rPr>
        <w:rFonts w:hint="default"/>
      </w:rPr>
    </w:lvl>
    <w:lvl w:ilvl="3">
      <w:start w:val="0"/>
      <w:numFmt w:val="bullet"/>
      <w:lvlText w:val="•"/>
      <w:lvlJc w:val="left"/>
      <w:pPr>
        <w:ind w:left="2710" w:hanging="244"/>
      </w:pPr>
      <w:rPr>
        <w:rFonts w:hint="default"/>
      </w:rPr>
    </w:lvl>
    <w:lvl w:ilvl="4">
      <w:start w:val="0"/>
      <w:numFmt w:val="bullet"/>
      <w:lvlText w:val="•"/>
      <w:lvlJc w:val="left"/>
      <w:pPr>
        <w:ind w:left="3494" w:hanging="244"/>
      </w:pPr>
      <w:rPr>
        <w:rFonts w:hint="default"/>
      </w:rPr>
    </w:lvl>
    <w:lvl w:ilvl="5">
      <w:start w:val="0"/>
      <w:numFmt w:val="bullet"/>
      <w:lvlText w:val="•"/>
      <w:lvlJc w:val="left"/>
      <w:pPr>
        <w:ind w:left="4278" w:hanging="244"/>
      </w:pPr>
      <w:rPr>
        <w:rFonts w:hint="default"/>
      </w:rPr>
    </w:lvl>
    <w:lvl w:ilvl="6">
      <w:start w:val="0"/>
      <w:numFmt w:val="bullet"/>
      <w:lvlText w:val="•"/>
      <w:lvlJc w:val="left"/>
      <w:pPr>
        <w:ind w:left="5061" w:hanging="244"/>
      </w:pPr>
      <w:rPr>
        <w:rFonts w:hint="default"/>
      </w:rPr>
    </w:lvl>
    <w:lvl w:ilvl="7">
      <w:start w:val="0"/>
      <w:numFmt w:val="bullet"/>
      <w:lvlText w:val="•"/>
      <w:lvlJc w:val="left"/>
      <w:pPr>
        <w:ind w:left="5845" w:hanging="244"/>
      </w:pPr>
      <w:rPr>
        <w:rFonts w:hint="default"/>
      </w:rPr>
    </w:lvl>
    <w:lvl w:ilvl="8">
      <w:start w:val="0"/>
      <w:numFmt w:val="bullet"/>
      <w:lvlText w:val="•"/>
      <w:lvlJc w:val="left"/>
      <w:pPr>
        <w:ind w:left="6628" w:hanging="244"/>
      </w:pPr>
      <w:rPr>
        <w:rFonts w:hint="default"/>
      </w:rPr>
    </w:lvl>
  </w:abstractNum>
  <w:abstractNum w:abstractNumId="151">
    <w:multiLevelType w:val="hybridMultilevel"/>
    <w:lvl w:ilvl="0">
      <w:start w:val="0"/>
      <w:numFmt w:val="bullet"/>
      <w:lvlText w:val=""/>
      <w:lvlJc w:val="left"/>
      <w:pPr>
        <w:ind w:left="355" w:hanging="244"/>
      </w:pPr>
      <w:rPr>
        <w:rFonts w:hint="default" w:ascii="Wingdings" w:hAnsi="Wingdings" w:eastAsia="Wingdings" w:cs="Wingdings"/>
        <w:w w:val="100"/>
        <w:sz w:val="20"/>
        <w:szCs w:val="20"/>
      </w:rPr>
    </w:lvl>
    <w:lvl w:ilvl="1">
      <w:start w:val="0"/>
      <w:numFmt w:val="bullet"/>
      <w:lvlText w:val="•"/>
      <w:lvlJc w:val="left"/>
      <w:pPr>
        <w:ind w:left="1143" w:hanging="244"/>
      </w:pPr>
      <w:rPr>
        <w:rFonts w:hint="default"/>
      </w:rPr>
    </w:lvl>
    <w:lvl w:ilvl="2">
      <w:start w:val="0"/>
      <w:numFmt w:val="bullet"/>
      <w:lvlText w:val="•"/>
      <w:lvlJc w:val="left"/>
      <w:pPr>
        <w:ind w:left="1927" w:hanging="244"/>
      </w:pPr>
      <w:rPr>
        <w:rFonts w:hint="default"/>
      </w:rPr>
    </w:lvl>
    <w:lvl w:ilvl="3">
      <w:start w:val="0"/>
      <w:numFmt w:val="bullet"/>
      <w:lvlText w:val="•"/>
      <w:lvlJc w:val="left"/>
      <w:pPr>
        <w:ind w:left="2710" w:hanging="244"/>
      </w:pPr>
      <w:rPr>
        <w:rFonts w:hint="default"/>
      </w:rPr>
    </w:lvl>
    <w:lvl w:ilvl="4">
      <w:start w:val="0"/>
      <w:numFmt w:val="bullet"/>
      <w:lvlText w:val="•"/>
      <w:lvlJc w:val="left"/>
      <w:pPr>
        <w:ind w:left="3494" w:hanging="244"/>
      </w:pPr>
      <w:rPr>
        <w:rFonts w:hint="default"/>
      </w:rPr>
    </w:lvl>
    <w:lvl w:ilvl="5">
      <w:start w:val="0"/>
      <w:numFmt w:val="bullet"/>
      <w:lvlText w:val="•"/>
      <w:lvlJc w:val="left"/>
      <w:pPr>
        <w:ind w:left="4278" w:hanging="244"/>
      </w:pPr>
      <w:rPr>
        <w:rFonts w:hint="default"/>
      </w:rPr>
    </w:lvl>
    <w:lvl w:ilvl="6">
      <w:start w:val="0"/>
      <w:numFmt w:val="bullet"/>
      <w:lvlText w:val="•"/>
      <w:lvlJc w:val="left"/>
      <w:pPr>
        <w:ind w:left="5061" w:hanging="244"/>
      </w:pPr>
      <w:rPr>
        <w:rFonts w:hint="default"/>
      </w:rPr>
    </w:lvl>
    <w:lvl w:ilvl="7">
      <w:start w:val="0"/>
      <w:numFmt w:val="bullet"/>
      <w:lvlText w:val="•"/>
      <w:lvlJc w:val="left"/>
      <w:pPr>
        <w:ind w:left="5845" w:hanging="244"/>
      </w:pPr>
      <w:rPr>
        <w:rFonts w:hint="default"/>
      </w:rPr>
    </w:lvl>
    <w:lvl w:ilvl="8">
      <w:start w:val="0"/>
      <w:numFmt w:val="bullet"/>
      <w:lvlText w:val="•"/>
      <w:lvlJc w:val="left"/>
      <w:pPr>
        <w:ind w:left="6628" w:hanging="244"/>
      </w:pPr>
      <w:rPr>
        <w:rFonts w:hint="default"/>
      </w:rPr>
    </w:lvl>
  </w:abstractNum>
  <w:abstractNum w:abstractNumId="150">
    <w:multiLevelType w:val="hybridMultilevel"/>
    <w:lvl w:ilvl="0">
      <w:start w:val="0"/>
      <w:numFmt w:val="bullet"/>
      <w:lvlText w:val=""/>
      <w:lvlJc w:val="left"/>
      <w:pPr>
        <w:ind w:left="355" w:hanging="244"/>
      </w:pPr>
      <w:rPr>
        <w:rFonts w:hint="default" w:ascii="Wingdings" w:hAnsi="Wingdings" w:eastAsia="Wingdings" w:cs="Wingdings"/>
        <w:w w:val="100"/>
        <w:sz w:val="20"/>
        <w:szCs w:val="20"/>
      </w:rPr>
    </w:lvl>
    <w:lvl w:ilvl="1">
      <w:start w:val="0"/>
      <w:numFmt w:val="bullet"/>
      <w:lvlText w:val="•"/>
      <w:lvlJc w:val="left"/>
      <w:pPr>
        <w:ind w:left="1143" w:hanging="244"/>
      </w:pPr>
      <w:rPr>
        <w:rFonts w:hint="default"/>
      </w:rPr>
    </w:lvl>
    <w:lvl w:ilvl="2">
      <w:start w:val="0"/>
      <w:numFmt w:val="bullet"/>
      <w:lvlText w:val="•"/>
      <w:lvlJc w:val="left"/>
      <w:pPr>
        <w:ind w:left="1927" w:hanging="244"/>
      </w:pPr>
      <w:rPr>
        <w:rFonts w:hint="default"/>
      </w:rPr>
    </w:lvl>
    <w:lvl w:ilvl="3">
      <w:start w:val="0"/>
      <w:numFmt w:val="bullet"/>
      <w:lvlText w:val="•"/>
      <w:lvlJc w:val="left"/>
      <w:pPr>
        <w:ind w:left="2710" w:hanging="244"/>
      </w:pPr>
      <w:rPr>
        <w:rFonts w:hint="default"/>
      </w:rPr>
    </w:lvl>
    <w:lvl w:ilvl="4">
      <w:start w:val="0"/>
      <w:numFmt w:val="bullet"/>
      <w:lvlText w:val="•"/>
      <w:lvlJc w:val="left"/>
      <w:pPr>
        <w:ind w:left="3494" w:hanging="244"/>
      </w:pPr>
      <w:rPr>
        <w:rFonts w:hint="default"/>
      </w:rPr>
    </w:lvl>
    <w:lvl w:ilvl="5">
      <w:start w:val="0"/>
      <w:numFmt w:val="bullet"/>
      <w:lvlText w:val="•"/>
      <w:lvlJc w:val="left"/>
      <w:pPr>
        <w:ind w:left="4278" w:hanging="244"/>
      </w:pPr>
      <w:rPr>
        <w:rFonts w:hint="default"/>
      </w:rPr>
    </w:lvl>
    <w:lvl w:ilvl="6">
      <w:start w:val="0"/>
      <w:numFmt w:val="bullet"/>
      <w:lvlText w:val="•"/>
      <w:lvlJc w:val="left"/>
      <w:pPr>
        <w:ind w:left="5061" w:hanging="244"/>
      </w:pPr>
      <w:rPr>
        <w:rFonts w:hint="default"/>
      </w:rPr>
    </w:lvl>
    <w:lvl w:ilvl="7">
      <w:start w:val="0"/>
      <w:numFmt w:val="bullet"/>
      <w:lvlText w:val="•"/>
      <w:lvlJc w:val="left"/>
      <w:pPr>
        <w:ind w:left="5845" w:hanging="244"/>
      </w:pPr>
      <w:rPr>
        <w:rFonts w:hint="default"/>
      </w:rPr>
    </w:lvl>
    <w:lvl w:ilvl="8">
      <w:start w:val="0"/>
      <w:numFmt w:val="bullet"/>
      <w:lvlText w:val="•"/>
      <w:lvlJc w:val="left"/>
      <w:pPr>
        <w:ind w:left="6628" w:hanging="244"/>
      </w:pPr>
      <w:rPr>
        <w:rFonts w:hint="default"/>
      </w:rPr>
    </w:lvl>
  </w:abstractNum>
  <w:abstractNum w:abstractNumId="149">
    <w:multiLevelType w:val="hybridMultilevel"/>
    <w:lvl w:ilvl="0">
      <w:start w:val="1"/>
      <w:numFmt w:val="decimal"/>
      <w:lvlText w:val="%1."/>
      <w:lvlJc w:val="left"/>
      <w:pPr>
        <w:ind w:left="1850" w:hanging="333"/>
        <w:jc w:val="left"/>
      </w:pPr>
      <w:rPr>
        <w:rFonts w:hint="default" w:ascii="微軟正黑體" w:hAnsi="微軟正黑體" w:eastAsia="微軟正黑體" w:cs="微軟正黑體"/>
        <w:b/>
        <w:bCs/>
        <w:spacing w:val="0"/>
        <w:w w:val="100"/>
        <w:sz w:val="24"/>
        <w:szCs w:val="24"/>
      </w:rPr>
    </w:lvl>
    <w:lvl w:ilvl="1">
      <w:start w:val="0"/>
      <w:numFmt w:val="bullet"/>
      <w:lvlText w:val="•"/>
      <w:lvlJc w:val="left"/>
      <w:pPr>
        <w:ind w:left="2796" w:hanging="333"/>
      </w:pPr>
      <w:rPr>
        <w:rFonts w:hint="default"/>
      </w:rPr>
    </w:lvl>
    <w:lvl w:ilvl="2">
      <w:start w:val="0"/>
      <w:numFmt w:val="bullet"/>
      <w:lvlText w:val="•"/>
      <w:lvlJc w:val="left"/>
      <w:pPr>
        <w:ind w:left="3733" w:hanging="333"/>
      </w:pPr>
      <w:rPr>
        <w:rFonts w:hint="default"/>
      </w:rPr>
    </w:lvl>
    <w:lvl w:ilvl="3">
      <w:start w:val="0"/>
      <w:numFmt w:val="bullet"/>
      <w:lvlText w:val="•"/>
      <w:lvlJc w:val="left"/>
      <w:pPr>
        <w:ind w:left="4670" w:hanging="333"/>
      </w:pPr>
      <w:rPr>
        <w:rFonts w:hint="default"/>
      </w:rPr>
    </w:lvl>
    <w:lvl w:ilvl="4">
      <w:start w:val="0"/>
      <w:numFmt w:val="bullet"/>
      <w:lvlText w:val="•"/>
      <w:lvlJc w:val="left"/>
      <w:pPr>
        <w:ind w:left="5606" w:hanging="333"/>
      </w:pPr>
      <w:rPr>
        <w:rFonts w:hint="default"/>
      </w:rPr>
    </w:lvl>
    <w:lvl w:ilvl="5">
      <w:start w:val="0"/>
      <w:numFmt w:val="bullet"/>
      <w:lvlText w:val="•"/>
      <w:lvlJc w:val="left"/>
      <w:pPr>
        <w:ind w:left="6543" w:hanging="333"/>
      </w:pPr>
      <w:rPr>
        <w:rFonts w:hint="default"/>
      </w:rPr>
    </w:lvl>
    <w:lvl w:ilvl="6">
      <w:start w:val="0"/>
      <w:numFmt w:val="bullet"/>
      <w:lvlText w:val="•"/>
      <w:lvlJc w:val="left"/>
      <w:pPr>
        <w:ind w:left="7480" w:hanging="333"/>
      </w:pPr>
      <w:rPr>
        <w:rFonts w:hint="default"/>
      </w:rPr>
    </w:lvl>
    <w:lvl w:ilvl="7">
      <w:start w:val="0"/>
      <w:numFmt w:val="bullet"/>
      <w:lvlText w:val="•"/>
      <w:lvlJc w:val="left"/>
      <w:pPr>
        <w:ind w:left="8417" w:hanging="333"/>
      </w:pPr>
      <w:rPr>
        <w:rFonts w:hint="default"/>
      </w:rPr>
    </w:lvl>
    <w:lvl w:ilvl="8">
      <w:start w:val="0"/>
      <w:numFmt w:val="bullet"/>
      <w:lvlText w:val="•"/>
      <w:lvlJc w:val="left"/>
      <w:pPr>
        <w:ind w:left="9353" w:hanging="333"/>
      </w:pPr>
      <w:rPr>
        <w:rFonts w:hint="default"/>
      </w:rPr>
    </w:lvl>
  </w:abstractNum>
  <w:abstractNum w:abstractNumId="148">
    <w:multiLevelType w:val="hybridMultilevel"/>
    <w:lvl w:ilvl="0">
      <w:start w:val="1"/>
      <w:numFmt w:val="decimal"/>
      <w:lvlText w:val="%1."/>
      <w:lvlJc w:val="left"/>
      <w:pPr>
        <w:ind w:left="1822" w:hanging="305"/>
        <w:jc w:val="left"/>
      </w:pPr>
      <w:rPr>
        <w:rFonts w:hint="default" w:ascii="微軟正黑體" w:hAnsi="微軟正黑體" w:eastAsia="微軟正黑體" w:cs="微軟正黑體"/>
        <w:spacing w:val="-13"/>
        <w:w w:val="100"/>
        <w:sz w:val="24"/>
        <w:szCs w:val="24"/>
      </w:rPr>
    </w:lvl>
    <w:lvl w:ilvl="1">
      <w:start w:val="0"/>
      <w:numFmt w:val="bullet"/>
      <w:lvlText w:val="•"/>
      <w:lvlJc w:val="left"/>
      <w:pPr>
        <w:ind w:left="2760" w:hanging="305"/>
      </w:pPr>
      <w:rPr>
        <w:rFonts w:hint="default"/>
      </w:rPr>
    </w:lvl>
    <w:lvl w:ilvl="2">
      <w:start w:val="0"/>
      <w:numFmt w:val="bullet"/>
      <w:lvlText w:val="•"/>
      <w:lvlJc w:val="left"/>
      <w:pPr>
        <w:ind w:left="3701" w:hanging="305"/>
      </w:pPr>
      <w:rPr>
        <w:rFonts w:hint="default"/>
      </w:rPr>
    </w:lvl>
    <w:lvl w:ilvl="3">
      <w:start w:val="0"/>
      <w:numFmt w:val="bullet"/>
      <w:lvlText w:val="•"/>
      <w:lvlJc w:val="left"/>
      <w:pPr>
        <w:ind w:left="4642" w:hanging="305"/>
      </w:pPr>
      <w:rPr>
        <w:rFonts w:hint="default"/>
      </w:rPr>
    </w:lvl>
    <w:lvl w:ilvl="4">
      <w:start w:val="0"/>
      <w:numFmt w:val="bullet"/>
      <w:lvlText w:val="•"/>
      <w:lvlJc w:val="left"/>
      <w:pPr>
        <w:ind w:left="5582" w:hanging="305"/>
      </w:pPr>
      <w:rPr>
        <w:rFonts w:hint="default"/>
      </w:rPr>
    </w:lvl>
    <w:lvl w:ilvl="5">
      <w:start w:val="0"/>
      <w:numFmt w:val="bullet"/>
      <w:lvlText w:val="•"/>
      <w:lvlJc w:val="left"/>
      <w:pPr>
        <w:ind w:left="6523" w:hanging="305"/>
      </w:pPr>
      <w:rPr>
        <w:rFonts w:hint="default"/>
      </w:rPr>
    </w:lvl>
    <w:lvl w:ilvl="6">
      <w:start w:val="0"/>
      <w:numFmt w:val="bullet"/>
      <w:lvlText w:val="•"/>
      <w:lvlJc w:val="left"/>
      <w:pPr>
        <w:ind w:left="7464" w:hanging="305"/>
      </w:pPr>
      <w:rPr>
        <w:rFonts w:hint="default"/>
      </w:rPr>
    </w:lvl>
    <w:lvl w:ilvl="7">
      <w:start w:val="0"/>
      <w:numFmt w:val="bullet"/>
      <w:lvlText w:val="•"/>
      <w:lvlJc w:val="left"/>
      <w:pPr>
        <w:ind w:left="8405" w:hanging="305"/>
      </w:pPr>
      <w:rPr>
        <w:rFonts w:hint="default"/>
      </w:rPr>
    </w:lvl>
    <w:lvl w:ilvl="8">
      <w:start w:val="0"/>
      <w:numFmt w:val="bullet"/>
      <w:lvlText w:val="•"/>
      <w:lvlJc w:val="left"/>
      <w:pPr>
        <w:ind w:left="9345" w:hanging="305"/>
      </w:pPr>
      <w:rPr>
        <w:rFonts w:hint="default"/>
      </w:rPr>
    </w:lvl>
  </w:abstractNum>
  <w:abstractNum w:abstractNumId="147">
    <w:multiLevelType w:val="hybridMultilevel"/>
    <w:lvl w:ilvl="0">
      <w:start w:val="1"/>
      <w:numFmt w:val="decimal"/>
      <w:lvlText w:val="%1."/>
      <w:lvlJc w:val="left"/>
      <w:pPr>
        <w:ind w:left="998" w:hanging="372"/>
        <w:jc w:val="left"/>
      </w:pPr>
      <w:rPr>
        <w:rFonts w:hint="default" w:ascii="微軟正黑體" w:hAnsi="微軟正黑體" w:eastAsia="微軟正黑體" w:cs="微軟正黑體"/>
        <w:b/>
        <w:bCs/>
        <w:spacing w:val="-16"/>
        <w:w w:val="100"/>
        <w:sz w:val="24"/>
        <w:szCs w:val="24"/>
      </w:rPr>
    </w:lvl>
    <w:lvl w:ilvl="1">
      <w:start w:val="1"/>
      <w:numFmt w:val="decimal"/>
      <w:lvlText w:val="%1-%2"/>
      <w:lvlJc w:val="left"/>
      <w:pPr>
        <w:ind w:left="1502" w:hanging="480"/>
        <w:jc w:val="left"/>
      </w:pPr>
      <w:rPr>
        <w:rFonts w:hint="default"/>
        <w:b/>
        <w:bCs/>
        <w:spacing w:val="-1"/>
        <w:w w:val="100"/>
      </w:rPr>
    </w:lvl>
    <w:lvl w:ilvl="2">
      <w:start w:val="1"/>
      <w:numFmt w:val="decimal"/>
      <w:lvlText w:val="(%3)"/>
      <w:lvlJc w:val="left"/>
      <w:pPr>
        <w:ind w:left="1839" w:hanging="366"/>
        <w:jc w:val="left"/>
      </w:pPr>
      <w:rPr>
        <w:rFonts w:hint="default" w:ascii="微軟正黑體" w:hAnsi="微軟正黑體" w:eastAsia="微軟正黑體" w:cs="微軟正黑體"/>
        <w:spacing w:val="0"/>
        <w:w w:val="100"/>
        <w:sz w:val="24"/>
        <w:szCs w:val="24"/>
      </w:rPr>
    </w:lvl>
    <w:lvl w:ilvl="3">
      <w:start w:val="0"/>
      <w:numFmt w:val="bullet"/>
      <w:lvlText w:val="•"/>
      <w:lvlJc w:val="left"/>
      <w:pPr>
        <w:ind w:left="3013" w:hanging="366"/>
      </w:pPr>
      <w:rPr>
        <w:rFonts w:hint="default"/>
      </w:rPr>
    </w:lvl>
    <w:lvl w:ilvl="4">
      <w:start w:val="0"/>
      <w:numFmt w:val="bullet"/>
      <w:lvlText w:val="•"/>
      <w:lvlJc w:val="left"/>
      <w:pPr>
        <w:ind w:left="4186" w:hanging="366"/>
      </w:pPr>
      <w:rPr>
        <w:rFonts w:hint="default"/>
      </w:rPr>
    </w:lvl>
    <w:lvl w:ilvl="5">
      <w:start w:val="0"/>
      <w:numFmt w:val="bullet"/>
      <w:lvlText w:val="•"/>
      <w:lvlJc w:val="left"/>
      <w:pPr>
        <w:ind w:left="5360" w:hanging="366"/>
      </w:pPr>
      <w:rPr>
        <w:rFonts w:hint="default"/>
      </w:rPr>
    </w:lvl>
    <w:lvl w:ilvl="6">
      <w:start w:val="0"/>
      <w:numFmt w:val="bullet"/>
      <w:lvlText w:val="•"/>
      <w:lvlJc w:val="left"/>
      <w:pPr>
        <w:ind w:left="6533" w:hanging="366"/>
      </w:pPr>
      <w:rPr>
        <w:rFonts w:hint="default"/>
      </w:rPr>
    </w:lvl>
    <w:lvl w:ilvl="7">
      <w:start w:val="0"/>
      <w:numFmt w:val="bullet"/>
      <w:lvlText w:val="•"/>
      <w:lvlJc w:val="left"/>
      <w:pPr>
        <w:ind w:left="7707" w:hanging="366"/>
      </w:pPr>
      <w:rPr>
        <w:rFonts w:hint="default"/>
      </w:rPr>
    </w:lvl>
    <w:lvl w:ilvl="8">
      <w:start w:val="0"/>
      <w:numFmt w:val="bullet"/>
      <w:lvlText w:val="•"/>
      <w:lvlJc w:val="left"/>
      <w:pPr>
        <w:ind w:left="8880" w:hanging="366"/>
      </w:pPr>
      <w:rPr>
        <w:rFonts w:hint="default"/>
      </w:rPr>
    </w:lvl>
  </w:abstractNum>
  <w:abstractNum w:abstractNumId="146">
    <w:multiLevelType w:val="hybridMultilevel"/>
    <w:lvl w:ilvl="0">
      <w:start w:val="1"/>
      <w:numFmt w:val="decimal"/>
      <w:lvlText w:val="%1."/>
      <w:lvlJc w:val="left"/>
      <w:pPr>
        <w:ind w:left="992" w:hanging="366"/>
        <w:jc w:val="left"/>
      </w:pPr>
      <w:rPr>
        <w:rFonts w:hint="default" w:ascii="微軟正黑體" w:hAnsi="微軟正黑體" w:eastAsia="微軟正黑體" w:cs="微軟正黑體"/>
        <w:b/>
        <w:bCs/>
        <w:spacing w:val="-21"/>
        <w:w w:val="90"/>
        <w:sz w:val="24"/>
        <w:szCs w:val="24"/>
      </w:rPr>
    </w:lvl>
    <w:lvl w:ilvl="1">
      <w:start w:val="1"/>
      <w:numFmt w:val="decimal"/>
      <w:lvlText w:val="%1-%2"/>
      <w:lvlJc w:val="left"/>
      <w:pPr>
        <w:ind w:left="1506" w:hanging="473"/>
        <w:jc w:val="left"/>
      </w:pPr>
      <w:rPr>
        <w:rFonts w:hint="default" w:ascii="微軟正黑體" w:hAnsi="微軟正黑體" w:eastAsia="微軟正黑體" w:cs="微軟正黑體"/>
        <w:b/>
        <w:bCs/>
        <w:spacing w:val="-3"/>
        <w:w w:val="100"/>
        <w:sz w:val="24"/>
        <w:szCs w:val="24"/>
      </w:rPr>
    </w:lvl>
    <w:lvl w:ilvl="2">
      <w:start w:val="1"/>
      <w:numFmt w:val="decimal"/>
      <w:lvlText w:val="(%3)"/>
      <w:lvlJc w:val="left"/>
      <w:pPr>
        <w:ind w:left="1894" w:hanging="366"/>
        <w:jc w:val="left"/>
      </w:pPr>
      <w:rPr>
        <w:rFonts w:hint="default"/>
        <w:spacing w:val="0"/>
        <w:w w:val="100"/>
      </w:rPr>
    </w:lvl>
    <w:lvl w:ilvl="3">
      <w:start w:val="0"/>
      <w:numFmt w:val="bullet"/>
      <w:lvlText w:val="•"/>
      <w:lvlJc w:val="left"/>
      <w:pPr>
        <w:ind w:left="3065" w:hanging="366"/>
      </w:pPr>
      <w:rPr>
        <w:rFonts w:hint="default"/>
      </w:rPr>
    </w:lvl>
    <w:lvl w:ilvl="4">
      <w:start w:val="0"/>
      <w:numFmt w:val="bullet"/>
      <w:lvlText w:val="•"/>
      <w:lvlJc w:val="left"/>
      <w:pPr>
        <w:ind w:left="4231" w:hanging="366"/>
      </w:pPr>
      <w:rPr>
        <w:rFonts w:hint="default"/>
      </w:rPr>
    </w:lvl>
    <w:lvl w:ilvl="5">
      <w:start w:val="0"/>
      <w:numFmt w:val="bullet"/>
      <w:lvlText w:val="•"/>
      <w:lvlJc w:val="left"/>
      <w:pPr>
        <w:ind w:left="5397" w:hanging="366"/>
      </w:pPr>
      <w:rPr>
        <w:rFonts w:hint="default"/>
      </w:rPr>
    </w:lvl>
    <w:lvl w:ilvl="6">
      <w:start w:val="0"/>
      <w:numFmt w:val="bullet"/>
      <w:lvlText w:val="•"/>
      <w:lvlJc w:val="left"/>
      <w:pPr>
        <w:ind w:left="6563" w:hanging="366"/>
      </w:pPr>
      <w:rPr>
        <w:rFonts w:hint="default"/>
      </w:rPr>
    </w:lvl>
    <w:lvl w:ilvl="7">
      <w:start w:val="0"/>
      <w:numFmt w:val="bullet"/>
      <w:lvlText w:val="•"/>
      <w:lvlJc w:val="left"/>
      <w:pPr>
        <w:ind w:left="7729" w:hanging="366"/>
      </w:pPr>
      <w:rPr>
        <w:rFonts w:hint="default"/>
      </w:rPr>
    </w:lvl>
    <w:lvl w:ilvl="8">
      <w:start w:val="0"/>
      <w:numFmt w:val="bullet"/>
      <w:lvlText w:val="•"/>
      <w:lvlJc w:val="left"/>
      <w:pPr>
        <w:ind w:left="8895" w:hanging="366"/>
      </w:pPr>
      <w:rPr>
        <w:rFonts w:hint="default"/>
      </w:rPr>
    </w:lvl>
  </w:abstractNum>
  <w:abstractNum w:abstractNumId="145">
    <w:multiLevelType w:val="hybridMultilevel"/>
    <w:lvl w:ilvl="0">
      <w:start w:val="1"/>
      <w:numFmt w:val="decimal"/>
      <w:lvlText w:val="%1."/>
      <w:lvlJc w:val="left"/>
      <w:pPr>
        <w:ind w:left="964" w:hanging="340"/>
        <w:jc w:val="left"/>
      </w:pPr>
      <w:rPr>
        <w:rFonts w:hint="default" w:ascii="微軟正黑體" w:hAnsi="微軟正黑體" w:eastAsia="微軟正黑體" w:cs="微軟正黑體"/>
        <w:spacing w:val="0"/>
        <w:w w:val="100"/>
        <w:sz w:val="24"/>
        <w:szCs w:val="24"/>
      </w:rPr>
    </w:lvl>
    <w:lvl w:ilvl="1">
      <w:start w:val="0"/>
      <w:numFmt w:val="bullet"/>
      <w:lvlText w:val="•"/>
      <w:lvlJc w:val="left"/>
      <w:pPr>
        <w:ind w:left="1986" w:hanging="340"/>
      </w:pPr>
      <w:rPr>
        <w:rFonts w:hint="default"/>
      </w:rPr>
    </w:lvl>
    <w:lvl w:ilvl="2">
      <w:start w:val="0"/>
      <w:numFmt w:val="bullet"/>
      <w:lvlText w:val="•"/>
      <w:lvlJc w:val="left"/>
      <w:pPr>
        <w:ind w:left="3013" w:hanging="340"/>
      </w:pPr>
      <w:rPr>
        <w:rFonts w:hint="default"/>
      </w:rPr>
    </w:lvl>
    <w:lvl w:ilvl="3">
      <w:start w:val="0"/>
      <w:numFmt w:val="bullet"/>
      <w:lvlText w:val="•"/>
      <w:lvlJc w:val="left"/>
      <w:pPr>
        <w:ind w:left="4040" w:hanging="340"/>
      </w:pPr>
      <w:rPr>
        <w:rFonts w:hint="default"/>
      </w:rPr>
    </w:lvl>
    <w:lvl w:ilvl="4">
      <w:start w:val="0"/>
      <w:numFmt w:val="bullet"/>
      <w:lvlText w:val="•"/>
      <w:lvlJc w:val="left"/>
      <w:pPr>
        <w:ind w:left="5066" w:hanging="340"/>
      </w:pPr>
      <w:rPr>
        <w:rFonts w:hint="default"/>
      </w:rPr>
    </w:lvl>
    <w:lvl w:ilvl="5">
      <w:start w:val="0"/>
      <w:numFmt w:val="bullet"/>
      <w:lvlText w:val="•"/>
      <w:lvlJc w:val="left"/>
      <w:pPr>
        <w:ind w:left="6093" w:hanging="340"/>
      </w:pPr>
      <w:rPr>
        <w:rFonts w:hint="default"/>
      </w:rPr>
    </w:lvl>
    <w:lvl w:ilvl="6">
      <w:start w:val="0"/>
      <w:numFmt w:val="bullet"/>
      <w:lvlText w:val="•"/>
      <w:lvlJc w:val="left"/>
      <w:pPr>
        <w:ind w:left="7120" w:hanging="340"/>
      </w:pPr>
      <w:rPr>
        <w:rFonts w:hint="default"/>
      </w:rPr>
    </w:lvl>
    <w:lvl w:ilvl="7">
      <w:start w:val="0"/>
      <w:numFmt w:val="bullet"/>
      <w:lvlText w:val="•"/>
      <w:lvlJc w:val="left"/>
      <w:pPr>
        <w:ind w:left="8147" w:hanging="340"/>
      </w:pPr>
      <w:rPr>
        <w:rFonts w:hint="default"/>
      </w:rPr>
    </w:lvl>
    <w:lvl w:ilvl="8">
      <w:start w:val="0"/>
      <w:numFmt w:val="bullet"/>
      <w:lvlText w:val="•"/>
      <w:lvlJc w:val="left"/>
      <w:pPr>
        <w:ind w:left="9173" w:hanging="340"/>
      </w:pPr>
      <w:rPr>
        <w:rFonts w:hint="default"/>
      </w:rPr>
    </w:lvl>
  </w:abstractNum>
  <w:abstractNum w:abstractNumId="144">
    <w:multiLevelType w:val="hybridMultilevel"/>
    <w:lvl w:ilvl="0">
      <w:start w:val="12"/>
      <w:numFmt w:val="decimal"/>
      <w:lvlText w:val="%1"/>
      <w:lvlJc w:val="left"/>
      <w:pPr>
        <w:ind w:left="975" w:hanging="635"/>
        <w:jc w:val="left"/>
      </w:pPr>
      <w:rPr>
        <w:rFonts w:hint="default"/>
      </w:rPr>
    </w:lvl>
    <w:lvl w:ilvl="1">
      <w:start w:val="1"/>
      <w:numFmt w:val="decimal"/>
      <w:lvlText w:val="%1.%2"/>
      <w:lvlJc w:val="left"/>
      <w:pPr>
        <w:ind w:left="975" w:hanging="635"/>
        <w:jc w:val="left"/>
      </w:pPr>
      <w:rPr>
        <w:rFonts w:hint="default"/>
        <w:b/>
        <w:bCs/>
        <w:spacing w:val="0"/>
        <w:w w:val="99"/>
      </w:rPr>
    </w:lvl>
    <w:lvl w:ilvl="2">
      <w:start w:val="1"/>
      <w:numFmt w:val="decimal"/>
      <w:lvlText w:val="%3."/>
      <w:lvlJc w:val="left"/>
      <w:pPr>
        <w:ind w:left="963" w:hanging="348"/>
        <w:jc w:val="left"/>
      </w:pPr>
      <w:rPr>
        <w:rFonts w:hint="default"/>
        <w:b/>
        <w:bCs/>
        <w:spacing w:val="-18"/>
        <w:w w:val="100"/>
      </w:rPr>
    </w:lvl>
    <w:lvl w:ilvl="3">
      <w:start w:val="1"/>
      <w:numFmt w:val="decimal"/>
      <w:lvlText w:val="%3-%4"/>
      <w:lvlJc w:val="left"/>
      <w:pPr>
        <w:ind w:left="1378" w:hanging="348"/>
        <w:jc w:val="left"/>
      </w:pPr>
      <w:rPr>
        <w:rFonts w:hint="default" w:ascii="微軟正黑體" w:hAnsi="微軟正黑體" w:eastAsia="微軟正黑體" w:cs="微軟正黑體"/>
        <w:spacing w:val="-18"/>
        <w:w w:val="100"/>
        <w:sz w:val="24"/>
        <w:szCs w:val="24"/>
      </w:rPr>
    </w:lvl>
    <w:lvl w:ilvl="4">
      <w:start w:val="0"/>
      <w:numFmt w:val="bullet"/>
      <w:lvlText w:val="•"/>
      <w:lvlJc w:val="left"/>
      <w:pPr>
        <w:ind w:left="2786" w:hanging="348"/>
      </w:pPr>
      <w:rPr>
        <w:rFonts w:hint="default"/>
      </w:rPr>
    </w:lvl>
    <w:lvl w:ilvl="5">
      <w:start w:val="0"/>
      <w:numFmt w:val="bullet"/>
      <w:lvlText w:val="•"/>
      <w:lvlJc w:val="left"/>
      <w:pPr>
        <w:ind w:left="4193" w:hanging="348"/>
      </w:pPr>
      <w:rPr>
        <w:rFonts w:hint="default"/>
      </w:rPr>
    </w:lvl>
    <w:lvl w:ilvl="6">
      <w:start w:val="0"/>
      <w:numFmt w:val="bullet"/>
      <w:lvlText w:val="•"/>
      <w:lvlJc w:val="left"/>
      <w:pPr>
        <w:ind w:left="5600" w:hanging="348"/>
      </w:pPr>
      <w:rPr>
        <w:rFonts w:hint="default"/>
      </w:rPr>
    </w:lvl>
    <w:lvl w:ilvl="7">
      <w:start w:val="0"/>
      <w:numFmt w:val="bullet"/>
      <w:lvlText w:val="•"/>
      <w:lvlJc w:val="left"/>
      <w:pPr>
        <w:ind w:left="7006" w:hanging="348"/>
      </w:pPr>
      <w:rPr>
        <w:rFonts w:hint="default"/>
      </w:rPr>
    </w:lvl>
    <w:lvl w:ilvl="8">
      <w:start w:val="0"/>
      <w:numFmt w:val="bullet"/>
      <w:lvlText w:val="•"/>
      <w:lvlJc w:val="left"/>
      <w:pPr>
        <w:ind w:left="8413" w:hanging="348"/>
      </w:pPr>
      <w:rPr>
        <w:rFonts w:hint="default"/>
      </w:rPr>
    </w:lvl>
  </w:abstractNum>
  <w:abstractNum w:abstractNumId="143">
    <w:multiLevelType w:val="hybridMultilevel"/>
    <w:lvl w:ilvl="0">
      <w:start w:val="1"/>
      <w:numFmt w:val="decimal"/>
      <w:lvlText w:val="%1."/>
      <w:lvlJc w:val="left"/>
      <w:pPr>
        <w:ind w:left="1074" w:hanging="404"/>
        <w:jc w:val="left"/>
      </w:pPr>
      <w:rPr>
        <w:rFonts w:hint="default"/>
        <w:spacing w:val="-22"/>
        <w:w w:val="100"/>
      </w:rPr>
    </w:lvl>
    <w:lvl w:ilvl="1">
      <w:start w:val="0"/>
      <w:numFmt w:val="bullet"/>
      <w:lvlText w:val="•"/>
      <w:lvlJc w:val="left"/>
      <w:pPr>
        <w:ind w:left="2094" w:hanging="404"/>
      </w:pPr>
      <w:rPr>
        <w:rFonts w:hint="default"/>
      </w:rPr>
    </w:lvl>
    <w:lvl w:ilvl="2">
      <w:start w:val="0"/>
      <w:numFmt w:val="bullet"/>
      <w:lvlText w:val="•"/>
      <w:lvlJc w:val="left"/>
      <w:pPr>
        <w:ind w:left="3109" w:hanging="404"/>
      </w:pPr>
      <w:rPr>
        <w:rFonts w:hint="default"/>
      </w:rPr>
    </w:lvl>
    <w:lvl w:ilvl="3">
      <w:start w:val="0"/>
      <w:numFmt w:val="bullet"/>
      <w:lvlText w:val="•"/>
      <w:lvlJc w:val="left"/>
      <w:pPr>
        <w:ind w:left="4124" w:hanging="404"/>
      </w:pPr>
      <w:rPr>
        <w:rFonts w:hint="default"/>
      </w:rPr>
    </w:lvl>
    <w:lvl w:ilvl="4">
      <w:start w:val="0"/>
      <w:numFmt w:val="bullet"/>
      <w:lvlText w:val="•"/>
      <w:lvlJc w:val="left"/>
      <w:pPr>
        <w:ind w:left="5138" w:hanging="404"/>
      </w:pPr>
      <w:rPr>
        <w:rFonts w:hint="default"/>
      </w:rPr>
    </w:lvl>
    <w:lvl w:ilvl="5">
      <w:start w:val="0"/>
      <w:numFmt w:val="bullet"/>
      <w:lvlText w:val="•"/>
      <w:lvlJc w:val="left"/>
      <w:pPr>
        <w:ind w:left="6153" w:hanging="404"/>
      </w:pPr>
      <w:rPr>
        <w:rFonts w:hint="default"/>
      </w:rPr>
    </w:lvl>
    <w:lvl w:ilvl="6">
      <w:start w:val="0"/>
      <w:numFmt w:val="bullet"/>
      <w:lvlText w:val="•"/>
      <w:lvlJc w:val="left"/>
      <w:pPr>
        <w:ind w:left="7168" w:hanging="404"/>
      </w:pPr>
      <w:rPr>
        <w:rFonts w:hint="default"/>
      </w:rPr>
    </w:lvl>
    <w:lvl w:ilvl="7">
      <w:start w:val="0"/>
      <w:numFmt w:val="bullet"/>
      <w:lvlText w:val="•"/>
      <w:lvlJc w:val="left"/>
      <w:pPr>
        <w:ind w:left="8183" w:hanging="404"/>
      </w:pPr>
      <w:rPr>
        <w:rFonts w:hint="default"/>
      </w:rPr>
    </w:lvl>
    <w:lvl w:ilvl="8">
      <w:start w:val="0"/>
      <w:numFmt w:val="bullet"/>
      <w:lvlText w:val="•"/>
      <w:lvlJc w:val="left"/>
      <w:pPr>
        <w:ind w:left="9197" w:hanging="404"/>
      </w:pPr>
      <w:rPr>
        <w:rFonts w:hint="default"/>
      </w:rPr>
    </w:lvl>
  </w:abstractNum>
  <w:abstractNum w:abstractNumId="142">
    <w:multiLevelType w:val="hybridMultilevel"/>
    <w:lvl w:ilvl="0">
      <w:start w:val="3"/>
      <w:numFmt w:val="decimal"/>
      <w:lvlText w:val="%1"/>
      <w:lvlJc w:val="left"/>
      <w:pPr>
        <w:ind w:left="1506" w:hanging="473"/>
        <w:jc w:val="left"/>
      </w:pPr>
      <w:rPr>
        <w:rFonts w:hint="default"/>
      </w:rPr>
    </w:lvl>
    <w:lvl w:ilvl="1">
      <w:start w:val="1"/>
      <w:numFmt w:val="decimal"/>
      <w:lvlText w:val="%1-%2"/>
      <w:lvlJc w:val="left"/>
      <w:pPr>
        <w:ind w:left="1506" w:hanging="473"/>
        <w:jc w:val="left"/>
      </w:pPr>
      <w:rPr>
        <w:rFonts w:hint="default" w:ascii="微軟正黑體" w:hAnsi="微軟正黑體" w:eastAsia="微軟正黑體" w:cs="微軟正黑體"/>
        <w:b/>
        <w:bCs/>
        <w:spacing w:val="-3"/>
        <w:w w:val="100"/>
        <w:sz w:val="24"/>
        <w:szCs w:val="24"/>
      </w:rPr>
    </w:lvl>
    <w:lvl w:ilvl="2">
      <w:start w:val="0"/>
      <w:numFmt w:val="bullet"/>
      <w:lvlText w:val="•"/>
      <w:lvlJc w:val="left"/>
      <w:pPr>
        <w:ind w:left="3445" w:hanging="473"/>
      </w:pPr>
      <w:rPr>
        <w:rFonts w:hint="default"/>
      </w:rPr>
    </w:lvl>
    <w:lvl w:ilvl="3">
      <w:start w:val="0"/>
      <w:numFmt w:val="bullet"/>
      <w:lvlText w:val="•"/>
      <w:lvlJc w:val="left"/>
      <w:pPr>
        <w:ind w:left="4418" w:hanging="473"/>
      </w:pPr>
      <w:rPr>
        <w:rFonts w:hint="default"/>
      </w:rPr>
    </w:lvl>
    <w:lvl w:ilvl="4">
      <w:start w:val="0"/>
      <w:numFmt w:val="bullet"/>
      <w:lvlText w:val="•"/>
      <w:lvlJc w:val="left"/>
      <w:pPr>
        <w:ind w:left="5390" w:hanging="473"/>
      </w:pPr>
      <w:rPr>
        <w:rFonts w:hint="default"/>
      </w:rPr>
    </w:lvl>
    <w:lvl w:ilvl="5">
      <w:start w:val="0"/>
      <w:numFmt w:val="bullet"/>
      <w:lvlText w:val="•"/>
      <w:lvlJc w:val="left"/>
      <w:pPr>
        <w:ind w:left="6363" w:hanging="473"/>
      </w:pPr>
      <w:rPr>
        <w:rFonts w:hint="default"/>
      </w:rPr>
    </w:lvl>
    <w:lvl w:ilvl="6">
      <w:start w:val="0"/>
      <w:numFmt w:val="bullet"/>
      <w:lvlText w:val="•"/>
      <w:lvlJc w:val="left"/>
      <w:pPr>
        <w:ind w:left="7336" w:hanging="473"/>
      </w:pPr>
      <w:rPr>
        <w:rFonts w:hint="default"/>
      </w:rPr>
    </w:lvl>
    <w:lvl w:ilvl="7">
      <w:start w:val="0"/>
      <w:numFmt w:val="bullet"/>
      <w:lvlText w:val="•"/>
      <w:lvlJc w:val="left"/>
      <w:pPr>
        <w:ind w:left="8309" w:hanging="473"/>
      </w:pPr>
      <w:rPr>
        <w:rFonts w:hint="default"/>
      </w:rPr>
    </w:lvl>
    <w:lvl w:ilvl="8">
      <w:start w:val="0"/>
      <w:numFmt w:val="bullet"/>
      <w:lvlText w:val="•"/>
      <w:lvlJc w:val="left"/>
      <w:pPr>
        <w:ind w:left="9281" w:hanging="473"/>
      </w:pPr>
      <w:rPr>
        <w:rFonts w:hint="default"/>
      </w:rPr>
    </w:lvl>
  </w:abstractNum>
  <w:abstractNum w:abstractNumId="141">
    <w:multiLevelType w:val="hybridMultilevel"/>
    <w:lvl w:ilvl="0">
      <w:start w:val="1"/>
      <w:numFmt w:val="decimal"/>
      <w:lvlText w:val="%1."/>
      <w:lvlJc w:val="left"/>
      <w:pPr>
        <w:ind w:left="992" w:hanging="366"/>
        <w:jc w:val="left"/>
      </w:pPr>
      <w:rPr>
        <w:rFonts w:hint="default" w:ascii="微軟正黑體" w:hAnsi="微軟正黑體" w:eastAsia="微軟正黑體" w:cs="微軟正黑體"/>
        <w:b/>
        <w:bCs/>
        <w:spacing w:val="-18"/>
        <w:w w:val="100"/>
        <w:sz w:val="24"/>
        <w:szCs w:val="24"/>
      </w:rPr>
    </w:lvl>
    <w:lvl w:ilvl="1">
      <w:start w:val="1"/>
      <w:numFmt w:val="decimal"/>
      <w:lvlText w:val="%1-%2"/>
      <w:lvlJc w:val="left"/>
      <w:pPr>
        <w:ind w:left="1513" w:hanging="480"/>
        <w:jc w:val="left"/>
      </w:pPr>
      <w:rPr>
        <w:rFonts w:hint="default" w:ascii="微軟正黑體" w:hAnsi="微軟正黑體" w:eastAsia="微軟正黑體" w:cs="微軟正黑體"/>
        <w:b/>
        <w:bCs/>
        <w:spacing w:val="-1"/>
        <w:w w:val="100"/>
        <w:sz w:val="24"/>
        <w:szCs w:val="24"/>
      </w:rPr>
    </w:lvl>
    <w:lvl w:ilvl="2">
      <w:start w:val="0"/>
      <w:numFmt w:val="bullet"/>
      <w:lvlText w:val="•"/>
      <w:lvlJc w:val="left"/>
      <w:pPr>
        <w:ind w:left="2598" w:hanging="480"/>
      </w:pPr>
      <w:rPr>
        <w:rFonts w:hint="default"/>
      </w:rPr>
    </w:lvl>
    <w:lvl w:ilvl="3">
      <w:start w:val="0"/>
      <w:numFmt w:val="bullet"/>
      <w:lvlText w:val="•"/>
      <w:lvlJc w:val="left"/>
      <w:pPr>
        <w:ind w:left="3677" w:hanging="480"/>
      </w:pPr>
      <w:rPr>
        <w:rFonts w:hint="default"/>
      </w:rPr>
    </w:lvl>
    <w:lvl w:ilvl="4">
      <w:start w:val="0"/>
      <w:numFmt w:val="bullet"/>
      <w:lvlText w:val="•"/>
      <w:lvlJc w:val="left"/>
      <w:pPr>
        <w:ind w:left="4755" w:hanging="480"/>
      </w:pPr>
      <w:rPr>
        <w:rFonts w:hint="default"/>
      </w:rPr>
    </w:lvl>
    <w:lvl w:ilvl="5">
      <w:start w:val="0"/>
      <w:numFmt w:val="bullet"/>
      <w:lvlText w:val="•"/>
      <w:lvlJc w:val="left"/>
      <w:pPr>
        <w:ind w:left="5834" w:hanging="480"/>
      </w:pPr>
      <w:rPr>
        <w:rFonts w:hint="default"/>
      </w:rPr>
    </w:lvl>
    <w:lvl w:ilvl="6">
      <w:start w:val="0"/>
      <w:numFmt w:val="bullet"/>
      <w:lvlText w:val="•"/>
      <w:lvlJc w:val="left"/>
      <w:pPr>
        <w:ind w:left="6912" w:hanging="480"/>
      </w:pPr>
      <w:rPr>
        <w:rFonts w:hint="default"/>
      </w:rPr>
    </w:lvl>
    <w:lvl w:ilvl="7">
      <w:start w:val="0"/>
      <w:numFmt w:val="bullet"/>
      <w:lvlText w:val="•"/>
      <w:lvlJc w:val="left"/>
      <w:pPr>
        <w:ind w:left="7991" w:hanging="480"/>
      </w:pPr>
      <w:rPr>
        <w:rFonts w:hint="default"/>
      </w:rPr>
    </w:lvl>
    <w:lvl w:ilvl="8">
      <w:start w:val="0"/>
      <w:numFmt w:val="bullet"/>
      <w:lvlText w:val="•"/>
      <w:lvlJc w:val="left"/>
      <w:pPr>
        <w:ind w:left="9070" w:hanging="480"/>
      </w:pPr>
      <w:rPr>
        <w:rFonts w:hint="default"/>
      </w:rPr>
    </w:lvl>
  </w:abstractNum>
  <w:abstractNum w:abstractNumId="140">
    <w:multiLevelType w:val="hybridMultilevel"/>
    <w:lvl w:ilvl="0">
      <w:start w:val="1"/>
      <w:numFmt w:val="decimal"/>
      <w:lvlText w:val="%1."/>
      <w:lvlJc w:val="left"/>
      <w:pPr>
        <w:ind w:left="1003" w:hanging="366"/>
        <w:jc w:val="left"/>
      </w:pPr>
      <w:rPr>
        <w:rFonts w:hint="default" w:ascii="微軟正黑體" w:hAnsi="微軟正黑體" w:eastAsia="微軟正黑體" w:cs="微軟正黑體"/>
        <w:b/>
        <w:bCs/>
        <w:spacing w:val="-15"/>
        <w:w w:val="100"/>
        <w:sz w:val="24"/>
        <w:szCs w:val="24"/>
      </w:rPr>
    </w:lvl>
    <w:lvl w:ilvl="1">
      <w:start w:val="0"/>
      <w:numFmt w:val="bullet"/>
      <w:lvlText w:val="•"/>
      <w:lvlJc w:val="left"/>
      <w:pPr>
        <w:ind w:left="2022" w:hanging="366"/>
      </w:pPr>
      <w:rPr>
        <w:rFonts w:hint="default"/>
      </w:rPr>
    </w:lvl>
    <w:lvl w:ilvl="2">
      <w:start w:val="0"/>
      <w:numFmt w:val="bullet"/>
      <w:lvlText w:val="•"/>
      <w:lvlJc w:val="left"/>
      <w:pPr>
        <w:ind w:left="3045" w:hanging="366"/>
      </w:pPr>
      <w:rPr>
        <w:rFonts w:hint="default"/>
      </w:rPr>
    </w:lvl>
    <w:lvl w:ilvl="3">
      <w:start w:val="0"/>
      <w:numFmt w:val="bullet"/>
      <w:lvlText w:val="•"/>
      <w:lvlJc w:val="left"/>
      <w:pPr>
        <w:ind w:left="4068" w:hanging="366"/>
      </w:pPr>
      <w:rPr>
        <w:rFonts w:hint="default"/>
      </w:rPr>
    </w:lvl>
    <w:lvl w:ilvl="4">
      <w:start w:val="0"/>
      <w:numFmt w:val="bullet"/>
      <w:lvlText w:val="•"/>
      <w:lvlJc w:val="left"/>
      <w:pPr>
        <w:ind w:left="5090" w:hanging="366"/>
      </w:pPr>
      <w:rPr>
        <w:rFonts w:hint="default"/>
      </w:rPr>
    </w:lvl>
    <w:lvl w:ilvl="5">
      <w:start w:val="0"/>
      <w:numFmt w:val="bullet"/>
      <w:lvlText w:val="•"/>
      <w:lvlJc w:val="left"/>
      <w:pPr>
        <w:ind w:left="6113" w:hanging="366"/>
      </w:pPr>
      <w:rPr>
        <w:rFonts w:hint="default"/>
      </w:rPr>
    </w:lvl>
    <w:lvl w:ilvl="6">
      <w:start w:val="0"/>
      <w:numFmt w:val="bullet"/>
      <w:lvlText w:val="•"/>
      <w:lvlJc w:val="left"/>
      <w:pPr>
        <w:ind w:left="7136" w:hanging="366"/>
      </w:pPr>
      <w:rPr>
        <w:rFonts w:hint="default"/>
      </w:rPr>
    </w:lvl>
    <w:lvl w:ilvl="7">
      <w:start w:val="0"/>
      <w:numFmt w:val="bullet"/>
      <w:lvlText w:val="•"/>
      <w:lvlJc w:val="left"/>
      <w:pPr>
        <w:ind w:left="8159" w:hanging="366"/>
      </w:pPr>
      <w:rPr>
        <w:rFonts w:hint="default"/>
      </w:rPr>
    </w:lvl>
    <w:lvl w:ilvl="8">
      <w:start w:val="0"/>
      <w:numFmt w:val="bullet"/>
      <w:lvlText w:val="•"/>
      <w:lvlJc w:val="left"/>
      <w:pPr>
        <w:ind w:left="9181" w:hanging="366"/>
      </w:pPr>
      <w:rPr>
        <w:rFonts w:hint="default"/>
      </w:rPr>
    </w:lvl>
  </w:abstractNum>
  <w:abstractNum w:abstractNumId="139">
    <w:multiLevelType w:val="hybridMultilevel"/>
    <w:lvl w:ilvl="0">
      <w:start w:val="11"/>
      <w:numFmt w:val="decimal"/>
      <w:lvlText w:val="%1"/>
      <w:lvlJc w:val="left"/>
      <w:pPr>
        <w:ind w:left="975" w:hanging="635"/>
        <w:jc w:val="left"/>
      </w:pPr>
      <w:rPr>
        <w:rFonts w:hint="default"/>
      </w:rPr>
    </w:lvl>
    <w:lvl w:ilvl="1">
      <w:start w:val="1"/>
      <w:numFmt w:val="decimal"/>
      <w:lvlText w:val="%1.%2"/>
      <w:lvlJc w:val="left"/>
      <w:pPr>
        <w:ind w:left="975" w:hanging="635"/>
        <w:jc w:val="left"/>
      </w:pPr>
      <w:rPr>
        <w:rFonts w:hint="default" w:ascii="微軟正黑體" w:hAnsi="微軟正黑體" w:eastAsia="微軟正黑體" w:cs="微軟正黑體"/>
        <w:b/>
        <w:bCs/>
        <w:spacing w:val="0"/>
        <w:w w:val="99"/>
        <w:sz w:val="25"/>
        <w:szCs w:val="25"/>
      </w:rPr>
    </w:lvl>
    <w:lvl w:ilvl="2">
      <w:start w:val="0"/>
      <w:numFmt w:val="bullet"/>
      <w:lvlText w:val="•"/>
      <w:lvlJc w:val="left"/>
      <w:pPr>
        <w:ind w:left="3029" w:hanging="635"/>
      </w:pPr>
      <w:rPr>
        <w:rFonts w:hint="default"/>
      </w:rPr>
    </w:lvl>
    <w:lvl w:ilvl="3">
      <w:start w:val="0"/>
      <w:numFmt w:val="bullet"/>
      <w:lvlText w:val="•"/>
      <w:lvlJc w:val="left"/>
      <w:pPr>
        <w:ind w:left="4054" w:hanging="635"/>
      </w:pPr>
      <w:rPr>
        <w:rFonts w:hint="default"/>
      </w:rPr>
    </w:lvl>
    <w:lvl w:ilvl="4">
      <w:start w:val="0"/>
      <w:numFmt w:val="bullet"/>
      <w:lvlText w:val="•"/>
      <w:lvlJc w:val="left"/>
      <w:pPr>
        <w:ind w:left="5078" w:hanging="635"/>
      </w:pPr>
      <w:rPr>
        <w:rFonts w:hint="default"/>
      </w:rPr>
    </w:lvl>
    <w:lvl w:ilvl="5">
      <w:start w:val="0"/>
      <w:numFmt w:val="bullet"/>
      <w:lvlText w:val="•"/>
      <w:lvlJc w:val="left"/>
      <w:pPr>
        <w:ind w:left="6103" w:hanging="635"/>
      </w:pPr>
      <w:rPr>
        <w:rFonts w:hint="default"/>
      </w:rPr>
    </w:lvl>
    <w:lvl w:ilvl="6">
      <w:start w:val="0"/>
      <w:numFmt w:val="bullet"/>
      <w:lvlText w:val="•"/>
      <w:lvlJc w:val="left"/>
      <w:pPr>
        <w:ind w:left="7128" w:hanging="635"/>
      </w:pPr>
      <w:rPr>
        <w:rFonts w:hint="default"/>
      </w:rPr>
    </w:lvl>
    <w:lvl w:ilvl="7">
      <w:start w:val="0"/>
      <w:numFmt w:val="bullet"/>
      <w:lvlText w:val="•"/>
      <w:lvlJc w:val="left"/>
      <w:pPr>
        <w:ind w:left="8153" w:hanging="635"/>
      </w:pPr>
      <w:rPr>
        <w:rFonts w:hint="default"/>
      </w:rPr>
    </w:lvl>
    <w:lvl w:ilvl="8">
      <w:start w:val="0"/>
      <w:numFmt w:val="bullet"/>
      <w:lvlText w:val="•"/>
      <w:lvlJc w:val="left"/>
      <w:pPr>
        <w:ind w:left="9177" w:hanging="635"/>
      </w:pPr>
      <w:rPr>
        <w:rFonts w:hint="default"/>
      </w:rPr>
    </w:lvl>
  </w:abstractNum>
  <w:abstractNum w:abstractNumId="138">
    <w:multiLevelType w:val="hybridMultilevel"/>
    <w:lvl w:ilvl="0">
      <w:start w:val="1"/>
      <w:numFmt w:val="decimal"/>
      <w:lvlText w:val="%1."/>
      <w:lvlJc w:val="left"/>
      <w:pPr>
        <w:ind w:left="640" w:hanging="300"/>
        <w:jc w:val="left"/>
      </w:pPr>
      <w:rPr>
        <w:rFonts w:hint="default" w:ascii="微軟正黑體" w:hAnsi="微軟正黑體" w:eastAsia="微軟正黑體" w:cs="微軟正黑體"/>
        <w:w w:val="100"/>
        <w:sz w:val="20"/>
        <w:szCs w:val="20"/>
      </w:rPr>
    </w:lvl>
    <w:lvl w:ilvl="1">
      <w:start w:val="0"/>
      <w:numFmt w:val="bullet"/>
      <w:lvlText w:val="•"/>
      <w:lvlJc w:val="left"/>
      <w:pPr>
        <w:ind w:left="1698" w:hanging="300"/>
      </w:pPr>
      <w:rPr>
        <w:rFonts w:hint="default"/>
      </w:rPr>
    </w:lvl>
    <w:lvl w:ilvl="2">
      <w:start w:val="0"/>
      <w:numFmt w:val="bullet"/>
      <w:lvlText w:val="•"/>
      <w:lvlJc w:val="left"/>
      <w:pPr>
        <w:ind w:left="2757" w:hanging="300"/>
      </w:pPr>
      <w:rPr>
        <w:rFonts w:hint="default"/>
      </w:rPr>
    </w:lvl>
    <w:lvl w:ilvl="3">
      <w:start w:val="0"/>
      <w:numFmt w:val="bullet"/>
      <w:lvlText w:val="•"/>
      <w:lvlJc w:val="left"/>
      <w:pPr>
        <w:ind w:left="3816" w:hanging="300"/>
      </w:pPr>
      <w:rPr>
        <w:rFonts w:hint="default"/>
      </w:rPr>
    </w:lvl>
    <w:lvl w:ilvl="4">
      <w:start w:val="0"/>
      <w:numFmt w:val="bullet"/>
      <w:lvlText w:val="•"/>
      <w:lvlJc w:val="left"/>
      <w:pPr>
        <w:ind w:left="4874" w:hanging="300"/>
      </w:pPr>
      <w:rPr>
        <w:rFonts w:hint="default"/>
      </w:rPr>
    </w:lvl>
    <w:lvl w:ilvl="5">
      <w:start w:val="0"/>
      <w:numFmt w:val="bullet"/>
      <w:lvlText w:val="•"/>
      <w:lvlJc w:val="left"/>
      <w:pPr>
        <w:ind w:left="5933" w:hanging="300"/>
      </w:pPr>
      <w:rPr>
        <w:rFonts w:hint="default"/>
      </w:rPr>
    </w:lvl>
    <w:lvl w:ilvl="6">
      <w:start w:val="0"/>
      <w:numFmt w:val="bullet"/>
      <w:lvlText w:val="•"/>
      <w:lvlJc w:val="left"/>
      <w:pPr>
        <w:ind w:left="6992" w:hanging="300"/>
      </w:pPr>
      <w:rPr>
        <w:rFonts w:hint="default"/>
      </w:rPr>
    </w:lvl>
    <w:lvl w:ilvl="7">
      <w:start w:val="0"/>
      <w:numFmt w:val="bullet"/>
      <w:lvlText w:val="•"/>
      <w:lvlJc w:val="left"/>
      <w:pPr>
        <w:ind w:left="8051" w:hanging="300"/>
      </w:pPr>
      <w:rPr>
        <w:rFonts w:hint="default"/>
      </w:rPr>
    </w:lvl>
    <w:lvl w:ilvl="8">
      <w:start w:val="0"/>
      <w:numFmt w:val="bullet"/>
      <w:lvlText w:val="•"/>
      <w:lvlJc w:val="left"/>
      <w:pPr>
        <w:ind w:left="9109" w:hanging="300"/>
      </w:pPr>
      <w:rPr>
        <w:rFonts w:hint="default"/>
      </w:rPr>
    </w:lvl>
  </w:abstractNum>
  <w:abstractNum w:abstractNumId="137">
    <w:multiLevelType w:val="hybridMultilevel"/>
    <w:lvl w:ilvl="0">
      <w:start w:val="1"/>
      <w:numFmt w:val="decimal"/>
      <w:lvlText w:val="%1."/>
      <w:lvlJc w:val="left"/>
      <w:pPr>
        <w:ind w:left="376" w:hanging="273"/>
        <w:jc w:val="left"/>
      </w:pPr>
      <w:rPr>
        <w:rFonts w:hint="default" w:ascii="標楷體" w:hAnsi="標楷體" w:eastAsia="標楷體" w:cs="標楷體"/>
        <w:spacing w:val="0"/>
        <w:w w:val="100"/>
        <w:sz w:val="19"/>
        <w:szCs w:val="19"/>
      </w:rPr>
    </w:lvl>
    <w:lvl w:ilvl="1">
      <w:start w:val="0"/>
      <w:numFmt w:val="bullet"/>
      <w:lvlText w:val="•"/>
      <w:lvlJc w:val="left"/>
      <w:pPr>
        <w:ind w:left="1337" w:hanging="273"/>
      </w:pPr>
      <w:rPr>
        <w:rFonts w:hint="default"/>
      </w:rPr>
    </w:lvl>
    <w:lvl w:ilvl="2">
      <w:start w:val="0"/>
      <w:numFmt w:val="bullet"/>
      <w:lvlText w:val="•"/>
      <w:lvlJc w:val="left"/>
      <w:pPr>
        <w:ind w:left="2294" w:hanging="273"/>
      </w:pPr>
      <w:rPr>
        <w:rFonts w:hint="default"/>
      </w:rPr>
    </w:lvl>
    <w:lvl w:ilvl="3">
      <w:start w:val="0"/>
      <w:numFmt w:val="bullet"/>
      <w:lvlText w:val="•"/>
      <w:lvlJc w:val="left"/>
      <w:pPr>
        <w:ind w:left="3251" w:hanging="273"/>
      </w:pPr>
      <w:rPr>
        <w:rFonts w:hint="default"/>
      </w:rPr>
    </w:lvl>
    <w:lvl w:ilvl="4">
      <w:start w:val="0"/>
      <w:numFmt w:val="bullet"/>
      <w:lvlText w:val="•"/>
      <w:lvlJc w:val="left"/>
      <w:pPr>
        <w:ind w:left="4208" w:hanging="273"/>
      </w:pPr>
      <w:rPr>
        <w:rFonts w:hint="default"/>
      </w:rPr>
    </w:lvl>
    <w:lvl w:ilvl="5">
      <w:start w:val="0"/>
      <w:numFmt w:val="bullet"/>
      <w:lvlText w:val="•"/>
      <w:lvlJc w:val="left"/>
      <w:pPr>
        <w:ind w:left="5166" w:hanging="273"/>
      </w:pPr>
      <w:rPr>
        <w:rFonts w:hint="default"/>
      </w:rPr>
    </w:lvl>
    <w:lvl w:ilvl="6">
      <w:start w:val="0"/>
      <w:numFmt w:val="bullet"/>
      <w:lvlText w:val="•"/>
      <w:lvlJc w:val="left"/>
      <w:pPr>
        <w:ind w:left="6123" w:hanging="273"/>
      </w:pPr>
      <w:rPr>
        <w:rFonts w:hint="default"/>
      </w:rPr>
    </w:lvl>
    <w:lvl w:ilvl="7">
      <w:start w:val="0"/>
      <w:numFmt w:val="bullet"/>
      <w:lvlText w:val="•"/>
      <w:lvlJc w:val="left"/>
      <w:pPr>
        <w:ind w:left="7080" w:hanging="273"/>
      </w:pPr>
      <w:rPr>
        <w:rFonts w:hint="default"/>
      </w:rPr>
    </w:lvl>
    <w:lvl w:ilvl="8">
      <w:start w:val="0"/>
      <w:numFmt w:val="bullet"/>
      <w:lvlText w:val="•"/>
      <w:lvlJc w:val="left"/>
      <w:pPr>
        <w:ind w:left="8037" w:hanging="273"/>
      </w:pPr>
      <w:rPr>
        <w:rFonts w:hint="default"/>
      </w:rPr>
    </w:lvl>
  </w:abstractNum>
  <w:abstractNum w:abstractNumId="136">
    <w:multiLevelType w:val="hybridMultilevel"/>
    <w:lvl w:ilvl="0">
      <w:start w:val="1"/>
      <w:numFmt w:val="decimal"/>
      <w:lvlText w:val="%1."/>
      <w:lvlJc w:val="left"/>
      <w:pPr>
        <w:ind w:left="252" w:hanging="146"/>
        <w:jc w:val="left"/>
      </w:pPr>
      <w:rPr>
        <w:rFonts w:hint="default" w:ascii="Times New Roman" w:hAnsi="Times New Roman" w:eastAsia="Times New Roman" w:cs="Times New Roman"/>
        <w:spacing w:val="0"/>
        <w:w w:val="100"/>
        <w:sz w:val="17"/>
        <w:szCs w:val="17"/>
      </w:rPr>
    </w:lvl>
    <w:lvl w:ilvl="1">
      <w:start w:val="0"/>
      <w:numFmt w:val="bullet"/>
      <w:lvlText w:val="•"/>
      <w:lvlJc w:val="left"/>
      <w:pPr>
        <w:ind w:left="1174" w:hanging="146"/>
      </w:pPr>
      <w:rPr>
        <w:rFonts w:hint="default"/>
      </w:rPr>
    </w:lvl>
    <w:lvl w:ilvl="2">
      <w:start w:val="0"/>
      <w:numFmt w:val="bullet"/>
      <w:lvlText w:val="•"/>
      <w:lvlJc w:val="left"/>
      <w:pPr>
        <w:ind w:left="2089" w:hanging="146"/>
      </w:pPr>
      <w:rPr>
        <w:rFonts w:hint="default"/>
      </w:rPr>
    </w:lvl>
    <w:lvl w:ilvl="3">
      <w:start w:val="0"/>
      <w:numFmt w:val="bullet"/>
      <w:lvlText w:val="•"/>
      <w:lvlJc w:val="left"/>
      <w:pPr>
        <w:ind w:left="3004" w:hanging="146"/>
      </w:pPr>
      <w:rPr>
        <w:rFonts w:hint="default"/>
      </w:rPr>
    </w:lvl>
    <w:lvl w:ilvl="4">
      <w:start w:val="0"/>
      <w:numFmt w:val="bullet"/>
      <w:lvlText w:val="•"/>
      <w:lvlJc w:val="left"/>
      <w:pPr>
        <w:ind w:left="3918" w:hanging="146"/>
      </w:pPr>
      <w:rPr>
        <w:rFonts w:hint="default"/>
      </w:rPr>
    </w:lvl>
    <w:lvl w:ilvl="5">
      <w:start w:val="0"/>
      <w:numFmt w:val="bullet"/>
      <w:lvlText w:val="•"/>
      <w:lvlJc w:val="left"/>
      <w:pPr>
        <w:ind w:left="4833" w:hanging="146"/>
      </w:pPr>
      <w:rPr>
        <w:rFonts w:hint="default"/>
      </w:rPr>
    </w:lvl>
    <w:lvl w:ilvl="6">
      <w:start w:val="0"/>
      <w:numFmt w:val="bullet"/>
      <w:lvlText w:val="•"/>
      <w:lvlJc w:val="left"/>
      <w:pPr>
        <w:ind w:left="5748" w:hanging="146"/>
      </w:pPr>
      <w:rPr>
        <w:rFonts w:hint="default"/>
      </w:rPr>
    </w:lvl>
    <w:lvl w:ilvl="7">
      <w:start w:val="0"/>
      <w:numFmt w:val="bullet"/>
      <w:lvlText w:val="•"/>
      <w:lvlJc w:val="left"/>
      <w:pPr>
        <w:ind w:left="6662" w:hanging="146"/>
      </w:pPr>
      <w:rPr>
        <w:rFonts w:hint="default"/>
      </w:rPr>
    </w:lvl>
    <w:lvl w:ilvl="8">
      <w:start w:val="0"/>
      <w:numFmt w:val="bullet"/>
      <w:lvlText w:val="•"/>
      <w:lvlJc w:val="left"/>
      <w:pPr>
        <w:ind w:left="7577" w:hanging="146"/>
      </w:pPr>
      <w:rPr>
        <w:rFonts w:hint="default"/>
      </w:rPr>
    </w:lvl>
  </w:abstractNum>
  <w:abstractNum w:abstractNumId="135">
    <w:multiLevelType w:val="hybridMultilevel"/>
    <w:lvl w:ilvl="0">
      <w:start w:val="1"/>
      <w:numFmt w:val="decimal"/>
      <w:lvlText w:val="%1."/>
      <w:lvlJc w:val="left"/>
      <w:pPr>
        <w:ind w:left="252" w:hanging="146"/>
        <w:jc w:val="left"/>
      </w:pPr>
      <w:rPr>
        <w:rFonts w:hint="default" w:ascii="Times New Roman" w:hAnsi="Times New Roman" w:eastAsia="Times New Roman" w:cs="Times New Roman"/>
        <w:spacing w:val="0"/>
        <w:w w:val="100"/>
        <w:sz w:val="17"/>
        <w:szCs w:val="17"/>
      </w:rPr>
    </w:lvl>
    <w:lvl w:ilvl="1">
      <w:start w:val="0"/>
      <w:numFmt w:val="bullet"/>
      <w:lvlText w:val="•"/>
      <w:lvlJc w:val="left"/>
      <w:pPr>
        <w:ind w:left="1174" w:hanging="146"/>
      </w:pPr>
      <w:rPr>
        <w:rFonts w:hint="default"/>
      </w:rPr>
    </w:lvl>
    <w:lvl w:ilvl="2">
      <w:start w:val="0"/>
      <w:numFmt w:val="bullet"/>
      <w:lvlText w:val="•"/>
      <w:lvlJc w:val="left"/>
      <w:pPr>
        <w:ind w:left="2089" w:hanging="146"/>
      </w:pPr>
      <w:rPr>
        <w:rFonts w:hint="default"/>
      </w:rPr>
    </w:lvl>
    <w:lvl w:ilvl="3">
      <w:start w:val="0"/>
      <w:numFmt w:val="bullet"/>
      <w:lvlText w:val="•"/>
      <w:lvlJc w:val="left"/>
      <w:pPr>
        <w:ind w:left="3004" w:hanging="146"/>
      </w:pPr>
      <w:rPr>
        <w:rFonts w:hint="default"/>
      </w:rPr>
    </w:lvl>
    <w:lvl w:ilvl="4">
      <w:start w:val="0"/>
      <w:numFmt w:val="bullet"/>
      <w:lvlText w:val="•"/>
      <w:lvlJc w:val="left"/>
      <w:pPr>
        <w:ind w:left="3918" w:hanging="146"/>
      </w:pPr>
      <w:rPr>
        <w:rFonts w:hint="default"/>
      </w:rPr>
    </w:lvl>
    <w:lvl w:ilvl="5">
      <w:start w:val="0"/>
      <w:numFmt w:val="bullet"/>
      <w:lvlText w:val="•"/>
      <w:lvlJc w:val="left"/>
      <w:pPr>
        <w:ind w:left="4833" w:hanging="146"/>
      </w:pPr>
      <w:rPr>
        <w:rFonts w:hint="default"/>
      </w:rPr>
    </w:lvl>
    <w:lvl w:ilvl="6">
      <w:start w:val="0"/>
      <w:numFmt w:val="bullet"/>
      <w:lvlText w:val="•"/>
      <w:lvlJc w:val="left"/>
      <w:pPr>
        <w:ind w:left="5748" w:hanging="146"/>
      </w:pPr>
      <w:rPr>
        <w:rFonts w:hint="default"/>
      </w:rPr>
    </w:lvl>
    <w:lvl w:ilvl="7">
      <w:start w:val="0"/>
      <w:numFmt w:val="bullet"/>
      <w:lvlText w:val="•"/>
      <w:lvlJc w:val="left"/>
      <w:pPr>
        <w:ind w:left="6662" w:hanging="146"/>
      </w:pPr>
      <w:rPr>
        <w:rFonts w:hint="default"/>
      </w:rPr>
    </w:lvl>
    <w:lvl w:ilvl="8">
      <w:start w:val="0"/>
      <w:numFmt w:val="bullet"/>
      <w:lvlText w:val="•"/>
      <w:lvlJc w:val="left"/>
      <w:pPr>
        <w:ind w:left="7577" w:hanging="146"/>
      </w:pPr>
      <w:rPr>
        <w:rFonts w:hint="default"/>
      </w:rPr>
    </w:lvl>
  </w:abstractNum>
  <w:abstractNum w:abstractNumId="134">
    <w:multiLevelType w:val="hybridMultilevel"/>
    <w:lvl w:ilvl="0">
      <w:start w:val="1"/>
      <w:numFmt w:val="decimal"/>
      <w:lvlText w:val="%1."/>
      <w:lvlJc w:val="left"/>
      <w:pPr>
        <w:ind w:left="1050" w:hanging="380"/>
        <w:jc w:val="right"/>
      </w:pPr>
      <w:rPr>
        <w:rFonts w:hint="default"/>
        <w:spacing w:val="-1"/>
        <w:w w:val="100"/>
      </w:rPr>
    </w:lvl>
    <w:lvl w:ilvl="1">
      <w:start w:val="0"/>
      <w:numFmt w:val="bullet"/>
      <w:lvlText w:val="○"/>
      <w:lvlJc w:val="left"/>
      <w:pPr>
        <w:ind w:left="2464" w:hanging="223"/>
      </w:pPr>
      <w:rPr>
        <w:rFonts w:hint="default" w:ascii="標楷體" w:hAnsi="標楷體" w:eastAsia="標楷體" w:cs="標楷體"/>
        <w:b/>
        <w:bCs/>
        <w:spacing w:val="-55"/>
        <w:w w:val="100"/>
        <w:sz w:val="20"/>
        <w:szCs w:val="20"/>
      </w:rPr>
    </w:lvl>
    <w:lvl w:ilvl="2">
      <w:start w:val="0"/>
      <w:numFmt w:val="bullet"/>
      <w:lvlText w:val="•"/>
      <w:lvlJc w:val="left"/>
      <w:pPr>
        <w:ind w:left="3434" w:hanging="223"/>
      </w:pPr>
      <w:rPr>
        <w:rFonts w:hint="default"/>
      </w:rPr>
    </w:lvl>
    <w:lvl w:ilvl="3">
      <w:start w:val="0"/>
      <w:numFmt w:val="bullet"/>
      <w:lvlText w:val="•"/>
      <w:lvlJc w:val="left"/>
      <w:pPr>
        <w:ind w:left="4408" w:hanging="223"/>
      </w:pPr>
      <w:rPr>
        <w:rFonts w:hint="default"/>
      </w:rPr>
    </w:lvl>
    <w:lvl w:ilvl="4">
      <w:start w:val="0"/>
      <w:numFmt w:val="bullet"/>
      <w:lvlText w:val="•"/>
      <w:lvlJc w:val="left"/>
      <w:pPr>
        <w:ind w:left="5382" w:hanging="223"/>
      </w:pPr>
      <w:rPr>
        <w:rFonts w:hint="default"/>
      </w:rPr>
    </w:lvl>
    <w:lvl w:ilvl="5">
      <w:start w:val="0"/>
      <w:numFmt w:val="bullet"/>
      <w:lvlText w:val="•"/>
      <w:lvlJc w:val="left"/>
      <w:pPr>
        <w:ind w:left="6356" w:hanging="223"/>
      </w:pPr>
      <w:rPr>
        <w:rFonts w:hint="default"/>
      </w:rPr>
    </w:lvl>
    <w:lvl w:ilvl="6">
      <w:start w:val="0"/>
      <w:numFmt w:val="bullet"/>
      <w:lvlText w:val="•"/>
      <w:lvlJc w:val="left"/>
      <w:pPr>
        <w:ind w:left="7330" w:hanging="223"/>
      </w:pPr>
      <w:rPr>
        <w:rFonts w:hint="default"/>
      </w:rPr>
    </w:lvl>
    <w:lvl w:ilvl="7">
      <w:start w:val="0"/>
      <w:numFmt w:val="bullet"/>
      <w:lvlText w:val="•"/>
      <w:lvlJc w:val="left"/>
      <w:pPr>
        <w:ind w:left="8304" w:hanging="223"/>
      </w:pPr>
      <w:rPr>
        <w:rFonts w:hint="default"/>
      </w:rPr>
    </w:lvl>
    <w:lvl w:ilvl="8">
      <w:start w:val="0"/>
      <w:numFmt w:val="bullet"/>
      <w:lvlText w:val="•"/>
      <w:lvlJc w:val="left"/>
      <w:pPr>
        <w:ind w:left="9278" w:hanging="223"/>
      </w:pPr>
      <w:rPr>
        <w:rFonts w:hint="default"/>
      </w:rPr>
    </w:lvl>
  </w:abstractNum>
  <w:abstractNum w:abstractNumId="133">
    <w:multiLevelType w:val="hybridMultilevel"/>
    <w:lvl w:ilvl="0">
      <w:start w:val="1"/>
      <w:numFmt w:val="decimal"/>
      <w:lvlText w:val="%1."/>
      <w:lvlJc w:val="left"/>
      <w:pPr>
        <w:ind w:left="1642" w:hanging="285"/>
        <w:jc w:val="left"/>
      </w:pPr>
      <w:rPr>
        <w:rFonts w:hint="default" w:ascii="微軟正黑體" w:hAnsi="微軟正黑體" w:eastAsia="微軟正黑體" w:cs="微軟正黑體"/>
        <w:w w:val="100"/>
        <w:sz w:val="20"/>
        <w:szCs w:val="20"/>
      </w:rPr>
    </w:lvl>
    <w:lvl w:ilvl="1">
      <w:start w:val="0"/>
      <w:numFmt w:val="bullet"/>
      <w:lvlText w:val="•"/>
      <w:lvlJc w:val="left"/>
      <w:pPr>
        <w:ind w:left="3096" w:hanging="285"/>
      </w:pPr>
      <w:rPr>
        <w:rFonts w:hint="default"/>
      </w:rPr>
    </w:lvl>
    <w:lvl w:ilvl="2">
      <w:start w:val="0"/>
      <w:numFmt w:val="bullet"/>
      <w:lvlText w:val="•"/>
      <w:lvlJc w:val="left"/>
      <w:pPr>
        <w:ind w:left="4552" w:hanging="285"/>
      </w:pPr>
      <w:rPr>
        <w:rFonts w:hint="default"/>
      </w:rPr>
    </w:lvl>
    <w:lvl w:ilvl="3">
      <w:start w:val="0"/>
      <w:numFmt w:val="bullet"/>
      <w:lvlText w:val="•"/>
      <w:lvlJc w:val="left"/>
      <w:pPr>
        <w:ind w:left="6008" w:hanging="285"/>
      </w:pPr>
      <w:rPr>
        <w:rFonts w:hint="default"/>
      </w:rPr>
    </w:lvl>
    <w:lvl w:ilvl="4">
      <w:start w:val="0"/>
      <w:numFmt w:val="bullet"/>
      <w:lvlText w:val="•"/>
      <w:lvlJc w:val="left"/>
      <w:pPr>
        <w:ind w:left="7464" w:hanging="285"/>
      </w:pPr>
      <w:rPr>
        <w:rFonts w:hint="default"/>
      </w:rPr>
    </w:lvl>
    <w:lvl w:ilvl="5">
      <w:start w:val="0"/>
      <w:numFmt w:val="bullet"/>
      <w:lvlText w:val="•"/>
      <w:lvlJc w:val="left"/>
      <w:pPr>
        <w:ind w:left="8920" w:hanging="285"/>
      </w:pPr>
      <w:rPr>
        <w:rFonts w:hint="default"/>
      </w:rPr>
    </w:lvl>
    <w:lvl w:ilvl="6">
      <w:start w:val="0"/>
      <w:numFmt w:val="bullet"/>
      <w:lvlText w:val="•"/>
      <w:lvlJc w:val="left"/>
      <w:pPr>
        <w:ind w:left="10376" w:hanging="285"/>
      </w:pPr>
      <w:rPr>
        <w:rFonts w:hint="default"/>
      </w:rPr>
    </w:lvl>
    <w:lvl w:ilvl="7">
      <w:start w:val="0"/>
      <w:numFmt w:val="bullet"/>
      <w:lvlText w:val="•"/>
      <w:lvlJc w:val="left"/>
      <w:pPr>
        <w:ind w:left="11832" w:hanging="285"/>
      </w:pPr>
      <w:rPr>
        <w:rFonts w:hint="default"/>
      </w:rPr>
    </w:lvl>
    <w:lvl w:ilvl="8">
      <w:start w:val="0"/>
      <w:numFmt w:val="bullet"/>
      <w:lvlText w:val="•"/>
      <w:lvlJc w:val="left"/>
      <w:pPr>
        <w:ind w:left="13288" w:hanging="285"/>
      </w:pPr>
      <w:rPr>
        <w:rFonts w:hint="default"/>
      </w:rPr>
    </w:lvl>
  </w:abstractNum>
  <w:abstractNum w:abstractNumId="132">
    <w:multiLevelType w:val="hybridMultilevel"/>
    <w:lvl w:ilvl="0">
      <w:start w:val="1"/>
      <w:numFmt w:val="decimal"/>
      <w:lvlText w:val="%1."/>
      <w:lvlJc w:val="left"/>
      <w:pPr>
        <w:ind w:left="1523" w:hanging="386"/>
        <w:jc w:val="left"/>
      </w:pPr>
      <w:rPr>
        <w:rFonts w:hint="default"/>
        <w:spacing w:val="-3"/>
        <w:w w:val="99"/>
      </w:rPr>
    </w:lvl>
    <w:lvl w:ilvl="1">
      <w:start w:val="0"/>
      <w:numFmt w:val="bullet"/>
      <w:lvlText w:val="◆"/>
      <w:lvlJc w:val="left"/>
      <w:pPr>
        <w:ind w:left="1615" w:hanging="258"/>
      </w:pPr>
      <w:rPr>
        <w:rFonts w:hint="default" w:ascii="標楷體" w:hAnsi="標楷體" w:eastAsia="標楷體" w:cs="標楷體"/>
        <w:w w:val="100"/>
        <w:sz w:val="18"/>
        <w:szCs w:val="18"/>
      </w:rPr>
    </w:lvl>
    <w:lvl w:ilvl="2">
      <w:start w:val="0"/>
      <w:numFmt w:val="bullet"/>
      <w:lvlText w:val="•"/>
      <w:lvlJc w:val="left"/>
      <w:pPr>
        <w:ind w:left="3240" w:hanging="258"/>
      </w:pPr>
      <w:rPr>
        <w:rFonts w:hint="default"/>
      </w:rPr>
    </w:lvl>
    <w:lvl w:ilvl="3">
      <w:start w:val="0"/>
      <w:numFmt w:val="bullet"/>
      <w:lvlText w:val="•"/>
      <w:lvlJc w:val="left"/>
      <w:pPr>
        <w:ind w:left="4860" w:hanging="258"/>
      </w:pPr>
      <w:rPr>
        <w:rFonts w:hint="default"/>
      </w:rPr>
    </w:lvl>
    <w:lvl w:ilvl="4">
      <w:start w:val="0"/>
      <w:numFmt w:val="bullet"/>
      <w:lvlText w:val="•"/>
      <w:lvlJc w:val="left"/>
      <w:pPr>
        <w:ind w:left="6480" w:hanging="258"/>
      </w:pPr>
      <w:rPr>
        <w:rFonts w:hint="default"/>
      </w:rPr>
    </w:lvl>
    <w:lvl w:ilvl="5">
      <w:start w:val="0"/>
      <w:numFmt w:val="bullet"/>
      <w:lvlText w:val="•"/>
      <w:lvlJc w:val="left"/>
      <w:pPr>
        <w:ind w:left="8100" w:hanging="258"/>
      </w:pPr>
      <w:rPr>
        <w:rFonts w:hint="default"/>
      </w:rPr>
    </w:lvl>
    <w:lvl w:ilvl="6">
      <w:start w:val="0"/>
      <w:numFmt w:val="bullet"/>
      <w:lvlText w:val="•"/>
      <w:lvlJc w:val="left"/>
      <w:pPr>
        <w:ind w:left="9720" w:hanging="258"/>
      </w:pPr>
      <w:rPr>
        <w:rFonts w:hint="default"/>
      </w:rPr>
    </w:lvl>
    <w:lvl w:ilvl="7">
      <w:start w:val="0"/>
      <w:numFmt w:val="bullet"/>
      <w:lvlText w:val="•"/>
      <w:lvlJc w:val="left"/>
      <w:pPr>
        <w:ind w:left="11340" w:hanging="258"/>
      </w:pPr>
      <w:rPr>
        <w:rFonts w:hint="default"/>
      </w:rPr>
    </w:lvl>
    <w:lvl w:ilvl="8">
      <w:start w:val="0"/>
      <w:numFmt w:val="bullet"/>
      <w:lvlText w:val="•"/>
      <w:lvlJc w:val="left"/>
      <w:pPr>
        <w:ind w:left="12960" w:hanging="258"/>
      </w:pPr>
      <w:rPr>
        <w:rFonts w:hint="default"/>
      </w:rPr>
    </w:lvl>
  </w:abstractNum>
  <w:abstractNum w:abstractNumId="131">
    <w:multiLevelType w:val="hybridMultilevel"/>
    <w:lvl w:ilvl="0">
      <w:start w:val="1"/>
      <w:numFmt w:val="upperLetter"/>
      <w:lvlText w:val="%1."/>
      <w:lvlJc w:val="left"/>
      <w:pPr>
        <w:ind w:left="589" w:hanging="480"/>
        <w:jc w:val="left"/>
      </w:pPr>
      <w:rPr>
        <w:rFonts w:hint="default" w:ascii="微軟正黑體" w:hAnsi="微軟正黑體" w:eastAsia="微軟正黑體" w:cs="微軟正黑體"/>
        <w:color w:val="C00000"/>
        <w:spacing w:val="-6"/>
        <w:w w:val="100"/>
        <w:sz w:val="24"/>
        <w:szCs w:val="24"/>
      </w:rPr>
    </w:lvl>
    <w:lvl w:ilvl="1">
      <w:start w:val="0"/>
      <w:numFmt w:val="bullet"/>
      <w:lvlText w:val="•"/>
      <w:lvlJc w:val="left"/>
      <w:pPr>
        <w:ind w:left="1065" w:hanging="480"/>
      </w:pPr>
      <w:rPr>
        <w:rFonts w:hint="default"/>
      </w:rPr>
    </w:lvl>
    <w:lvl w:ilvl="2">
      <w:start w:val="0"/>
      <w:numFmt w:val="bullet"/>
      <w:lvlText w:val="•"/>
      <w:lvlJc w:val="left"/>
      <w:pPr>
        <w:ind w:left="1550" w:hanging="480"/>
      </w:pPr>
      <w:rPr>
        <w:rFonts w:hint="default"/>
      </w:rPr>
    </w:lvl>
    <w:lvl w:ilvl="3">
      <w:start w:val="0"/>
      <w:numFmt w:val="bullet"/>
      <w:lvlText w:val="•"/>
      <w:lvlJc w:val="left"/>
      <w:pPr>
        <w:ind w:left="2035" w:hanging="480"/>
      </w:pPr>
      <w:rPr>
        <w:rFonts w:hint="default"/>
      </w:rPr>
    </w:lvl>
    <w:lvl w:ilvl="4">
      <w:start w:val="0"/>
      <w:numFmt w:val="bullet"/>
      <w:lvlText w:val="•"/>
      <w:lvlJc w:val="left"/>
      <w:pPr>
        <w:ind w:left="2520" w:hanging="480"/>
      </w:pPr>
      <w:rPr>
        <w:rFonts w:hint="default"/>
      </w:rPr>
    </w:lvl>
    <w:lvl w:ilvl="5">
      <w:start w:val="0"/>
      <w:numFmt w:val="bullet"/>
      <w:lvlText w:val="•"/>
      <w:lvlJc w:val="left"/>
      <w:pPr>
        <w:ind w:left="3005" w:hanging="480"/>
      </w:pPr>
      <w:rPr>
        <w:rFonts w:hint="default"/>
      </w:rPr>
    </w:lvl>
    <w:lvl w:ilvl="6">
      <w:start w:val="0"/>
      <w:numFmt w:val="bullet"/>
      <w:lvlText w:val="•"/>
      <w:lvlJc w:val="left"/>
      <w:pPr>
        <w:ind w:left="3490" w:hanging="480"/>
      </w:pPr>
      <w:rPr>
        <w:rFonts w:hint="default"/>
      </w:rPr>
    </w:lvl>
    <w:lvl w:ilvl="7">
      <w:start w:val="0"/>
      <w:numFmt w:val="bullet"/>
      <w:lvlText w:val="•"/>
      <w:lvlJc w:val="left"/>
      <w:pPr>
        <w:ind w:left="3975" w:hanging="480"/>
      </w:pPr>
      <w:rPr>
        <w:rFonts w:hint="default"/>
      </w:rPr>
    </w:lvl>
    <w:lvl w:ilvl="8">
      <w:start w:val="0"/>
      <w:numFmt w:val="bullet"/>
      <w:lvlText w:val="•"/>
      <w:lvlJc w:val="left"/>
      <w:pPr>
        <w:ind w:left="4460" w:hanging="480"/>
      </w:pPr>
      <w:rPr>
        <w:rFonts w:hint="default"/>
      </w:rPr>
    </w:lvl>
  </w:abstractNum>
  <w:abstractNum w:abstractNumId="130">
    <w:multiLevelType w:val="hybridMultilevel"/>
    <w:lvl w:ilvl="0">
      <w:start w:val="6"/>
      <w:numFmt w:val="decimal"/>
      <w:lvlText w:val="%1"/>
      <w:lvlJc w:val="left"/>
      <w:pPr>
        <w:ind w:left="1484" w:hanging="414"/>
        <w:jc w:val="left"/>
      </w:pPr>
      <w:rPr>
        <w:rFonts w:hint="default"/>
      </w:rPr>
    </w:lvl>
    <w:lvl w:ilvl="1">
      <w:start w:val="1"/>
      <w:numFmt w:val="decimal"/>
      <w:lvlText w:val="%1-%2"/>
      <w:lvlJc w:val="left"/>
      <w:pPr>
        <w:ind w:left="1484" w:hanging="414"/>
        <w:jc w:val="right"/>
      </w:pPr>
      <w:rPr>
        <w:rFonts w:hint="default" w:ascii="微軟正黑體" w:hAnsi="微軟正黑體" w:eastAsia="微軟正黑體" w:cs="微軟正黑體"/>
        <w:color w:val="C00000"/>
        <w:spacing w:val="-1"/>
        <w:w w:val="100"/>
        <w:sz w:val="24"/>
        <w:szCs w:val="24"/>
      </w:rPr>
    </w:lvl>
    <w:lvl w:ilvl="2">
      <w:start w:val="1"/>
      <w:numFmt w:val="decimal"/>
      <w:lvlText w:val="(%3)"/>
      <w:lvlJc w:val="left"/>
      <w:pPr>
        <w:ind w:left="2419" w:hanging="480"/>
        <w:jc w:val="left"/>
      </w:pPr>
      <w:rPr>
        <w:rFonts w:hint="default" w:ascii="微軟正黑體" w:hAnsi="微軟正黑體" w:eastAsia="微軟正黑體" w:cs="微軟正黑體"/>
        <w:color w:val="C00000"/>
        <w:spacing w:val="0"/>
        <w:w w:val="100"/>
        <w:sz w:val="24"/>
        <w:szCs w:val="24"/>
      </w:rPr>
    </w:lvl>
    <w:lvl w:ilvl="3">
      <w:start w:val="0"/>
      <w:numFmt w:val="bullet"/>
      <w:lvlText w:val="•"/>
      <w:lvlJc w:val="left"/>
      <w:pPr>
        <w:ind w:left="4417" w:hanging="480"/>
      </w:pPr>
      <w:rPr>
        <w:rFonts w:hint="default"/>
      </w:rPr>
    </w:lvl>
    <w:lvl w:ilvl="4">
      <w:start w:val="0"/>
      <w:numFmt w:val="bullet"/>
      <w:lvlText w:val="•"/>
      <w:lvlJc w:val="left"/>
      <w:pPr>
        <w:ind w:left="5415" w:hanging="480"/>
      </w:pPr>
      <w:rPr>
        <w:rFonts w:hint="default"/>
      </w:rPr>
    </w:lvl>
    <w:lvl w:ilvl="5">
      <w:start w:val="0"/>
      <w:numFmt w:val="bullet"/>
      <w:lvlText w:val="•"/>
      <w:lvlJc w:val="left"/>
      <w:pPr>
        <w:ind w:left="6414" w:hanging="480"/>
      </w:pPr>
      <w:rPr>
        <w:rFonts w:hint="default"/>
      </w:rPr>
    </w:lvl>
    <w:lvl w:ilvl="6">
      <w:start w:val="0"/>
      <w:numFmt w:val="bullet"/>
      <w:lvlText w:val="•"/>
      <w:lvlJc w:val="left"/>
      <w:pPr>
        <w:ind w:left="7412" w:hanging="480"/>
      </w:pPr>
      <w:rPr>
        <w:rFonts w:hint="default"/>
      </w:rPr>
    </w:lvl>
    <w:lvl w:ilvl="7">
      <w:start w:val="0"/>
      <w:numFmt w:val="bullet"/>
      <w:lvlText w:val="•"/>
      <w:lvlJc w:val="left"/>
      <w:pPr>
        <w:ind w:left="8411" w:hanging="480"/>
      </w:pPr>
      <w:rPr>
        <w:rFonts w:hint="default"/>
      </w:rPr>
    </w:lvl>
    <w:lvl w:ilvl="8">
      <w:start w:val="0"/>
      <w:numFmt w:val="bullet"/>
      <w:lvlText w:val="•"/>
      <w:lvlJc w:val="left"/>
      <w:pPr>
        <w:ind w:left="9410" w:hanging="480"/>
      </w:pPr>
      <w:rPr>
        <w:rFonts w:hint="default"/>
      </w:rPr>
    </w:lvl>
  </w:abstractNum>
  <w:abstractNum w:abstractNumId="129">
    <w:multiLevelType w:val="hybridMultilevel"/>
    <w:lvl w:ilvl="0">
      <w:start w:val="5"/>
      <w:numFmt w:val="decimal"/>
      <w:lvlText w:val="%1."/>
      <w:lvlJc w:val="left"/>
      <w:pPr>
        <w:ind w:left="1485" w:hanging="305"/>
        <w:jc w:val="left"/>
      </w:pPr>
      <w:rPr>
        <w:rFonts w:hint="default"/>
        <w:b/>
        <w:bCs/>
        <w:spacing w:val="-22"/>
        <w:w w:val="100"/>
      </w:rPr>
    </w:lvl>
    <w:lvl w:ilvl="1">
      <w:start w:val="1"/>
      <w:numFmt w:val="decimal"/>
      <w:lvlText w:val="%1-%2"/>
      <w:lvlJc w:val="left"/>
      <w:pPr>
        <w:ind w:left="1484" w:hanging="414"/>
        <w:jc w:val="left"/>
      </w:pPr>
      <w:rPr>
        <w:rFonts w:hint="default"/>
        <w:spacing w:val="-1"/>
        <w:w w:val="100"/>
      </w:rPr>
    </w:lvl>
    <w:lvl w:ilvl="2">
      <w:start w:val="1"/>
      <w:numFmt w:val="decimal"/>
      <w:lvlText w:val="(%3)"/>
      <w:lvlJc w:val="left"/>
      <w:pPr>
        <w:ind w:left="2402" w:hanging="394"/>
        <w:jc w:val="left"/>
      </w:pPr>
      <w:rPr>
        <w:rFonts w:hint="default" w:ascii="微軟正黑體" w:hAnsi="微軟正黑體" w:eastAsia="微軟正黑體" w:cs="微軟正黑體"/>
        <w:spacing w:val="0"/>
        <w:w w:val="99"/>
        <w:sz w:val="22"/>
        <w:szCs w:val="22"/>
      </w:rPr>
    </w:lvl>
    <w:lvl w:ilvl="3">
      <w:start w:val="0"/>
      <w:numFmt w:val="bullet"/>
      <w:lvlText w:val="•"/>
      <w:lvlJc w:val="left"/>
      <w:pPr>
        <w:ind w:left="3753" w:hanging="394"/>
      </w:pPr>
      <w:rPr>
        <w:rFonts w:hint="default"/>
      </w:rPr>
    </w:lvl>
    <w:lvl w:ilvl="4">
      <w:start w:val="0"/>
      <w:numFmt w:val="bullet"/>
      <w:lvlText w:val="•"/>
      <w:lvlJc w:val="left"/>
      <w:pPr>
        <w:ind w:left="4846" w:hanging="394"/>
      </w:pPr>
      <w:rPr>
        <w:rFonts w:hint="default"/>
      </w:rPr>
    </w:lvl>
    <w:lvl w:ilvl="5">
      <w:start w:val="0"/>
      <w:numFmt w:val="bullet"/>
      <w:lvlText w:val="•"/>
      <w:lvlJc w:val="left"/>
      <w:pPr>
        <w:ind w:left="5940" w:hanging="394"/>
      </w:pPr>
      <w:rPr>
        <w:rFonts w:hint="default"/>
      </w:rPr>
    </w:lvl>
    <w:lvl w:ilvl="6">
      <w:start w:val="0"/>
      <w:numFmt w:val="bullet"/>
      <w:lvlText w:val="•"/>
      <w:lvlJc w:val="left"/>
      <w:pPr>
        <w:ind w:left="7033" w:hanging="394"/>
      </w:pPr>
      <w:rPr>
        <w:rFonts w:hint="default"/>
      </w:rPr>
    </w:lvl>
    <w:lvl w:ilvl="7">
      <w:start w:val="0"/>
      <w:numFmt w:val="bullet"/>
      <w:lvlText w:val="•"/>
      <w:lvlJc w:val="left"/>
      <w:pPr>
        <w:ind w:left="8127" w:hanging="394"/>
      </w:pPr>
      <w:rPr>
        <w:rFonts w:hint="default"/>
      </w:rPr>
    </w:lvl>
    <w:lvl w:ilvl="8">
      <w:start w:val="0"/>
      <w:numFmt w:val="bullet"/>
      <w:lvlText w:val="•"/>
      <w:lvlJc w:val="left"/>
      <w:pPr>
        <w:ind w:left="9220" w:hanging="394"/>
      </w:pPr>
      <w:rPr>
        <w:rFonts w:hint="default"/>
      </w:rPr>
    </w:lvl>
  </w:abstractNum>
  <w:abstractNum w:abstractNumId="128">
    <w:multiLevelType w:val="hybridMultilevel"/>
    <w:lvl w:ilvl="0">
      <w:start w:val="4"/>
      <w:numFmt w:val="decimal"/>
      <w:lvlText w:val="%1"/>
      <w:lvlJc w:val="left"/>
      <w:pPr>
        <w:ind w:left="1988" w:hanging="510"/>
        <w:jc w:val="left"/>
      </w:pPr>
      <w:rPr>
        <w:rFonts w:hint="default"/>
      </w:rPr>
    </w:lvl>
    <w:lvl w:ilvl="1">
      <w:start w:val="1"/>
      <w:numFmt w:val="decimal"/>
      <w:lvlText w:val="%1-%2"/>
      <w:lvlJc w:val="left"/>
      <w:pPr>
        <w:ind w:left="1988" w:hanging="510"/>
        <w:jc w:val="left"/>
      </w:pPr>
      <w:rPr>
        <w:rFonts w:hint="default" w:ascii="微軟正黑體" w:hAnsi="微軟正黑體" w:eastAsia="微軟正黑體" w:cs="微軟正黑體"/>
        <w:spacing w:val="-60"/>
        <w:w w:val="100"/>
        <w:sz w:val="24"/>
        <w:szCs w:val="24"/>
      </w:rPr>
    </w:lvl>
    <w:lvl w:ilvl="2">
      <w:start w:val="0"/>
      <w:numFmt w:val="bullet"/>
      <w:lvlText w:val="•"/>
      <w:lvlJc w:val="left"/>
      <w:pPr>
        <w:ind w:left="3865" w:hanging="510"/>
      </w:pPr>
      <w:rPr>
        <w:rFonts w:hint="default"/>
      </w:rPr>
    </w:lvl>
    <w:lvl w:ilvl="3">
      <w:start w:val="0"/>
      <w:numFmt w:val="bullet"/>
      <w:lvlText w:val="•"/>
      <w:lvlJc w:val="left"/>
      <w:pPr>
        <w:ind w:left="4808" w:hanging="510"/>
      </w:pPr>
      <w:rPr>
        <w:rFonts w:hint="default"/>
      </w:rPr>
    </w:lvl>
    <w:lvl w:ilvl="4">
      <w:start w:val="0"/>
      <w:numFmt w:val="bullet"/>
      <w:lvlText w:val="•"/>
      <w:lvlJc w:val="left"/>
      <w:pPr>
        <w:ind w:left="5750" w:hanging="510"/>
      </w:pPr>
      <w:rPr>
        <w:rFonts w:hint="default"/>
      </w:rPr>
    </w:lvl>
    <w:lvl w:ilvl="5">
      <w:start w:val="0"/>
      <w:numFmt w:val="bullet"/>
      <w:lvlText w:val="•"/>
      <w:lvlJc w:val="left"/>
      <w:pPr>
        <w:ind w:left="6693" w:hanging="510"/>
      </w:pPr>
      <w:rPr>
        <w:rFonts w:hint="default"/>
      </w:rPr>
    </w:lvl>
    <w:lvl w:ilvl="6">
      <w:start w:val="0"/>
      <w:numFmt w:val="bullet"/>
      <w:lvlText w:val="•"/>
      <w:lvlJc w:val="left"/>
      <w:pPr>
        <w:ind w:left="7636" w:hanging="510"/>
      </w:pPr>
      <w:rPr>
        <w:rFonts w:hint="default"/>
      </w:rPr>
    </w:lvl>
    <w:lvl w:ilvl="7">
      <w:start w:val="0"/>
      <w:numFmt w:val="bullet"/>
      <w:lvlText w:val="•"/>
      <w:lvlJc w:val="left"/>
      <w:pPr>
        <w:ind w:left="8579" w:hanging="510"/>
      </w:pPr>
      <w:rPr>
        <w:rFonts w:hint="default"/>
      </w:rPr>
    </w:lvl>
    <w:lvl w:ilvl="8">
      <w:start w:val="0"/>
      <w:numFmt w:val="bullet"/>
      <w:lvlText w:val="•"/>
      <w:lvlJc w:val="left"/>
      <w:pPr>
        <w:ind w:left="9521" w:hanging="510"/>
      </w:pPr>
      <w:rPr>
        <w:rFonts w:hint="default"/>
      </w:rPr>
    </w:lvl>
  </w:abstractNum>
  <w:abstractNum w:abstractNumId="127">
    <w:multiLevelType w:val="hybridMultilevel"/>
    <w:lvl w:ilvl="0">
      <w:start w:val="3"/>
      <w:numFmt w:val="decimal"/>
      <w:lvlText w:val="%1"/>
      <w:lvlJc w:val="left"/>
      <w:pPr>
        <w:ind w:left="1988" w:hanging="510"/>
        <w:jc w:val="left"/>
      </w:pPr>
      <w:rPr>
        <w:rFonts w:hint="default"/>
      </w:rPr>
    </w:lvl>
    <w:lvl w:ilvl="1">
      <w:start w:val="1"/>
      <w:numFmt w:val="decimal"/>
      <w:lvlText w:val="%1-%2"/>
      <w:lvlJc w:val="left"/>
      <w:pPr>
        <w:ind w:left="1988" w:hanging="510"/>
        <w:jc w:val="left"/>
      </w:pPr>
      <w:rPr>
        <w:rFonts w:hint="default"/>
        <w:spacing w:val="-29"/>
        <w:w w:val="100"/>
      </w:rPr>
    </w:lvl>
    <w:lvl w:ilvl="2">
      <w:start w:val="0"/>
      <w:numFmt w:val="bullet"/>
      <w:lvlText w:val="•"/>
      <w:lvlJc w:val="left"/>
      <w:pPr>
        <w:ind w:left="3865" w:hanging="510"/>
      </w:pPr>
      <w:rPr>
        <w:rFonts w:hint="default"/>
      </w:rPr>
    </w:lvl>
    <w:lvl w:ilvl="3">
      <w:start w:val="0"/>
      <w:numFmt w:val="bullet"/>
      <w:lvlText w:val="•"/>
      <w:lvlJc w:val="left"/>
      <w:pPr>
        <w:ind w:left="4808" w:hanging="510"/>
      </w:pPr>
      <w:rPr>
        <w:rFonts w:hint="default"/>
      </w:rPr>
    </w:lvl>
    <w:lvl w:ilvl="4">
      <w:start w:val="0"/>
      <w:numFmt w:val="bullet"/>
      <w:lvlText w:val="•"/>
      <w:lvlJc w:val="left"/>
      <w:pPr>
        <w:ind w:left="5750" w:hanging="510"/>
      </w:pPr>
      <w:rPr>
        <w:rFonts w:hint="default"/>
      </w:rPr>
    </w:lvl>
    <w:lvl w:ilvl="5">
      <w:start w:val="0"/>
      <w:numFmt w:val="bullet"/>
      <w:lvlText w:val="•"/>
      <w:lvlJc w:val="left"/>
      <w:pPr>
        <w:ind w:left="6693" w:hanging="510"/>
      </w:pPr>
      <w:rPr>
        <w:rFonts w:hint="default"/>
      </w:rPr>
    </w:lvl>
    <w:lvl w:ilvl="6">
      <w:start w:val="0"/>
      <w:numFmt w:val="bullet"/>
      <w:lvlText w:val="•"/>
      <w:lvlJc w:val="left"/>
      <w:pPr>
        <w:ind w:left="7636" w:hanging="510"/>
      </w:pPr>
      <w:rPr>
        <w:rFonts w:hint="default"/>
      </w:rPr>
    </w:lvl>
    <w:lvl w:ilvl="7">
      <w:start w:val="0"/>
      <w:numFmt w:val="bullet"/>
      <w:lvlText w:val="•"/>
      <w:lvlJc w:val="left"/>
      <w:pPr>
        <w:ind w:left="8579" w:hanging="510"/>
      </w:pPr>
      <w:rPr>
        <w:rFonts w:hint="default"/>
      </w:rPr>
    </w:lvl>
    <w:lvl w:ilvl="8">
      <w:start w:val="0"/>
      <w:numFmt w:val="bullet"/>
      <w:lvlText w:val="•"/>
      <w:lvlJc w:val="left"/>
      <w:pPr>
        <w:ind w:left="9521" w:hanging="510"/>
      </w:pPr>
      <w:rPr>
        <w:rFonts w:hint="default"/>
      </w:rPr>
    </w:lvl>
  </w:abstractNum>
  <w:abstractNum w:abstractNumId="126">
    <w:multiLevelType w:val="hybridMultilevel"/>
    <w:lvl w:ilvl="0">
      <w:start w:val="2"/>
      <w:numFmt w:val="decimal"/>
      <w:lvlText w:val="%1"/>
      <w:lvlJc w:val="left"/>
      <w:pPr>
        <w:ind w:left="1988" w:hanging="510"/>
        <w:jc w:val="left"/>
      </w:pPr>
      <w:rPr>
        <w:rFonts w:hint="default"/>
      </w:rPr>
    </w:lvl>
    <w:lvl w:ilvl="1">
      <w:start w:val="1"/>
      <w:numFmt w:val="decimal"/>
      <w:lvlText w:val="%1-%2"/>
      <w:lvlJc w:val="left"/>
      <w:pPr>
        <w:ind w:left="1988" w:hanging="510"/>
        <w:jc w:val="left"/>
      </w:pPr>
      <w:rPr>
        <w:rFonts w:hint="default" w:ascii="微軟正黑體" w:hAnsi="微軟正黑體" w:eastAsia="微軟正黑體" w:cs="微軟正黑體"/>
        <w:spacing w:val="0"/>
        <w:w w:val="100"/>
        <w:sz w:val="24"/>
        <w:szCs w:val="24"/>
      </w:rPr>
    </w:lvl>
    <w:lvl w:ilvl="2">
      <w:start w:val="1"/>
      <w:numFmt w:val="decimal"/>
      <w:lvlText w:val="(%3)"/>
      <w:lvlJc w:val="left"/>
      <w:pPr>
        <w:ind w:left="2420" w:hanging="398"/>
        <w:jc w:val="left"/>
      </w:pPr>
      <w:rPr>
        <w:rFonts w:hint="default" w:ascii="微軟正黑體" w:hAnsi="微軟正黑體" w:eastAsia="微軟正黑體" w:cs="微軟正黑體"/>
        <w:spacing w:val="-16"/>
        <w:w w:val="100"/>
        <w:sz w:val="24"/>
        <w:szCs w:val="24"/>
      </w:rPr>
    </w:lvl>
    <w:lvl w:ilvl="3">
      <w:start w:val="0"/>
      <w:numFmt w:val="bullet"/>
      <w:lvlText w:val="•"/>
      <w:lvlJc w:val="left"/>
      <w:pPr>
        <w:ind w:left="4417" w:hanging="398"/>
      </w:pPr>
      <w:rPr>
        <w:rFonts w:hint="default"/>
      </w:rPr>
    </w:lvl>
    <w:lvl w:ilvl="4">
      <w:start w:val="0"/>
      <w:numFmt w:val="bullet"/>
      <w:lvlText w:val="•"/>
      <w:lvlJc w:val="left"/>
      <w:pPr>
        <w:ind w:left="5415" w:hanging="398"/>
      </w:pPr>
      <w:rPr>
        <w:rFonts w:hint="default"/>
      </w:rPr>
    </w:lvl>
    <w:lvl w:ilvl="5">
      <w:start w:val="0"/>
      <w:numFmt w:val="bullet"/>
      <w:lvlText w:val="•"/>
      <w:lvlJc w:val="left"/>
      <w:pPr>
        <w:ind w:left="6414" w:hanging="398"/>
      </w:pPr>
      <w:rPr>
        <w:rFonts w:hint="default"/>
      </w:rPr>
    </w:lvl>
    <w:lvl w:ilvl="6">
      <w:start w:val="0"/>
      <w:numFmt w:val="bullet"/>
      <w:lvlText w:val="•"/>
      <w:lvlJc w:val="left"/>
      <w:pPr>
        <w:ind w:left="7412" w:hanging="398"/>
      </w:pPr>
      <w:rPr>
        <w:rFonts w:hint="default"/>
      </w:rPr>
    </w:lvl>
    <w:lvl w:ilvl="7">
      <w:start w:val="0"/>
      <w:numFmt w:val="bullet"/>
      <w:lvlText w:val="•"/>
      <w:lvlJc w:val="left"/>
      <w:pPr>
        <w:ind w:left="8411" w:hanging="398"/>
      </w:pPr>
      <w:rPr>
        <w:rFonts w:hint="default"/>
      </w:rPr>
    </w:lvl>
    <w:lvl w:ilvl="8">
      <w:start w:val="0"/>
      <w:numFmt w:val="bullet"/>
      <w:lvlText w:val="•"/>
      <w:lvlJc w:val="left"/>
      <w:pPr>
        <w:ind w:left="9410" w:hanging="398"/>
      </w:pPr>
      <w:rPr>
        <w:rFonts w:hint="default"/>
      </w:rPr>
    </w:lvl>
  </w:abstractNum>
  <w:abstractNum w:abstractNumId="125">
    <w:multiLevelType w:val="hybridMultilevel"/>
    <w:lvl w:ilvl="0">
      <w:start w:val="1"/>
      <w:numFmt w:val="decimal"/>
      <w:lvlText w:val="%1."/>
      <w:lvlJc w:val="left"/>
      <w:pPr>
        <w:ind w:left="1480" w:hanging="300"/>
        <w:jc w:val="left"/>
      </w:pPr>
      <w:rPr>
        <w:rFonts w:hint="default" w:ascii="微軟正黑體" w:hAnsi="微軟正黑體" w:eastAsia="微軟正黑體" w:cs="微軟正黑體"/>
        <w:b/>
        <w:bCs/>
        <w:spacing w:val="-24"/>
        <w:w w:val="100"/>
        <w:sz w:val="24"/>
        <w:szCs w:val="24"/>
      </w:rPr>
    </w:lvl>
    <w:lvl w:ilvl="1">
      <w:start w:val="1"/>
      <w:numFmt w:val="decimal"/>
      <w:lvlText w:val="%1-%2"/>
      <w:lvlJc w:val="left"/>
      <w:pPr>
        <w:ind w:left="1944" w:hanging="489"/>
        <w:jc w:val="left"/>
      </w:pPr>
      <w:rPr>
        <w:rFonts w:hint="default" w:ascii="微軟正黑體" w:hAnsi="微軟正黑體" w:eastAsia="微軟正黑體" w:cs="微軟正黑體"/>
        <w:spacing w:val="-18"/>
        <w:w w:val="100"/>
        <w:sz w:val="24"/>
        <w:szCs w:val="24"/>
      </w:rPr>
    </w:lvl>
    <w:lvl w:ilvl="2">
      <w:start w:val="1"/>
      <w:numFmt w:val="decimal"/>
      <w:lvlText w:val="(%3)"/>
      <w:lvlJc w:val="left"/>
      <w:pPr>
        <w:ind w:left="2340" w:hanging="389"/>
        <w:jc w:val="left"/>
      </w:pPr>
      <w:rPr>
        <w:rFonts w:hint="default" w:ascii="微軟正黑體" w:hAnsi="微軟正黑體" w:eastAsia="微軟正黑體" w:cs="微軟正黑體"/>
        <w:spacing w:val="-1"/>
        <w:w w:val="99"/>
        <w:sz w:val="22"/>
        <w:szCs w:val="22"/>
      </w:rPr>
    </w:lvl>
    <w:lvl w:ilvl="3">
      <w:start w:val="1"/>
      <w:numFmt w:val="upperLetter"/>
      <w:lvlText w:val="%4."/>
      <w:lvlJc w:val="left"/>
      <w:pPr>
        <w:ind w:left="2718" w:hanging="360"/>
        <w:jc w:val="left"/>
      </w:pPr>
      <w:rPr>
        <w:rFonts w:hint="default" w:ascii="微軟正黑體" w:hAnsi="微軟正黑體" w:eastAsia="微軟正黑體" w:cs="微軟正黑體"/>
        <w:spacing w:val="-1"/>
        <w:w w:val="100"/>
        <w:sz w:val="24"/>
        <w:szCs w:val="24"/>
      </w:rPr>
    </w:lvl>
    <w:lvl w:ilvl="4">
      <w:start w:val="0"/>
      <w:numFmt w:val="bullet"/>
      <w:lvlText w:val="•"/>
      <w:lvlJc w:val="left"/>
      <w:pPr>
        <w:ind w:left="3961" w:hanging="360"/>
      </w:pPr>
      <w:rPr>
        <w:rFonts w:hint="default"/>
      </w:rPr>
    </w:lvl>
    <w:lvl w:ilvl="5">
      <w:start w:val="0"/>
      <w:numFmt w:val="bullet"/>
      <w:lvlText w:val="•"/>
      <w:lvlJc w:val="left"/>
      <w:pPr>
        <w:ind w:left="5202" w:hanging="360"/>
      </w:pPr>
      <w:rPr>
        <w:rFonts w:hint="default"/>
      </w:rPr>
    </w:lvl>
    <w:lvl w:ilvl="6">
      <w:start w:val="0"/>
      <w:numFmt w:val="bullet"/>
      <w:lvlText w:val="•"/>
      <w:lvlJc w:val="left"/>
      <w:pPr>
        <w:ind w:left="6443" w:hanging="360"/>
      </w:pPr>
      <w:rPr>
        <w:rFonts w:hint="default"/>
      </w:rPr>
    </w:lvl>
    <w:lvl w:ilvl="7">
      <w:start w:val="0"/>
      <w:numFmt w:val="bullet"/>
      <w:lvlText w:val="•"/>
      <w:lvlJc w:val="left"/>
      <w:pPr>
        <w:ind w:left="7684" w:hanging="360"/>
      </w:pPr>
      <w:rPr>
        <w:rFonts w:hint="default"/>
      </w:rPr>
    </w:lvl>
    <w:lvl w:ilvl="8">
      <w:start w:val="0"/>
      <w:numFmt w:val="bullet"/>
      <w:lvlText w:val="•"/>
      <w:lvlJc w:val="left"/>
      <w:pPr>
        <w:ind w:left="8925" w:hanging="360"/>
      </w:pPr>
      <w:rPr>
        <w:rFonts w:hint="default"/>
      </w:rPr>
    </w:lvl>
  </w:abstractNum>
  <w:abstractNum w:abstractNumId="124">
    <w:multiLevelType w:val="hybridMultilevel"/>
    <w:lvl w:ilvl="0">
      <w:start w:val="1"/>
      <w:numFmt w:val="decimal"/>
      <w:lvlText w:val="%1."/>
      <w:lvlJc w:val="left"/>
      <w:pPr>
        <w:ind w:left="1480" w:hanging="300"/>
        <w:jc w:val="left"/>
      </w:pPr>
      <w:rPr>
        <w:rFonts w:hint="default" w:ascii="微軟正黑體" w:hAnsi="微軟正黑體" w:eastAsia="微軟正黑體" w:cs="微軟正黑體"/>
        <w:b/>
        <w:bCs/>
        <w:spacing w:val="-24"/>
        <w:w w:val="100"/>
        <w:sz w:val="24"/>
        <w:szCs w:val="24"/>
      </w:rPr>
    </w:lvl>
    <w:lvl w:ilvl="1">
      <w:start w:val="0"/>
      <w:numFmt w:val="bullet"/>
      <w:lvlText w:val="•"/>
      <w:lvlJc w:val="left"/>
      <w:pPr>
        <w:ind w:left="2472" w:hanging="300"/>
      </w:pPr>
      <w:rPr>
        <w:rFonts w:hint="default"/>
      </w:rPr>
    </w:lvl>
    <w:lvl w:ilvl="2">
      <w:start w:val="0"/>
      <w:numFmt w:val="bullet"/>
      <w:lvlText w:val="•"/>
      <w:lvlJc w:val="left"/>
      <w:pPr>
        <w:ind w:left="3465" w:hanging="300"/>
      </w:pPr>
      <w:rPr>
        <w:rFonts w:hint="default"/>
      </w:rPr>
    </w:lvl>
    <w:lvl w:ilvl="3">
      <w:start w:val="0"/>
      <w:numFmt w:val="bullet"/>
      <w:lvlText w:val="•"/>
      <w:lvlJc w:val="left"/>
      <w:pPr>
        <w:ind w:left="4458" w:hanging="300"/>
      </w:pPr>
      <w:rPr>
        <w:rFonts w:hint="default"/>
      </w:rPr>
    </w:lvl>
    <w:lvl w:ilvl="4">
      <w:start w:val="0"/>
      <w:numFmt w:val="bullet"/>
      <w:lvlText w:val="•"/>
      <w:lvlJc w:val="left"/>
      <w:pPr>
        <w:ind w:left="5450" w:hanging="300"/>
      </w:pPr>
      <w:rPr>
        <w:rFonts w:hint="default"/>
      </w:rPr>
    </w:lvl>
    <w:lvl w:ilvl="5">
      <w:start w:val="0"/>
      <w:numFmt w:val="bullet"/>
      <w:lvlText w:val="•"/>
      <w:lvlJc w:val="left"/>
      <w:pPr>
        <w:ind w:left="6443" w:hanging="300"/>
      </w:pPr>
      <w:rPr>
        <w:rFonts w:hint="default"/>
      </w:rPr>
    </w:lvl>
    <w:lvl w:ilvl="6">
      <w:start w:val="0"/>
      <w:numFmt w:val="bullet"/>
      <w:lvlText w:val="•"/>
      <w:lvlJc w:val="left"/>
      <w:pPr>
        <w:ind w:left="7436" w:hanging="300"/>
      </w:pPr>
      <w:rPr>
        <w:rFonts w:hint="default"/>
      </w:rPr>
    </w:lvl>
    <w:lvl w:ilvl="7">
      <w:start w:val="0"/>
      <w:numFmt w:val="bullet"/>
      <w:lvlText w:val="•"/>
      <w:lvlJc w:val="left"/>
      <w:pPr>
        <w:ind w:left="8429" w:hanging="300"/>
      </w:pPr>
      <w:rPr>
        <w:rFonts w:hint="default"/>
      </w:rPr>
    </w:lvl>
    <w:lvl w:ilvl="8">
      <w:start w:val="0"/>
      <w:numFmt w:val="bullet"/>
      <w:lvlText w:val="•"/>
      <w:lvlJc w:val="left"/>
      <w:pPr>
        <w:ind w:left="9421" w:hanging="300"/>
      </w:pPr>
      <w:rPr>
        <w:rFonts w:hint="default"/>
      </w:rPr>
    </w:lvl>
  </w:abstractNum>
  <w:abstractNum w:abstractNumId="123">
    <w:multiLevelType w:val="hybridMultilevel"/>
    <w:lvl w:ilvl="0">
      <w:start w:val="1"/>
      <w:numFmt w:val="decimal"/>
      <w:lvlText w:val="%1."/>
      <w:lvlJc w:val="left"/>
      <w:pPr>
        <w:ind w:left="1480" w:hanging="300"/>
        <w:jc w:val="left"/>
      </w:pPr>
      <w:rPr>
        <w:rFonts w:hint="default" w:ascii="微軟正黑體" w:hAnsi="微軟正黑體" w:eastAsia="微軟正黑體" w:cs="微軟正黑體"/>
        <w:b/>
        <w:bCs/>
        <w:spacing w:val="-24"/>
        <w:w w:val="100"/>
        <w:sz w:val="24"/>
        <w:szCs w:val="24"/>
      </w:rPr>
    </w:lvl>
    <w:lvl w:ilvl="1">
      <w:start w:val="0"/>
      <w:numFmt w:val="bullet"/>
      <w:lvlText w:val="•"/>
      <w:lvlJc w:val="left"/>
      <w:pPr>
        <w:ind w:left="2472" w:hanging="300"/>
      </w:pPr>
      <w:rPr>
        <w:rFonts w:hint="default"/>
      </w:rPr>
    </w:lvl>
    <w:lvl w:ilvl="2">
      <w:start w:val="0"/>
      <w:numFmt w:val="bullet"/>
      <w:lvlText w:val="•"/>
      <w:lvlJc w:val="left"/>
      <w:pPr>
        <w:ind w:left="3465" w:hanging="300"/>
      </w:pPr>
      <w:rPr>
        <w:rFonts w:hint="default"/>
      </w:rPr>
    </w:lvl>
    <w:lvl w:ilvl="3">
      <w:start w:val="0"/>
      <w:numFmt w:val="bullet"/>
      <w:lvlText w:val="•"/>
      <w:lvlJc w:val="left"/>
      <w:pPr>
        <w:ind w:left="4458" w:hanging="300"/>
      </w:pPr>
      <w:rPr>
        <w:rFonts w:hint="default"/>
      </w:rPr>
    </w:lvl>
    <w:lvl w:ilvl="4">
      <w:start w:val="0"/>
      <w:numFmt w:val="bullet"/>
      <w:lvlText w:val="•"/>
      <w:lvlJc w:val="left"/>
      <w:pPr>
        <w:ind w:left="5450" w:hanging="300"/>
      </w:pPr>
      <w:rPr>
        <w:rFonts w:hint="default"/>
      </w:rPr>
    </w:lvl>
    <w:lvl w:ilvl="5">
      <w:start w:val="0"/>
      <w:numFmt w:val="bullet"/>
      <w:lvlText w:val="•"/>
      <w:lvlJc w:val="left"/>
      <w:pPr>
        <w:ind w:left="6443" w:hanging="300"/>
      </w:pPr>
      <w:rPr>
        <w:rFonts w:hint="default"/>
      </w:rPr>
    </w:lvl>
    <w:lvl w:ilvl="6">
      <w:start w:val="0"/>
      <w:numFmt w:val="bullet"/>
      <w:lvlText w:val="•"/>
      <w:lvlJc w:val="left"/>
      <w:pPr>
        <w:ind w:left="7436" w:hanging="300"/>
      </w:pPr>
      <w:rPr>
        <w:rFonts w:hint="default"/>
      </w:rPr>
    </w:lvl>
    <w:lvl w:ilvl="7">
      <w:start w:val="0"/>
      <w:numFmt w:val="bullet"/>
      <w:lvlText w:val="•"/>
      <w:lvlJc w:val="left"/>
      <w:pPr>
        <w:ind w:left="8429" w:hanging="300"/>
      </w:pPr>
      <w:rPr>
        <w:rFonts w:hint="default"/>
      </w:rPr>
    </w:lvl>
    <w:lvl w:ilvl="8">
      <w:start w:val="0"/>
      <w:numFmt w:val="bullet"/>
      <w:lvlText w:val="•"/>
      <w:lvlJc w:val="left"/>
      <w:pPr>
        <w:ind w:left="9421" w:hanging="300"/>
      </w:pPr>
      <w:rPr>
        <w:rFonts w:hint="default"/>
      </w:rPr>
    </w:lvl>
  </w:abstractNum>
  <w:abstractNum w:abstractNumId="122">
    <w:multiLevelType w:val="hybridMultilevel"/>
    <w:lvl w:ilvl="0">
      <w:start w:val="10"/>
      <w:numFmt w:val="decimal"/>
      <w:lvlText w:val="%1"/>
      <w:lvlJc w:val="left"/>
      <w:pPr>
        <w:ind w:left="1471" w:hanging="840"/>
        <w:jc w:val="left"/>
      </w:pPr>
      <w:rPr>
        <w:rFonts w:hint="default"/>
      </w:rPr>
    </w:lvl>
    <w:lvl w:ilvl="1">
      <w:start w:val="3"/>
      <w:numFmt w:val="decimal"/>
      <w:lvlText w:val="%1.%2"/>
      <w:lvlJc w:val="left"/>
      <w:pPr>
        <w:ind w:left="1471" w:hanging="840"/>
        <w:jc w:val="left"/>
      </w:pPr>
      <w:rPr>
        <w:rFonts w:hint="default"/>
      </w:rPr>
    </w:lvl>
    <w:lvl w:ilvl="2">
      <w:start w:val="3"/>
      <w:numFmt w:val="decimal"/>
      <w:lvlText w:val="%1.%2.%3"/>
      <w:lvlJc w:val="left"/>
      <w:pPr>
        <w:ind w:left="1471" w:hanging="840"/>
        <w:jc w:val="left"/>
      </w:pPr>
      <w:rPr>
        <w:rFonts w:hint="default" w:ascii="微軟正黑體" w:hAnsi="微軟正黑體" w:eastAsia="微軟正黑體" w:cs="微軟正黑體"/>
        <w:b/>
        <w:bCs/>
        <w:spacing w:val="-1"/>
        <w:w w:val="100"/>
        <w:sz w:val="24"/>
        <w:szCs w:val="24"/>
      </w:rPr>
    </w:lvl>
    <w:lvl w:ilvl="3">
      <w:start w:val="0"/>
      <w:numFmt w:val="bullet"/>
      <w:lvlText w:val="•"/>
      <w:lvlJc w:val="left"/>
      <w:pPr>
        <w:ind w:left="4458" w:hanging="840"/>
      </w:pPr>
      <w:rPr>
        <w:rFonts w:hint="default"/>
      </w:rPr>
    </w:lvl>
    <w:lvl w:ilvl="4">
      <w:start w:val="0"/>
      <w:numFmt w:val="bullet"/>
      <w:lvlText w:val="•"/>
      <w:lvlJc w:val="left"/>
      <w:pPr>
        <w:ind w:left="5450" w:hanging="840"/>
      </w:pPr>
      <w:rPr>
        <w:rFonts w:hint="default"/>
      </w:rPr>
    </w:lvl>
    <w:lvl w:ilvl="5">
      <w:start w:val="0"/>
      <w:numFmt w:val="bullet"/>
      <w:lvlText w:val="•"/>
      <w:lvlJc w:val="left"/>
      <w:pPr>
        <w:ind w:left="6443" w:hanging="840"/>
      </w:pPr>
      <w:rPr>
        <w:rFonts w:hint="default"/>
      </w:rPr>
    </w:lvl>
    <w:lvl w:ilvl="6">
      <w:start w:val="0"/>
      <w:numFmt w:val="bullet"/>
      <w:lvlText w:val="•"/>
      <w:lvlJc w:val="left"/>
      <w:pPr>
        <w:ind w:left="7436" w:hanging="840"/>
      </w:pPr>
      <w:rPr>
        <w:rFonts w:hint="default"/>
      </w:rPr>
    </w:lvl>
    <w:lvl w:ilvl="7">
      <w:start w:val="0"/>
      <w:numFmt w:val="bullet"/>
      <w:lvlText w:val="•"/>
      <w:lvlJc w:val="left"/>
      <w:pPr>
        <w:ind w:left="8429" w:hanging="840"/>
      </w:pPr>
      <w:rPr>
        <w:rFonts w:hint="default"/>
      </w:rPr>
    </w:lvl>
    <w:lvl w:ilvl="8">
      <w:start w:val="0"/>
      <w:numFmt w:val="bullet"/>
      <w:lvlText w:val="•"/>
      <w:lvlJc w:val="left"/>
      <w:pPr>
        <w:ind w:left="9421" w:hanging="840"/>
      </w:pPr>
      <w:rPr>
        <w:rFonts w:hint="default"/>
      </w:rPr>
    </w:lvl>
  </w:abstractNum>
  <w:abstractNum w:abstractNumId="121">
    <w:multiLevelType w:val="hybridMultilevel"/>
    <w:lvl w:ilvl="0">
      <w:start w:val="10"/>
      <w:numFmt w:val="decimal"/>
      <w:lvlText w:val="%1"/>
      <w:lvlJc w:val="left"/>
      <w:pPr>
        <w:ind w:left="1155" w:hanging="635"/>
        <w:jc w:val="left"/>
      </w:pPr>
      <w:rPr>
        <w:rFonts w:hint="default"/>
      </w:rPr>
    </w:lvl>
    <w:lvl w:ilvl="1">
      <w:start w:val="1"/>
      <w:numFmt w:val="decimal"/>
      <w:lvlText w:val="%1.%2"/>
      <w:lvlJc w:val="left"/>
      <w:pPr>
        <w:ind w:left="1155" w:hanging="635"/>
        <w:jc w:val="left"/>
      </w:pPr>
      <w:rPr>
        <w:rFonts w:hint="default" w:ascii="微軟正黑體" w:hAnsi="微軟正黑體" w:eastAsia="微軟正黑體" w:cs="微軟正黑體"/>
        <w:b/>
        <w:bCs/>
        <w:spacing w:val="0"/>
        <w:w w:val="99"/>
        <w:sz w:val="25"/>
        <w:szCs w:val="25"/>
      </w:rPr>
    </w:lvl>
    <w:lvl w:ilvl="2">
      <w:start w:val="1"/>
      <w:numFmt w:val="decimal"/>
      <w:lvlText w:val="%1.%2.%3"/>
      <w:lvlJc w:val="left"/>
      <w:pPr>
        <w:ind w:left="1471" w:hanging="840"/>
        <w:jc w:val="left"/>
      </w:pPr>
      <w:rPr>
        <w:rFonts w:hint="default" w:ascii="微軟正黑體" w:hAnsi="微軟正黑體" w:eastAsia="微軟正黑體" w:cs="微軟正黑體"/>
        <w:b/>
        <w:bCs/>
        <w:spacing w:val="-1"/>
        <w:w w:val="100"/>
        <w:sz w:val="24"/>
        <w:szCs w:val="24"/>
      </w:rPr>
    </w:lvl>
    <w:lvl w:ilvl="3">
      <w:start w:val="1"/>
      <w:numFmt w:val="decimal"/>
      <w:lvlText w:val="%4."/>
      <w:lvlJc w:val="left"/>
      <w:pPr>
        <w:ind w:left="1395" w:hanging="215"/>
        <w:jc w:val="left"/>
      </w:pPr>
      <w:rPr>
        <w:rFonts w:hint="default"/>
        <w:spacing w:val="0"/>
        <w:w w:val="100"/>
      </w:rPr>
    </w:lvl>
    <w:lvl w:ilvl="4">
      <w:start w:val="0"/>
      <w:numFmt w:val="bullet"/>
      <w:lvlText w:val="•"/>
      <w:lvlJc w:val="left"/>
      <w:pPr>
        <w:ind w:left="3961" w:hanging="215"/>
      </w:pPr>
      <w:rPr>
        <w:rFonts w:hint="default"/>
      </w:rPr>
    </w:lvl>
    <w:lvl w:ilvl="5">
      <w:start w:val="0"/>
      <w:numFmt w:val="bullet"/>
      <w:lvlText w:val="•"/>
      <w:lvlJc w:val="left"/>
      <w:pPr>
        <w:ind w:left="5202" w:hanging="215"/>
      </w:pPr>
      <w:rPr>
        <w:rFonts w:hint="default"/>
      </w:rPr>
    </w:lvl>
    <w:lvl w:ilvl="6">
      <w:start w:val="0"/>
      <w:numFmt w:val="bullet"/>
      <w:lvlText w:val="•"/>
      <w:lvlJc w:val="left"/>
      <w:pPr>
        <w:ind w:left="6443" w:hanging="215"/>
      </w:pPr>
      <w:rPr>
        <w:rFonts w:hint="default"/>
      </w:rPr>
    </w:lvl>
    <w:lvl w:ilvl="7">
      <w:start w:val="0"/>
      <w:numFmt w:val="bullet"/>
      <w:lvlText w:val="•"/>
      <w:lvlJc w:val="left"/>
      <w:pPr>
        <w:ind w:left="7684" w:hanging="215"/>
      </w:pPr>
      <w:rPr>
        <w:rFonts w:hint="default"/>
      </w:rPr>
    </w:lvl>
    <w:lvl w:ilvl="8">
      <w:start w:val="0"/>
      <w:numFmt w:val="bullet"/>
      <w:lvlText w:val="•"/>
      <w:lvlJc w:val="left"/>
      <w:pPr>
        <w:ind w:left="8925" w:hanging="215"/>
      </w:pPr>
      <w:rPr>
        <w:rFonts w:hint="default"/>
      </w:rPr>
    </w:lvl>
  </w:abstractNum>
  <w:abstractNum w:abstractNumId="120">
    <w:multiLevelType w:val="hybridMultilevel"/>
    <w:lvl w:ilvl="0">
      <w:start w:val="0"/>
      <w:numFmt w:val="bullet"/>
      <w:lvlText w:val=""/>
      <w:lvlJc w:val="left"/>
      <w:pPr>
        <w:ind w:left="284" w:hanging="221"/>
      </w:pPr>
      <w:rPr>
        <w:rFonts w:hint="default" w:ascii="Symbol" w:hAnsi="Symbol" w:eastAsia="Symbol" w:cs="Symbol"/>
        <w:w w:val="99"/>
        <w:sz w:val="28"/>
        <w:szCs w:val="28"/>
      </w:rPr>
    </w:lvl>
    <w:lvl w:ilvl="1">
      <w:start w:val="0"/>
      <w:numFmt w:val="bullet"/>
      <w:lvlText w:val="•"/>
      <w:lvlJc w:val="left"/>
      <w:pPr>
        <w:ind w:left="506" w:hanging="221"/>
      </w:pPr>
      <w:rPr>
        <w:rFonts w:hint="default"/>
      </w:rPr>
    </w:lvl>
    <w:lvl w:ilvl="2">
      <w:start w:val="0"/>
      <w:numFmt w:val="bullet"/>
      <w:lvlText w:val="•"/>
      <w:lvlJc w:val="left"/>
      <w:pPr>
        <w:ind w:left="732" w:hanging="221"/>
      </w:pPr>
      <w:rPr>
        <w:rFonts w:hint="default"/>
      </w:rPr>
    </w:lvl>
    <w:lvl w:ilvl="3">
      <w:start w:val="0"/>
      <w:numFmt w:val="bullet"/>
      <w:lvlText w:val="•"/>
      <w:lvlJc w:val="left"/>
      <w:pPr>
        <w:ind w:left="958" w:hanging="221"/>
      </w:pPr>
      <w:rPr>
        <w:rFonts w:hint="default"/>
      </w:rPr>
    </w:lvl>
    <w:lvl w:ilvl="4">
      <w:start w:val="0"/>
      <w:numFmt w:val="bullet"/>
      <w:lvlText w:val="•"/>
      <w:lvlJc w:val="left"/>
      <w:pPr>
        <w:ind w:left="1184" w:hanging="221"/>
      </w:pPr>
      <w:rPr>
        <w:rFonts w:hint="default"/>
      </w:rPr>
    </w:lvl>
    <w:lvl w:ilvl="5">
      <w:start w:val="0"/>
      <w:numFmt w:val="bullet"/>
      <w:lvlText w:val="•"/>
      <w:lvlJc w:val="left"/>
      <w:pPr>
        <w:ind w:left="1410" w:hanging="221"/>
      </w:pPr>
      <w:rPr>
        <w:rFonts w:hint="default"/>
      </w:rPr>
    </w:lvl>
    <w:lvl w:ilvl="6">
      <w:start w:val="0"/>
      <w:numFmt w:val="bullet"/>
      <w:lvlText w:val="•"/>
      <w:lvlJc w:val="left"/>
      <w:pPr>
        <w:ind w:left="1636" w:hanging="221"/>
      </w:pPr>
      <w:rPr>
        <w:rFonts w:hint="default"/>
      </w:rPr>
    </w:lvl>
    <w:lvl w:ilvl="7">
      <w:start w:val="0"/>
      <w:numFmt w:val="bullet"/>
      <w:lvlText w:val="•"/>
      <w:lvlJc w:val="left"/>
      <w:pPr>
        <w:ind w:left="1862" w:hanging="221"/>
      </w:pPr>
      <w:rPr>
        <w:rFonts w:hint="default"/>
      </w:rPr>
    </w:lvl>
    <w:lvl w:ilvl="8">
      <w:start w:val="0"/>
      <w:numFmt w:val="bullet"/>
      <w:lvlText w:val="•"/>
      <w:lvlJc w:val="left"/>
      <w:pPr>
        <w:ind w:left="2088" w:hanging="221"/>
      </w:pPr>
      <w:rPr>
        <w:rFonts w:hint="default"/>
      </w:rPr>
    </w:lvl>
  </w:abstractNum>
  <w:abstractNum w:abstractNumId="119">
    <w:multiLevelType w:val="hybridMultilevel"/>
    <w:lvl w:ilvl="0">
      <w:start w:val="1"/>
      <w:numFmt w:val="decimal"/>
      <w:lvlText w:val="%1."/>
      <w:lvlJc w:val="left"/>
      <w:pPr>
        <w:ind w:left="1272" w:hanging="440"/>
        <w:jc w:val="left"/>
      </w:pPr>
      <w:rPr>
        <w:rFonts w:hint="default"/>
        <w:spacing w:val="-6"/>
        <w:w w:val="100"/>
      </w:rPr>
    </w:lvl>
    <w:lvl w:ilvl="1">
      <w:start w:val="0"/>
      <w:numFmt w:val="bullet"/>
      <w:lvlText w:val="•"/>
      <w:lvlJc w:val="left"/>
      <w:pPr>
        <w:ind w:left="2292" w:hanging="440"/>
      </w:pPr>
      <w:rPr>
        <w:rFonts w:hint="default"/>
      </w:rPr>
    </w:lvl>
    <w:lvl w:ilvl="2">
      <w:start w:val="0"/>
      <w:numFmt w:val="bullet"/>
      <w:lvlText w:val="•"/>
      <w:lvlJc w:val="left"/>
      <w:pPr>
        <w:ind w:left="3305" w:hanging="440"/>
      </w:pPr>
      <w:rPr>
        <w:rFonts w:hint="default"/>
      </w:rPr>
    </w:lvl>
    <w:lvl w:ilvl="3">
      <w:start w:val="0"/>
      <w:numFmt w:val="bullet"/>
      <w:lvlText w:val="•"/>
      <w:lvlJc w:val="left"/>
      <w:pPr>
        <w:ind w:left="4318" w:hanging="440"/>
      </w:pPr>
      <w:rPr>
        <w:rFonts w:hint="default"/>
      </w:rPr>
    </w:lvl>
    <w:lvl w:ilvl="4">
      <w:start w:val="0"/>
      <w:numFmt w:val="bullet"/>
      <w:lvlText w:val="•"/>
      <w:lvlJc w:val="left"/>
      <w:pPr>
        <w:ind w:left="5330" w:hanging="440"/>
      </w:pPr>
      <w:rPr>
        <w:rFonts w:hint="default"/>
      </w:rPr>
    </w:lvl>
    <w:lvl w:ilvl="5">
      <w:start w:val="0"/>
      <w:numFmt w:val="bullet"/>
      <w:lvlText w:val="•"/>
      <w:lvlJc w:val="left"/>
      <w:pPr>
        <w:ind w:left="6343" w:hanging="440"/>
      </w:pPr>
      <w:rPr>
        <w:rFonts w:hint="default"/>
      </w:rPr>
    </w:lvl>
    <w:lvl w:ilvl="6">
      <w:start w:val="0"/>
      <w:numFmt w:val="bullet"/>
      <w:lvlText w:val="•"/>
      <w:lvlJc w:val="left"/>
      <w:pPr>
        <w:ind w:left="7356" w:hanging="440"/>
      </w:pPr>
      <w:rPr>
        <w:rFonts w:hint="default"/>
      </w:rPr>
    </w:lvl>
    <w:lvl w:ilvl="7">
      <w:start w:val="0"/>
      <w:numFmt w:val="bullet"/>
      <w:lvlText w:val="•"/>
      <w:lvlJc w:val="left"/>
      <w:pPr>
        <w:ind w:left="8369" w:hanging="440"/>
      </w:pPr>
      <w:rPr>
        <w:rFonts w:hint="default"/>
      </w:rPr>
    </w:lvl>
    <w:lvl w:ilvl="8">
      <w:start w:val="0"/>
      <w:numFmt w:val="bullet"/>
      <w:lvlText w:val="•"/>
      <w:lvlJc w:val="left"/>
      <w:pPr>
        <w:ind w:left="9381" w:hanging="440"/>
      </w:pPr>
      <w:rPr>
        <w:rFonts w:hint="default"/>
      </w:rPr>
    </w:lvl>
  </w:abstractNum>
  <w:abstractNum w:abstractNumId="118">
    <w:multiLevelType w:val="hybridMultilevel"/>
    <w:lvl w:ilvl="0">
      <w:start w:val="9"/>
      <w:numFmt w:val="decimal"/>
      <w:lvlText w:val="%1"/>
      <w:lvlJc w:val="left"/>
      <w:pPr>
        <w:ind w:left="1028" w:hanging="508"/>
        <w:jc w:val="left"/>
      </w:pPr>
      <w:rPr>
        <w:rFonts w:hint="default"/>
      </w:rPr>
    </w:lvl>
    <w:lvl w:ilvl="1">
      <w:start w:val="1"/>
      <w:numFmt w:val="decimal"/>
      <w:lvlText w:val="%1.%2"/>
      <w:lvlJc w:val="left"/>
      <w:pPr>
        <w:ind w:left="1028" w:hanging="508"/>
        <w:jc w:val="left"/>
      </w:pPr>
      <w:rPr>
        <w:rFonts w:hint="default" w:ascii="微軟正黑體" w:hAnsi="微軟正黑體" w:eastAsia="微軟正黑體" w:cs="微軟正黑體"/>
        <w:b/>
        <w:bCs/>
        <w:spacing w:val="0"/>
        <w:w w:val="99"/>
        <w:sz w:val="25"/>
        <w:szCs w:val="25"/>
      </w:rPr>
    </w:lvl>
    <w:lvl w:ilvl="2">
      <w:start w:val="1"/>
      <w:numFmt w:val="decimal"/>
      <w:lvlText w:val="%1.%2.%3"/>
      <w:lvlJc w:val="left"/>
      <w:pPr>
        <w:ind w:left="1326" w:hanging="695"/>
        <w:jc w:val="left"/>
      </w:pPr>
      <w:rPr>
        <w:rFonts w:hint="default" w:ascii="微軟正黑體" w:hAnsi="微軟正黑體" w:eastAsia="微軟正黑體" w:cs="微軟正黑體"/>
        <w:b/>
        <w:bCs/>
        <w:spacing w:val="0"/>
        <w:w w:val="100"/>
        <w:sz w:val="24"/>
        <w:szCs w:val="24"/>
      </w:rPr>
    </w:lvl>
    <w:lvl w:ilvl="3">
      <w:start w:val="0"/>
      <w:numFmt w:val="bullet"/>
      <w:lvlText w:val="•"/>
      <w:lvlJc w:val="left"/>
      <w:pPr>
        <w:ind w:left="1377" w:hanging="695"/>
      </w:pPr>
      <w:rPr>
        <w:rFonts w:hint="default"/>
      </w:rPr>
    </w:lvl>
    <w:lvl w:ilvl="4">
      <w:start w:val="0"/>
      <w:numFmt w:val="bullet"/>
      <w:lvlText w:val="•"/>
      <w:lvlJc w:val="left"/>
      <w:pPr>
        <w:ind w:left="1405" w:hanging="695"/>
      </w:pPr>
      <w:rPr>
        <w:rFonts w:hint="default"/>
      </w:rPr>
    </w:lvl>
    <w:lvl w:ilvl="5">
      <w:start w:val="0"/>
      <w:numFmt w:val="bullet"/>
      <w:lvlText w:val="•"/>
      <w:lvlJc w:val="left"/>
      <w:pPr>
        <w:ind w:left="1434" w:hanging="695"/>
      </w:pPr>
      <w:rPr>
        <w:rFonts w:hint="default"/>
      </w:rPr>
    </w:lvl>
    <w:lvl w:ilvl="6">
      <w:start w:val="0"/>
      <w:numFmt w:val="bullet"/>
      <w:lvlText w:val="•"/>
      <w:lvlJc w:val="left"/>
      <w:pPr>
        <w:ind w:left="1462" w:hanging="695"/>
      </w:pPr>
      <w:rPr>
        <w:rFonts w:hint="default"/>
      </w:rPr>
    </w:lvl>
    <w:lvl w:ilvl="7">
      <w:start w:val="0"/>
      <w:numFmt w:val="bullet"/>
      <w:lvlText w:val="•"/>
      <w:lvlJc w:val="left"/>
      <w:pPr>
        <w:ind w:left="1491" w:hanging="695"/>
      </w:pPr>
      <w:rPr>
        <w:rFonts w:hint="default"/>
      </w:rPr>
    </w:lvl>
    <w:lvl w:ilvl="8">
      <w:start w:val="0"/>
      <w:numFmt w:val="bullet"/>
      <w:lvlText w:val="•"/>
      <w:lvlJc w:val="left"/>
      <w:pPr>
        <w:ind w:left="1519" w:hanging="695"/>
      </w:pPr>
      <w:rPr>
        <w:rFonts w:hint="default"/>
      </w:rPr>
    </w:lvl>
  </w:abstractNum>
  <w:abstractNum w:abstractNumId="117">
    <w:multiLevelType w:val="hybridMultilevel"/>
    <w:lvl w:ilvl="0">
      <w:start w:val="1"/>
      <w:numFmt w:val="decimal"/>
      <w:lvlText w:val="%1."/>
      <w:lvlJc w:val="left"/>
      <w:pPr>
        <w:ind w:left="445" w:hanging="305"/>
        <w:jc w:val="left"/>
      </w:pPr>
      <w:rPr>
        <w:rFonts w:hint="default" w:ascii="微軟正黑體" w:hAnsi="微軟正黑體" w:eastAsia="微軟正黑體" w:cs="微軟正黑體"/>
        <w:spacing w:val="-13"/>
        <w:w w:val="100"/>
        <w:sz w:val="24"/>
        <w:szCs w:val="24"/>
      </w:rPr>
    </w:lvl>
    <w:lvl w:ilvl="1">
      <w:start w:val="1"/>
      <w:numFmt w:val="decimal"/>
      <w:lvlText w:val="%2."/>
      <w:lvlJc w:val="left"/>
      <w:pPr>
        <w:ind w:left="925" w:hanging="434"/>
        <w:jc w:val="left"/>
      </w:pPr>
      <w:rPr>
        <w:rFonts w:hint="default"/>
        <w:spacing w:val="-17"/>
        <w:w w:val="100"/>
      </w:rPr>
    </w:lvl>
    <w:lvl w:ilvl="2">
      <w:start w:val="0"/>
      <w:numFmt w:val="bullet"/>
      <w:lvlText w:val="•"/>
      <w:lvlJc w:val="left"/>
      <w:pPr>
        <w:ind w:left="1160" w:hanging="434"/>
      </w:pPr>
      <w:rPr>
        <w:rFonts w:hint="default"/>
      </w:rPr>
    </w:lvl>
    <w:lvl w:ilvl="3">
      <w:start w:val="0"/>
      <w:numFmt w:val="bullet"/>
      <w:lvlText w:val="•"/>
      <w:lvlJc w:val="left"/>
      <w:pPr>
        <w:ind w:left="2393" w:hanging="434"/>
      </w:pPr>
      <w:rPr>
        <w:rFonts w:hint="default"/>
      </w:rPr>
    </w:lvl>
    <w:lvl w:ilvl="4">
      <w:start w:val="0"/>
      <w:numFmt w:val="bullet"/>
      <w:lvlText w:val="•"/>
      <w:lvlJc w:val="left"/>
      <w:pPr>
        <w:ind w:left="3626" w:hanging="434"/>
      </w:pPr>
      <w:rPr>
        <w:rFonts w:hint="default"/>
      </w:rPr>
    </w:lvl>
    <w:lvl w:ilvl="5">
      <w:start w:val="0"/>
      <w:numFmt w:val="bullet"/>
      <w:lvlText w:val="•"/>
      <w:lvlJc w:val="left"/>
      <w:pPr>
        <w:ind w:left="4860" w:hanging="434"/>
      </w:pPr>
      <w:rPr>
        <w:rFonts w:hint="default"/>
      </w:rPr>
    </w:lvl>
    <w:lvl w:ilvl="6">
      <w:start w:val="0"/>
      <w:numFmt w:val="bullet"/>
      <w:lvlText w:val="•"/>
      <w:lvlJc w:val="left"/>
      <w:pPr>
        <w:ind w:left="6093" w:hanging="434"/>
      </w:pPr>
      <w:rPr>
        <w:rFonts w:hint="default"/>
      </w:rPr>
    </w:lvl>
    <w:lvl w:ilvl="7">
      <w:start w:val="0"/>
      <w:numFmt w:val="bullet"/>
      <w:lvlText w:val="•"/>
      <w:lvlJc w:val="left"/>
      <w:pPr>
        <w:ind w:left="7327" w:hanging="434"/>
      </w:pPr>
      <w:rPr>
        <w:rFonts w:hint="default"/>
      </w:rPr>
    </w:lvl>
    <w:lvl w:ilvl="8">
      <w:start w:val="0"/>
      <w:numFmt w:val="bullet"/>
      <w:lvlText w:val="•"/>
      <w:lvlJc w:val="left"/>
      <w:pPr>
        <w:ind w:left="8560" w:hanging="434"/>
      </w:pPr>
      <w:rPr>
        <w:rFonts w:hint="default"/>
      </w:rPr>
    </w:lvl>
  </w:abstractNum>
  <w:abstractNum w:abstractNumId="116">
    <w:multiLevelType w:val="hybridMultilevel"/>
    <w:lvl w:ilvl="0">
      <w:start w:val="6"/>
      <w:numFmt w:val="decimal"/>
      <w:lvlText w:val="%1"/>
      <w:lvlJc w:val="left"/>
      <w:pPr>
        <w:ind w:left="1146" w:hanging="489"/>
        <w:jc w:val="left"/>
      </w:pPr>
      <w:rPr>
        <w:rFonts w:hint="default"/>
      </w:rPr>
    </w:lvl>
    <w:lvl w:ilvl="1">
      <w:start w:val="1"/>
      <w:numFmt w:val="decimal"/>
      <w:lvlText w:val="%1-%2"/>
      <w:lvlJc w:val="left"/>
      <w:pPr>
        <w:ind w:left="1146"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117" w:hanging="489"/>
      </w:pPr>
      <w:rPr>
        <w:rFonts w:hint="default"/>
      </w:rPr>
    </w:lvl>
    <w:lvl w:ilvl="3">
      <w:start w:val="0"/>
      <w:numFmt w:val="bullet"/>
      <w:lvlText w:val="•"/>
      <w:lvlJc w:val="left"/>
      <w:pPr>
        <w:ind w:left="4106" w:hanging="489"/>
      </w:pPr>
      <w:rPr>
        <w:rFonts w:hint="default"/>
      </w:rPr>
    </w:lvl>
    <w:lvl w:ilvl="4">
      <w:start w:val="0"/>
      <w:numFmt w:val="bullet"/>
      <w:lvlText w:val="•"/>
      <w:lvlJc w:val="left"/>
      <w:pPr>
        <w:ind w:left="5094" w:hanging="489"/>
      </w:pPr>
      <w:rPr>
        <w:rFonts w:hint="default"/>
      </w:rPr>
    </w:lvl>
    <w:lvl w:ilvl="5">
      <w:start w:val="0"/>
      <w:numFmt w:val="bullet"/>
      <w:lvlText w:val="•"/>
      <w:lvlJc w:val="left"/>
      <w:pPr>
        <w:ind w:left="6083" w:hanging="489"/>
      </w:pPr>
      <w:rPr>
        <w:rFonts w:hint="default"/>
      </w:rPr>
    </w:lvl>
    <w:lvl w:ilvl="6">
      <w:start w:val="0"/>
      <w:numFmt w:val="bullet"/>
      <w:lvlText w:val="•"/>
      <w:lvlJc w:val="left"/>
      <w:pPr>
        <w:ind w:left="7072" w:hanging="489"/>
      </w:pPr>
      <w:rPr>
        <w:rFonts w:hint="default"/>
      </w:rPr>
    </w:lvl>
    <w:lvl w:ilvl="7">
      <w:start w:val="0"/>
      <w:numFmt w:val="bullet"/>
      <w:lvlText w:val="•"/>
      <w:lvlJc w:val="left"/>
      <w:pPr>
        <w:ind w:left="8061" w:hanging="489"/>
      </w:pPr>
      <w:rPr>
        <w:rFonts w:hint="default"/>
      </w:rPr>
    </w:lvl>
    <w:lvl w:ilvl="8">
      <w:start w:val="0"/>
      <w:numFmt w:val="bullet"/>
      <w:lvlText w:val="•"/>
      <w:lvlJc w:val="left"/>
      <w:pPr>
        <w:ind w:left="9049" w:hanging="489"/>
      </w:pPr>
      <w:rPr>
        <w:rFonts w:hint="default"/>
      </w:rPr>
    </w:lvl>
  </w:abstractNum>
  <w:abstractNum w:abstractNumId="115">
    <w:multiLevelType w:val="hybridMultilevel"/>
    <w:lvl w:ilvl="0">
      <w:start w:val="5"/>
      <w:numFmt w:val="decimal"/>
      <w:lvlText w:val="%1"/>
      <w:lvlJc w:val="left"/>
      <w:pPr>
        <w:ind w:left="1146" w:hanging="489"/>
        <w:jc w:val="left"/>
      </w:pPr>
      <w:rPr>
        <w:rFonts w:hint="default"/>
      </w:rPr>
    </w:lvl>
    <w:lvl w:ilvl="1">
      <w:start w:val="1"/>
      <w:numFmt w:val="decimal"/>
      <w:lvlText w:val="%1-%2"/>
      <w:lvlJc w:val="left"/>
      <w:pPr>
        <w:ind w:left="1146"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117" w:hanging="489"/>
      </w:pPr>
      <w:rPr>
        <w:rFonts w:hint="default"/>
      </w:rPr>
    </w:lvl>
    <w:lvl w:ilvl="3">
      <w:start w:val="0"/>
      <w:numFmt w:val="bullet"/>
      <w:lvlText w:val="•"/>
      <w:lvlJc w:val="left"/>
      <w:pPr>
        <w:ind w:left="4106" w:hanging="489"/>
      </w:pPr>
      <w:rPr>
        <w:rFonts w:hint="default"/>
      </w:rPr>
    </w:lvl>
    <w:lvl w:ilvl="4">
      <w:start w:val="0"/>
      <w:numFmt w:val="bullet"/>
      <w:lvlText w:val="•"/>
      <w:lvlJc w:val="left"/>
      <w:pPr>
        <w:ind w:left="5094" w:hanging="489"/>
      </w:pPr>
      <w:rPr>
        <w:rFonts w:hint="default"/>
      </w:rPr>
    </w:lvl>
    <w:lvl w:ilvl="5">
      <w:start w:val="0"/>
      <w:numFmt w:val="bullet"/>
      <w:lvlText w:val="•"/>
      <w:lvlJc w:val="left"/>
      <w:pPr>
        <w:ind w:left="6083" w:hanging="489"/>
      </w:pPr>
      <w:rPr>
        <w:rFonts w:hint="default"/>
      </w:rPr>
    </w:lvl>
    <w:lvl w:ilvl="6">
      <w:start w:val="0"/>
      <w:numFmt w:val="bullet"/>
      <w:lvlText w:val="•"/>
      <w:lvlJc w:val="left"/>
      <w:pPr>
        <w:ind w:left="7072" w:hanging="489"/>
      </w:pPr>
      <w:rPr>
        <w:rFonts w:hint="default"/>
      </w:rPr>
    </w:lvl>
    <w:lvl w:ilvl="7">
      <w:start w:val="0"/>
      <w:numFmt w:val="bullet"/>
      <w:lvlText w:val="•"/>
      <w:lvlJc w:val="left"/>
      <w:pPr>
        <w:ind w:left="8061" w:hanging="489"/>
      </w:pPr>
      <w:rPr>
        <w:rFonts w:hint="default"/>
      </w:rPr>
    </w:lvl>
    <w:lvl w:ilvl="8">
      <w:start w:val="0"/>
      <w:numFmt w:val="bullet"/>
      <w:lvlText w:val="•"/>
      <w:lvlJc w:val="left"/>
      <w:pPr>
        <w:ind w:left="9049" w:hanging="489"/>
      </w:pPr>
      <w:rPr>
        <w:rFonts w:hint="default"/>
      </w:rPr>
    </w:lvl>
  </w:abstractNum>
  <w:abstractNum w:abstractNumId="114">
    <w:multiLevelType w:val="hybridMultilevel"/>
    <w:lvl w:ilvl="0">
      <w:start w:val="4"/>
      <w:numFmt w:val="decimal"/>
      <w:lvlText w:val="%1"/>
      <w:lvlJc w:val="left"/>
      <w:pPr>
        <w:ind w:left="1146" w:hanging="489"/>
        <w:jc w:val="left"/>
      </w:pPr>
      <w:rPr>
        <w:rFonts w:hint="default"/>
      </w:rPr>
    </w:lvl>
    <w:lvl w:ilvl="1">
      <w:start w:val="1"/>
      <w:numFmt w:val="decimal"/>
      <w:lvlText w:val="%1-%2"/>
      <w:lvlJc w:val="left"/>
      <w:pPr>
        <w:ind w:left="1146"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117" w:hanging="489"/>
      </w:pPr>
      <w:rPr>
        <w:rFonts w:hint="default"/>
      </w:rPr>
    </w:lvl>
    <w:lvl w:ilvl="3">
      <w:start w:val="0"/>
      <w:numFmt w:val="bullet"/>
      <w:lvlText w:val="•"/>
      <w:lvlJc w:val="left"/>
      <w:pPr>
        <w:ind w:left="4106" w:hanging="489"/>
      </w:pPr>
      <w:rPr>
        <w:rFonts w:hint="default"/>
      </w:rPr>
    </w:lvl>
    <w:lvl w:ilvl="4">
      <w:start w:val="0"/>
      <w:numFmt w:val="bullet"/>
      <w:lvlText w:val="•"/>
      <w:lvlJc w:val="left"/>
      <w:pPr>
        <w:ind w:left="5094" w:hanging="489"/>
      </w:pPr>
      <w:rPr>
        <w:rFonts w:hint="default"/>
      </w:rPr>
    </w:lvl>
    <w:lvl w:ilvl="5">
      <w:start w:val="0"/>
      <w:numFmt w:val="bullet"/>
      <w:lvlText w:val="•"/>
      <w:lvlJc w:val="left"/>
      <w:pPr>
        <w:ind w:left="6083" w:hanging="489"/>
      </w:pPr>
      <w:rPr>
        <w:rFonts w:hint="default"/>
      </w:rPr>
    </w:lvl>
    <w:lvl w:ilvl="6">
      <w:start w:val="0"/>
      <w:numFmt w:val="bullet"/>
      <w:lvlText w:val="•"/>
      <w:lvlJc w:val="left"/>
      <w:pPr>
        <w:ind w:left="7072" w:hanging="489"/>
      </w:pPr>
      <w:rPr>
        <w:rFonts w:hint="default"/>
      </w:rPr>
    </w:lvl>
    <w:lvl w:ilvl="7">
      <w:start w:val="0"/>
      <w:numFmt w:val="bullet"/>
      <w:lvlText w:val="•"/>
      <w:lvlJc w:val="left"/>
      <w:pPr>
        <w:ind w:left="8061" w:hanging="489"/>
      </w:pPr>
      <w:rPr>
        <w:rFonts w:hint="default"/>
      </w:rPr>
    </w:lvl>
    <w:lvl w:ilvl="8">
      <w:start w:val="0"/>
      <w:numFmt w:val="bullet"/>
      <w:lvlText w:val="•"/>
      <w:lvlJc w:val="left"/>
      <w:pPr>
        <w:ind w:left="9049" w:hanging="489"/>
      </w:pPr>
      <w:rPr>
        <w:rFonts w:hint="default"/>
      </w:rPr>
    </w:lvl>
  </w:abstractNum>
  <w:abstractNum w:abstractNumId="113">
    <w:multiLevelType w:val="hybridMultilevel"/>
    <w:lvl w:ilvl="0">
      <w:start w:val="3"/>
      <w:numFmt w:val="decimal"/>
      <w:lvlText w:val="%1"/>
      <w:lvlJc w:val="left"/>
      <w:pPr>
        <w:ind w:left="1146" w:hanging="489"/>
        <w:jc w:val="left"/>
      </w:pPr>
      <w:rPr>
        <w:rFonts w:hint="default"/>
      </w:rPr>
    </w:lvl>
    <w:lvl w:ilvl="1">
      <w:start w:val="1"/>
      <w:numFmt w:val="decimal"/>
      <w:lvlText w:val="%1-%2"/>
      <w:lvlJc w:val="left"/>
      <w:pPr>
        <w:ind w:left="1146" w:hanging="489"/>
        <w:jc w:val="left"/>
      </w:pPr>
      <w:rPr>
        <w:rFonts w:hint="default" w:ascii="微軟正黑體" w:hAnsi="微軟正黑體" w:eastAsia="微軟正黑體" w:cs="微軟正黑體"/>
        <w:spacing w:val="-33"/>
        <w:w w:val="100"/>
        <w:sz w:val="24"/>
        <w:szCs w:val="24"/>
      </w:rPr>
    </w:lvl>
    <w:lvl w:ilvl="2">
      <w:start w:val="0"/>
      <w:numFmt w:val="bullet"/>
      <w:lvlText w:val="•"/>
      <w:lvlJc w:val="left"/>
      <w:pPr>
        <w:ind w:left="3117" w:hanging="489"/>
      </w:pPr>
      <w:rPr>
        <w:rFonts w:hint="default"/>
      </w:rPr>
    </w:lvl>
    <w:lvl w:ilvl="3">
      <w:start w:val="0"/>
      <w:numFmt w:val="bullet"/>
      <w:lvlText w:val="•"/>
      <w:lvlJc w:val="left"/>
      <w:pPr>
        <w:ind w:left="4106" w:hanging="489"/>
      </w:pPr>
      <w:rPr>
        <w:rFonts w:hint="default"/>
      </w:rPr>
    </w:lvl>
    <w:lvl w:ilvl="4">
      <w:start w:val="0"/>
      <w:numFmt w:val="bullet"/>
      <w:lvlText w:val="•"/>
      <w:lvlJc w:val="left"/>
      <w:pPr>
        <w:ind w:left="5094" w:hanging="489"/>
      </w:pPr>
      <w:rPr>
        <w:rFonts w:hint="default"/>
      </w:rPr>
    </w:lvl>
    <w:lvl w:ilvl="5">
      <w:start w:val="0"/>
      <w:numFmt w:val="bullet"/>
      <w:lvlText w:val="•"/>
      <w:lvlJc w:val="left"/>
      <w:pPr>
        <w:ind w:left="6083" w:hanging="489"/>
      </w:pPr>
      <w:rPr>
        <w:rFonts w:hint="default"/>
      </w:rPr>
    </w:lvl>
    <w:lvl w:ilvl="6">
      <w:start w:val="0"/>
      <w:numFmt w:val="bullet"/>
      <w:lvlText w:val="•"/>
      <w:lvlJc w:val="left"/>
      <w:pPr>
        <w:ind w:left="7072" w:hanging="489"/>
      </w:pPr>
      <w:rPr>
        <w:rFonts w:hint="default"/>
      </w:rPr>
    </w:lvl>
    <w:lvl w:ilvl="7">
      <w:start w:val="0"/>
      <w:numFmt w:val="bullet"/>
      <w:lvlText w:val="•"/>
      <w:lvlJc w:val="left"/>
      <w:pPr>
        <w:ind w:left="8061" w:hanging="489"/>
      </w:pPr>
      <w:rPr>
        <w:rFonts w:hint="default"/>
      </w:rPr>
    </w:lvl>
    <w:lvl w:ilvl="8">
      <w:start w:val="0"/>
      <w:numFmt w:val="bullet"/>
      <w:lvlText w:val="•"/>
      <w:lvlJc w:val="left"/>
      <w:pPr>
        <w:ind w:left="9049" w:hanging="489"/>
      </w:pPr>
      <w:rPr>
        <w:rFonts w:hint="default"/>
      </w:rPr>
    </w:lvl>
  </w:abstractNum>
  <w:abstractNum w:abstractNumId="112">
    <w:multiLevelType w:val="hybridMultilevel"/>
    <w:lvl w:ilvl="0">
      <w:start w:val="2"/>
      <w:numFmt w:val="decimal"/>
      <w:lvlText w:val="%1"/>
      <w:lvlJc w:val="left"/>
      <w:pPr>
        <w:ind w:left="1146" w:hanging="489"/>
        <w:jc w:val="left"/>
      </w:pPr>
      <w:rPr>
        <w:rFonts w:hint="default"/>
      </w:rPr>
    </w:lvl>
    <w:lvl w:ilvl="1">
      <w:start w:val="1"/>
      <w:numFmt w:val="decimal"/>
      <w:lvlText w:val="%1-%2"/>
      <w:lvlJc w:val="left"/>
      <w:pPr>
        <w:ind w:left="1146"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117" w:hanging="489"/>
      </w:pPr>
      <w:rPr>
        <w:rFonts w:hint="default"/>
      </w:rPr>
    </w:lvl>
    <w:lvl w:ilvl="3">
      <w:start w:val="0"/>
      <w:numFmt w:val="bullet"/>
      <w:lvlText w:val="•"/>
      <w:lvlJc w:val="left"/>
      <w:pPr>
        <w:ind w:left="4106" w:hanging="489"/>
      </w:pPr>
      <w:rPr>
        <w:rFonts w:hint="default"/>
      </w:rPr>
    </w:lvl>
    <w:lvl w:ilvl="4">
      <w:start w:val="0"/>
      <w:numFmt w:val="bullet"/>
      <w:lvlText w:val="•"/>
      <w:lvlJc w:val="left"/>
      <w:pPr>
        <w:ind w:left="5094" w:hanging="489"/>
      </w:pPr>
      <w:rPr>
        <w:rFonts w:hint="default"/>
      </w:rPr>
    </w:lvl>
    <w:lvl w:ilvl="5">
      <w:start w:val="0"/>
      <w:numFmt w:val="bullet"/>
      <w:lvlText w:val="•"/>
      <w:lvlJc w:val="left"/>
      <w:pPr>
        <w:ind w:left="6083" w:hanging="489"/>
      </w:pPr>
      <w:rPr>
        <w:rFonts w:hint="default"/>
      </w:rPr>
    </w:lvl>
    <w:lvl w:ilvl="6">
      <w:start w:val="0"/>
      <w:numFmt w:val="bullet"/>
      <w:lvlText w:val="•"/>
      <w:lvlJc w:val="left"/>
      <w:pPr>
        <w:ind w:left="7072" w:hanging="489"/>
      </w:pPr>
      <w:rPr>
        <w:rFonts w:hint="default"/>
      </w:rPr>
    </w:lvl>
    <w:lvl w:ilvl="7">
      <w:start w:val="0"/>
      <w:numFmt w:val="bullet"/>
      <w:lvlText w:val="•"/>
      <w:lvlJc w:val="left"/>
      <w:pPr>
        <w:ind w:left="8061" w:hanging="489"/>
      </w:pPr>
      <w:rPr>
        <w:rFonts w:hint="default"/>
      </w:rPr>
    </w:lvl>
    <w:lvl w:ilvl="8">
      <w:start w:val="0"/>
      <w:numFmt w:val="bullet"/>
      <w:lvlText w:val="•"/>
      <w:lvlJc w:val="left"/>
      <w:pPr>
        <w:ind w:left="9049" w:hanging="489"/>
      </w:pPr>
      <w:rPr>
        <w:rFonts w:hint="default"/>
      </w:rPr>
    </w:lvl>
  </w:abstractNum>
  <w:abstractNum w:abstractNumId="111">
    <w:multiLevelType w:val="hybridMultilevel"/>
    <w:lvl w:ilvl="0">
      <w:start w:val="1"/>
      <w:numFmt w:val="decimal"/>
      <w:lvlText w:val="%1."/>
      <w:lvlJc w:val="left"/>
      <w:pPr>
        <w:ind w:left="660" w:hanging="366"/>
        <w:jc w:val="left"/>
      </w:pPr>
      <w:rPr>
        <w:rFonts w:hint="default" w:ascii="微軟正黑體" w:hAnsi="微軟正黑體" w:eastAsia="微軟正黑體" w:cs="微軟正黑體"/>
        <w:b/>
        <w:bCs/>
        <w:spacing w:val="-18"/>
        <w:w w:val="100"/>
        <w:sz w:val="24"/>
        <w:szCs w:val="24"/>
      </w:rPr>
    </w:lvl>
    <w:lvl w:ilvl="1">
      <w:start w:val="1"/>
      <w:numFmt w:val="decimal"/>
      <w:lvlText w:val="%1-%2"/>
      <w:lvlJc w:val="left"/>
      <w:pPr>
        <w:ind w:left="1146"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2238" w:hanging="489"/>
      </w:pPr>
      <w:rPr>
        <w:rFonts w:hint="default"/>
      </w:rPr>
    </w:lvl>
    <w:lvl w:ilvl="3">
      <w:start w:val="0"/>
      <w:numFmt w:val="bullet"/>
      <w:lvlText w:val="•"/>
      <w:lvlJc w:val="left"/>
      <w:pPr>
        <w:ind w:left="3337" w:hanging="489"/>
      </w:pPr>
      <w:rPr>
        <w:rFonts w:hint="default"/>
      </w:rPr>
    </w:lvl>
    <w:lvl w:ilvl="4">
      <w:start w:val="0"/>
      <w:numFmt w:val="bullet"/>
      <w:lvlText w:val="•"/>
      <w:lvlJc w:val="left"/>
      <w:pPr>
        <w:ind w:left="4435" w:hanging="489"/>
      </w:pPr>
      <w:rPr>
        <w:rFonts w:hint="default"/>
      </w:rPr>
    </w:lvl>
    <w:lvl w:ilvl="5">
      <w:start w:val="0"/>
      <w:numFmt w:val="bullet"/>
      <w:lvlText w:val="•"/>
      <w:lvlJc w:val="left"/>
      <w:pPr>
        <w:ind w:left="5534" w:hanging="489"/>
      </w:pPr>
      <w:rPr>
        <w:rFonts w:hint="default"/>
      </w:rPr>
    </w:lvl>
    <w:lvl w:ilvl="6">
      <w:start w:val="0"/>
      <w:numFmt w:val="bullet"/>
      <w:lvlText w:val="•"/>
      <w:lvlJc w:val="left"/>
      <w:pPr>
        <w:ind w:left="6632" w:hanging="489"/>
      </w:pPr>
      <w:rPr>
        <w:rFonts w:hint="default"/>
      </w:rPr>
    </w:lvl>
    <w:lvl w:ilvl="7">
      <w:start w:val="0"/>
      <w:numFmt w:val="bullet"/>
      <w:lvlText w:val="•"/>
      <w:lvlJc w:val="left"/>
      <w:pPr>
        <w:ind w:left="7731" w:hanging="489"/>
      </w:pPr>
      <w:rPr>
        <w:rFonts w:hint="default"/>
      </w:rPr>
    </w:lvl>
    <w:lvl w:ilvl="8">
      <w:start w:val="0"/>
      <w:numFmt w:val="bullet"/>
      <w:lvlText w:val="•"/>
      <w:lvlJc w:val="left"/>
      <w:pPr>
        <w:ind w:left="8830" w:hanging="489"/>
      </w:pPr>
      <w:rPr>
        <w:rFonts w:hint="default"/>
      </w:rPr>
    </w:lvl>
  </w:abstractNum>
  <w:abstractNum w:abstractNumId="110">
    <w:multiLevelType w:val="hybridMultilevel"/>
    <w:lvl w:ilvl="0">
      <w:start w:val="1"/>
      <w:numFmt w:val="decimal"/>
      <w:lvlText w:val="%1."/>
      <w:lvlJc w:val="left"/>
      <w:pPr>
        <w:ind w:left="925" w:hanging="268"/>
        <w:jc w:val="left"/>
      </w:pPr>
      <w:rPr>
        <w:rFonts w:hint="default" w:ascii="微軟正黑體" w:hAnsi="微軟正黑體" w:eastAsia="微軟正黑體" w:cs="微軟正黑體"/>
        <w:b/>
        <w:bCs/>
        <w:spacing w:val="0"/>
        <w:w w:val="100"/>
        <w:sz w:val="24"/>
        <w:szCs w:val="24"/>
      </w:rPr>
    </w:lvl>
    <w:lvl w:ilvl="1">
      <w:start w:val="0"/>
      <w:numFmt w:val="bullet"/>
      <w:lvlText w:val="•"/>
      <w:lvlJc w:val="left"/>
      <w:pPr>
        <w:ind w:left="1930" w:hanging="268"/>
      </w:pPr>
      <w:rPr>
        <w:rFonts w:hint="default"/>
      </w:rPr>
    </w:lvl>
    <w:lvl w:ilvl="2">
      <w:start w:val="0"/>
      <w:numFmt w:val="bullet"/>
      <w:lvlText w:val="•"/>
      <w:lvlJc w:val="left"/>
      <w:pPr>
        <w:ind w:left="2941" w:hanging="268"/>
      </w:pPr>
      <w:rPr>
        <w:rFonts w:hint="default"/>
      </w:rPr>
    </w:lvl>
    <w:lvl w:ilvl="3">
      <w:start w:val="0"/>
      <w:numFmt w:val="bullet"/>
      <w:lvlText w:val="•"/>
      <w:lvlJc w:val="left"/>
      <w:pPr>
        <w:ind w:left="3952" w:hanging="268"/>
      </w:pPr>
      <w:rPr>
        <w:rFonts w:hint="default"/>
      </w:rPr>
    </w:lvl>
    <w:lvl w:ilvl="4">
      <w:start w:val="0"/>
      <w:numFmt w:val="bullet"/>
      <w:lvlText w:val="•"/>
      <w:lvlJc w:val="left"/>
      <w:pPr>
        <w:ind w:left="4962" w:hanging="268"/>
      </w:pPr>
      <w:rPr>
        <w:rFonts w:hint="default"/>
      </w:rPr>
    </w:lvl>
    <w:lvl w:ilvl="5">
      <w:start w:val="0"/>
      <w:numFmt w:val="bullet"/>
      <w:lvlText w:val="•"/>
      <w:lvlJc w:val="left"/>
      <w:pPr>
        <w:ind w:left="5973" w:hanging="268"/>
      </w:pPr>
      <w:rPr>
        <w:rFonts w:hint="default"/>
      </w:rPr>
    </w:lvl>
    <w:lvl w:ilvl="6">
      <w:start w:val="0"/>
      <w:numFmt w:val="bullet"/>
      <w:lvlText w:val="•"/>
      <w:lvlJc w:val="left"/>
      <w:pPr>
        <w:ind w:left="6984" w:hanging="268"/>
      </w:pPr>
      <w:rPr>
        <w:rFonts w:hint="default"/>
      </w:rPr>
    </w:lvl>
    <w:lvl w:ilvl="7">
      <w:start w:val="0"/>
      <w:numFmt w:val="bullet"/>
      <w:lvlText w:val="•"/>
      <w:lvlJc w:val="left"/>
      <w:pPr>
        <w:ind w:left="7995" w:hanging="268"/>
      </w:pPr>
      <w:rPr>
        <w:rFonts w:hint="default"/>
      </w:rPr>
    </w:lvl>
    <w:lvl w:ilvl="8">
      <w:start w:val="0"/>
      <w:numFmt w:val="bullet"/>
      <w:lvlText w:val="•"/>
      <w:lvlJc w:val="left"/>
      <w:pPr>
        <w:ind w:left="9005" w:hanging="268"/>
      </w:pPr>
      <w:rPr>
        <w:rFonts w:hint="default"/>
      </w:rPr>
    </w:lvl>
  </w:abstractNum>
  <w:abstractNum w:abstractNumId="109">
    <w:multiLevelType w:val="hybridMultilevel"/>
    <w:lvl w:ilvl="0">
      <w:start w:val="1"/>
      <w:numFmt w:val="decimal"/>
      <w:lvlText w:val="%1."/>
      <w:lvlJc w:val="left"/>
      <w:pPr>
        <w:ind w:left="913" w:hanging="256"/>
        <w:jc w:val="left"/>
      </w:pPr>
      <w:rPr>
        <w:rFonts w:hint="default" w:ascii="微軟正黑體" w:hAnsi="微軟正黑體" w:eastAsia="微軟正黑體" w:cs="微軟正黑體"/>
        <w:b/>
        <w:bCs/>
        <w:spacing w:val="0"/>
        <w:w w:val="100"/>
        <w:sz w:val="24"/>
        <w:szCs w:val="24"/>
      </w:rPr>
    </w:lvl>
    <w:lvl w:ilvl="1">
      <w:start w:val="0"/>
      <w:numFmt w:val="bullet"/>
      <w:lvlText w:val="•"/>
      <w:lvlJc w:val="left"/>
      <w:pPr>
        <w:ind w:left="1930" w:hanging="256"/>
      </w:pPr>
      <w:rPr>
        <w:rFonts w:hint="default"/>
      </w:rPr>
    </w:lvl>
    <w:lvl w:ilvl="2">
      <w:start w:val="0"/>
      <w:numFmt w:val="bullet"/>
      <w:lvlText w:val="•"/>
      <w:lvlJc w:val="left"/>
      <w:pPr>
        <w:ind w:left="2941" w:hanging="256"/>
      </w:pPr>
      <w:rPr>
        <w:rFonts w:hint="default"/>
      </w:rPr>
    </w:lvl>
    <w:lvl w:ilvl="3">
      <w:start w:val="0"/>
      <w:numFmt w:val="bullet"/>
      <w:lvlText w:val="•"/>
      <w:lvlJc w:val="left"/>
      <w:pPr>
        <w:ind w:left="3952" w:hanging="256"/>
      </w:pPr>
      <w:rPr>
        <w:rFonts w:hint="default"/>
      </w:rPr>
    </w:lvl>
    <w:lvl w:ilvl="4">
      <w:start w:val="0"/>
      <w:numFmt w:val="bullet"/>
      <w:lvlText w:val="•"/>
      <w:lvlJc w:val="left"/>
      <w:pPr>
        <w:ind w:left="4962" w:hanging="256"/>
      </w:pPr>
      <w:rPr>
        <w:rFonts w:hint="default"/>
      </w:rPr>
    </w:lvl>
    <w:lvl w:ilvl="5">
      <w:start w:val="0"/>
      <w:numFmt w:val="bullet"/>
      <w:lvlText w:val="•"/>
      <w:lvlJc w:val="left"/>
      <w:pPr>
        <w:ind w:left="5973" w:hanging="256"/>
      </w:pPr>
      <w:rPr>
        <w:rFonts w:hint="default"/>
      </w:rPr>
    </w:lvl>
    <w:lvl w:ilvl="6">
      <w:start w:val="0"/>
      <w:numFmt w:val="bullet"/>
      <w:lvlText w:val="•"/>
      <w:lvlJc w:val="left"/>
      <w:pPr>
        <w:ind w:left="6984" w:hanging="256"/>
      </w:pPr>
      <w:rPr>
        <w:rFonts w:hint="default"/>
      </w:rPr>
    </w:lvl>
    <w:lvl w:ilvl="7">
      <w:start w:val="0"/>
      <w:numFmt w:val="bullet"/>
      <w:lvlText w:val="•"/>
      <w:lvlJc w:val="left"/>
      <w:pPr>
        <w:ind w:left="7995" w:hanging="256"/>
      </w:pPr>
      <w:rPr>
        <w:rFonts w:hint="default"/>
      </w:rPr>
    </w:lvl>
    <w:lvl w:ilvl="8">
      <w:start w:val="0"/>
      <w:numFmt w:val="bullet"/>
      <w:lvlText w:val="•"/>
      <w:lvlJc w:val="left"/>
      <w:pPr>
        <w:ind w:left="9005" w:hanging="256"/>
      </w:pPr>
      <w:rPr>
        <w:rFonts w:hint="default"/>
      </w:rPr>
    </w:lvl>
  </w:abstractNum>
  <w:abstractNum w:abstractNumId="108">
    <w:multiLevelType w:val="hybridMultilevel"/>
    <w:lvl w:ilvl="0">
      <w:start w:val="4"/>
      <w:numFmt w:val="decimal"/>
      <w:lvlText w:val="%1"/>
      <w:lvlJc w:val="left"/>
      <w:pPr>
        <w:ind w:left="1409" w:hanging="488"/>
        <w:jc w:val="left"/>
      </w:pPr>
      <w:rPr>
        <w:rFonts w:hint="default"/>
      </w:rPr>
    </w:lvl>
    <w:lvl w:ilvl="1">
      <w:start w:val="1"/>
      <w:numFmt w:val="decimal"/>
      <w:lvlText w:val="%1-%2"/>
      <w:lvlJc w:val="left"/>
      <w:pPr>
        <w:ind w:left="140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25" w:hanging="488"/>
      </w:pPr>
      <w:rPr>
        <w:rFonts w:hint="default"/>
      </w:rPr>
    </w:lvl>
    <w:lvl w:ilvl="3">
      <w:start w:val="0"/>
      <w:numFmt w:val="bullet"/>
      <w:lvlText w:val="•"/>
      <w:lvlJc w:val="left"/>
      <w:pPr>
        <w:ind w:left="4288" w:hanging="488"/>
      </w:pPr>
      <w:rPr>
        <w:rFonts w:hint="default"/>
      </w:rPr>
    </w:lvl>
    <w:lvl w:ilvl="4">
      <w:start w:val="0"/>
      <w:numFmt w:val="bullet"/>
      <w:lvlText w:val="•"/>
      <w:lvlJc w:val="left"/>
      <w:pPr>
        <w:ind w:left="5250" w:hanging="488"/>
      </w:pPr>
      <w:rPr>
        <w:rFonts w:hint="default"/>
      </w:rPr>
    </w:lvl>
    <w:lvl w:ilvl="5">
      <w:start w:val="0"/>
      <w:numFmt w:val="bullet"/>
      <w:lvlText w:val="•"/>
      <w:lvlJc w:val="left"/>
      <w:pPr>
        <w:ind w:left="6213" w:hanging="488"/>
      </w:pPr>
      <w:rPr>
        <w:rFonts w:hint="default"/>
      </w:rPr>
    </w:lvl>
    <w:lvl w:ilvl="6">
      <w:start w:val="0"/>
      <w:numFmt w:val="bullet"/>
      <w:lvlText w:val="•"/>
      <w:lvlJc w:val="left"/>
      <w:pPr>
        <w:ind w:left="7176" w:hanging="488"/>
      </w:pPr>
      <w:rPr>
        <w:rFonts w:hint="default"/>
      </w:rPr>
    </w:lvl>
    <w:lvl w:ilvl="7">
      <w:start w:val="0"/>
      <w:numFmt w:val="bullet"/>
      <w:lvlText w:val="•"/>
      <w:lvlJc w:val="left"/>
      <w:pPr>
        <w:ind w:left="8139" w:hanging="488"/>
      </w:pPr>
      <w:rPr>
        <w:rFonts w:hint="default"/>
      </w:rPr>
    </w:lvl>
    <w:lvl w:ilvl="8">
      <w:start w:val="0"/>
      <w:numFmt w:val="bullet"/>
      <w:lvlText w:val="•"/>
      <w:lvlJc w:val="left"/>
      <w:pPr>
        <w:ind w:left="9101" w:hanging="488"/>
      </w:pPr>
      <w:rPr>
        <w:rFonts w:hint="default"/>
      </w:rPr>
    </w:lvl>
  </w:abstractNum>
  <w:abstractNum w:abstractNumId="107">
    <w:multiLevelType w:val="hybridMultilevel"/>
    <w:lvl w:ilvl="0">
      <w:start w:val="3"/>
      <w:numFmt w:val="decimal"/>
      <w:lvlText w:val="%1"/>
      <w:lvlJc w:val="left"/>
      <w:pPr>
        <w:ind w:left="1409" w:hanging="488"/>
        <w:jc w:val="left"/>
      </w:pPr>
      <w:rPr>
        <w:rFonts w:hint="default"/>
      </w:rPr>
    </w:lvl>
    <w:lvl w:ilvl="1">
      <w:start w:val="1"/>
      <w:numFmt w:val="decimal"/>
      <w:lvlText w:val="%1-%2"/>
      <w:lvlJc w:val="left"/>
      <w:pPr>
        <w:ind w:left="140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25" w:hanging="488"/>
      </w:pPr>
      <w:rPr>
        <w:rFonts w:hint="default"/>
      </w:rPr>
    </w:lvl>
    <w:lvl w:ilvl="3">
      <w:start w:val="0"/>
      <w:numFmt w:val="bullet"/>
      <w:lvlText w:val="•"/>
      <w:lvlJc w:val="left"/>
      <w:pPr>
        <w:ind w:left="4288" w:hanging="488"/>
      </w:pPr>
      <w:rPr>
        <w:rFonts w:hint="default"/>
      </w:rPr>
    </w:lvl>
    <w:lvl w:ilvl="4">
      <w:start w:val="0"/>
      <w:numFmt w:val="bullet"/>
      <w:lvlText w:val="•"/>
      <w:lvlJc w:val="left"/>
      <w:pPr>
        <w:ind w:left="5250" w:hanging="488"/>
      </w:pPr>
      <w:rPr>
        <w:rFonts w:hint="default"/>
      </w:rPr>
    </w:lvl>
    <w:lvl w:ilvl="5">
      <w:start w:val="0"/>
      <w:numFmt w:val="bullet"/>
      <w:lvlText w:val="•"/>
      <w:lvlJc w:val="left"/>
      <w:pPr>
        <w:ind w:left="6213" w:hanging="488"/>
      </w:pPr>
      <w:rPr>
        <w:rFonts w:hint="default"/>
      </w:rPr>
    </w:lvl>
    <w:lvl w:ilvl="6">
      <w:start w:val="0"/>
      <w:numFmt w:val="bullet"/>
      <w:lvlText w:val="•"/>
      <w:lvlJc w:val="left"/>
      <w:pPr>
        <w:ind w:left="7176" w:hanging="488"/>
      </w:pPr>
      <w:rPr>
        <w:rFonts w:hint="default"/>
      </w:rPr>
    </w:lvl>
    <w:lvl w:ilvl="7">
      <w:start w:val="0"/>
      <w:numFmt w:val="bullet"/>
      <w:lvlText w:val="•"/>
      <w:lvlJc w:val="left"/>
      <w:pPr>
        <w:ind w:left="8139" w:hanging="488"/>
      </w:pPr>
      <w:rPr>
        <w:rFonts w:hint="default"/>
      </w:rPr>
    </w:lvl>
    <w:lvl w:ilvl="8">
      <w:start w:val="0"/>
      <w:numFmt w:val="bullet"/>
      <w:lvlText w:val="•"/>
      <w:lvlJc w:val="left"/>
      <w:pPr>
        <w:ind w:left="9101" w:hanging="488"/>
      </w:pPr>
      <w:rPr>
        <w:rFonts w:hint="default"/>
      </w:rPr>
    </w:lvl>
  </w:abstractNum>
  <w:abstractNum w:abstractNumId="106">
    <w:multiLevelType w:val="hybridMultilevel"/>
    <w:lvl w:ilvl="0">
      <w:start w:val="2"/>
      <w:numFmt w:val="decimal"/>
      <w:lvlText w:val="%1"/>
      <w:lvlJc w:val="left"/>
      <w:pPr>
        <w:ind w:left="1409" w:hanging="488"/>
        <w:jc w:val="left"/>
      </w:pPr>
      <w:rPr>
        <w:rFonts w:hint="default"/>
      </w:rPr>
    </w:lvl>
    <w:lvl w:ilvl="1">
      <w:start w:val="2"/>
      <w:numFmt w:val="decimal"/>
      <w:lvlText w:val="%1-%2"/>
      <w:lvlJc w:val="left"/>
      <w:pPr>
        <w:ind w:left="1409" w:hanging="488"/>
        <w:jc w:val="left"/>
      </w:pPr>
      <w:rPr>
        <w:rFonts w:hint="default" w:ascii="微軟正黑體" w:hAnsi="微軟正黑體" w:eastAsia="微軟正黑體" w:cs="微軟正黑體"/>
        <w:spacing w:val="-28"/>
        <w:w w:val="100"/>
        <w:sz w:val="24"/>
        <w:szCs w:val="24"/>
      </w:rPr>
    </w:lvl>
    <w:lvl w:ilvl="2">
      <w:start w:val="0"/>
      <w:numFmt w:val="bullet"/>
      <w:lvlText w:val="•"/>
      <w:lvlJc w:val="left"/>
      <w:pPr>
        <w:ind w:left="3325" w:hanging="488"/>
      </w:pPr>
      <w:rPr>
        <w:rFonts w:hint="default"/>
      </w:rPr>
    </w:lvl>
    <w:lvl w:ilvl="3">
      <w:start w:val="0"/>
      <w:numFmt w:val="bullet"/>
      <w:lvlText w:val="•"/>
      <w:lvlJc w:val="left"/>
      <w:pPr>
        <w:ind w:left="4288" w:hanging="488"/>
      </w:pPr>
      <w:rPr>
        <w:rFonts w:hint="default"/>
      </w:rPr>
    </w:lvl>
    <w:lvl w:ilvl="4">
      <w:start w:val="0"/>
      <w:numFmt w:val="bullet"/>
      <w:lvlText w:val="•"/>
      <w:lvlJc w:val="left"/>
      <w:pPr>
        <w:ind w:left="5250" w:hanging="488"/>
      </w:pPr>
      <w:rPr>
        <w:rFonts w:hint="default"/>
      </w:rPr>
    </w:lvl>
    <w:lvl w:ilvl="5">
      <w:start w:val="0"/>
      <w:numFmt w:val="bullet"/>
      <w:lvlText w:val="•"/>
      <w:lvlJc w:val="left"/>
      <w:pPr>
        <w:ind w:left="6213" w:hanging="488"/>
      </w:pPr>
      <w:rPr>
        <w:rFonts w:hint="default"/>
      </w:rPr>
    </w:lvl>
    <w:lvl w:ilvl="6">
      <w:start w:val="0"/>
      <w:numFmt w:val="bullet"/>
      <w:lvlText w:val="•"/>
      <w:lvlJc w:val="left"/>
      <w:pPr>
        <w:ind w:left="7176" w:hanging="488"/>
      </w:pPr>
      <w:rPr>
        <w:rFonts w:hint="default"/>
      </w:rPr>
    </w:lvl>
    <w:lvl w:ilvl="7">
      <w:start w:val="0"/>
      <w:numFmt w:val="bullet"/>
      <w:lvlText w:val="•"/>
      <w:lvlJc w:val="left"/>
      <w:pPr>
        <w:ind w:left="8139" w:hanging="488"/>
      </w:pPr>
      <w:rPr>
        <w:rFonts w:hint="default"/>
      </w:rPr>
    </w:lvl>
    <w:lvl w:ilvl="8">
      <w:start w:val="0"/>
      <w:numFmt w:val="bullet"/>
      <w:lvlText w:val="•"/>
      <w:lvlJc w:val="left"/>
      <w:pPr>
        <w:ind w:left="9101" w:hanging="488"/>
      </w:pPr>
      <w:rPr>
        <w:rFonts w:hint="default"/>
      </w:rPr>
    </w:lvl>
  </w:abstractNum>
  <w:abstractNum w:abstractNumId="105">
    <w:multiLevelType w:val="hybridMultilevel"/>
    <w:lvl w:ilvl="0">
      <w:start w:val="8"/>
      <w:numFmt w:val="decimal"/>
      <w:lvlText w:val="%1"/>
      <w:lvlJc w:val="left"/>
      <w:pPr>
        <w:ind w:left="922" w:hanging="671"/>
        <w:jc w:val="left"/>
      </w:pPr>
      <w:rPr>
        <w:rFonts w:hint="default"/>
      </w:rPr>
    </w:lvl>
    <w:lvl w:ilvl="1">
      <w:start w:val="2"/>
      <w:numFmt w:val="decimal"/>
      <w:lvlText w:val="%1.%2"/>
      <w:lvlJc w:val="left"/>
      <w:pPr>
        <w:ind w:left="922" w:hanging="671"/>
        <w:jc w:val="left"/>
      </w:pPr>
      <w:rPr>
        <w:rFonts w:hint="default"/>
      </w:rPr>
    </w:lvl>
    <w:lvl w:ilvl="2">
      <w:start w:val="1"/>
      <w:numFmt w:val="decimal"/>
      <w:lvlText w:val="%1.%2.%3"/>
      <w:lvlJc w:val="left"/>
      <w:pPr>
        <w:ind w:left="922" w:hanging="671"/>
        <w:jc w:val="left"/>
      </w:pPr>
      <w:rPr>
        <w:rFonts w:hint="default" w:ascii="微軟正黑體" w:hAnsi="微軟正黑體" w:eastAsia="微軟正黑體" w:cs="微軟正黑體"/>
        <w:b/>
        <w:bCs/>
        <w:spacing w:val="-17"/>
        <w:w w:val="100"/>
        <w:sz w:val="24"/>
        <w:szCs w:val="24"/>
      </w:rPr>
    </w:lvl>
    <w:lvl w:ilvl="3">
      <w:start w:val="1"/>
      <w:numFmt w:val="decimal"/>
      <w:lvlText w:val="%4."/>
      <w:lvlJc w:val="left"/>
      <w:pPr>
        <w:ind w:left="925" w:hanging="268"/>
        <w:jc w:val="left"/>
      </w:pPr>
      <w:rPr>
        <w:rFonts w:hint="default" w:ascii="微軟正黑體" w:hAnsi="微軟正黑體" w:eastAsia="微軟正黑體" w:cs="微軟正黑體"/>
        <w:b/>
        <w:bCs/>
        <w:spacing w:val="0"/>
        <w:w w:val="100"/>
        <w:sz w:val="24"/>
        <w:szCs w:val="24"/>
      </w:rPr>
    </w:lvl>
    <w:lvl w:ilvl="4">
      <w:start w:val="1"/>
      <w:numFmt w:val="decimal"/>
      <w:lvlText w:val="%4-%5"/>
      <w:lvlJc w:val="left"/>
      <w:pPr>
        <w:ind w:left="1409" w:hanging="488"/>
        <w:jc w:val="left"/>
      </w:pPr>
      <w:rPr>
        <w:rFonts w:hint="default" w:ascii="微軟正黑體" w:hAnsi="微軟正黑體" w:eastAsia="微軟正黑體" w:cs="微軟正黑體"/>
        <w:spacing w:val="-20"/>
        <w:w w:val="100"/>
        <w:sz w:val="24"/>
        <w:szCs w:val="24"/>
      </w:rPr>
    </w:lvl>
    <w:lvl w:ilvl="5">
      <w:start w:val="0"/>
      <w:numFmt w:val="bullet"/>
      <w:lvlText w:val="•"/>
      <w:lvlJc w:val="left"/>
      <w:pPr>
        <w:ind w:left="5678" w:hanging="488"/>
      </w:pPr>
      <w:rPr>
        <w:rFonts w:hint="default"/>
      </w:rPr>
    </w:lvl>
    <w:lvl w:ilvl="6">
      <w:start w:val="0"/>
      <w:numFmt w:val="bullet"/>
      <w:lvlText w:val="•"/>
      <w:lvlJc w:val="left"/>
      <w:pPr>
        <w:ind w:left="6748" w:hanging="488"/>
      </w:pPr>
      <w:rPr>
        <w:rFonts w:hint="default"/>
      </w:rPr>
    </w:lvl>
    <w:lvl w:ilvl="7">
      <w:start w:val="0"/>
      <w:numFmt w:val="bullet"/>
      <w:lvlText w:val="•"/>
      <w:lvlJc w:val="left"/>
      <w:pPr>
        <w:ind w:left="7818" w:hanging="488"/>
      </w:pPr>
      <w:rPr>
        <w:rFonts w:hint="default"/>
      </w:rPr>
    </w:lvl>
    <w:lvl w:ilvl="8">
      <w:start w:val="0"/>
      <w:numFmt w:val="bullet"/>
      <w:lvlText w:val="•"/>
      <w:lvlJc w:val="left"/>
      <w:pPr>
        <w:ind w:left="8887" w:hanging="488"/>
      </w:pPr>
      <w:rPr>
        <w:rFonts w:hint="default"/>
      </w:rPr>
    </w:lvl>
  </w:abstractNum>
  <w:abstractNum w:abstractNumId="104">
    <w:multiLevelType w:val="hybridMultilevel"/>
    <w:lvl w:ilvl="0">
      <w:start w:val="8"/>
      <w:numFmt w:val="decimal"/>
      <w:lvlText w:val="%1"/>
      <w:lvlJc w:val="left"/>
      <w:pPr>
        <w:ind w:left="648" w:hanging="508"/>
        <w:jc w:val="left"/>
      </w:pPr>
      <w:rPr>
        <w:rFonts w:hint="default"/>
      </w:rPr>
    </w:lvl>
    <w:lvl w:ilvl="1">
      <w:start w:val="1"/>
      <w:numFmt w:val="decimal"/>
      <w:lvlText w:val="%1.%2"/>
      <w:lvlJc w:val="left"/>
      <w:pPr>
        <w:ind w:left="648" w:hanging="508"/>
        <w:jc w:val="left"/>
      </w:pPr>
      <w:rPr>
        <w:rFonts w:hint="default" w:ascii="微軟正黑體" w:hAnsi="微軟正黑體" w:eastAsia="微軟正黑體" w:cs="微軟正黑體"/>
        <w:b/>
        <w:bCs/>
        <w:spacing w:val="0"/>
        <w:w w:val="99"/>
        <w:sz w:val="25"/>
        <w:szCs w:val="25"/>
      </w:rPr>
    </w:lvl>
    <w:lvl w:ilvl="2">
      <w:start w:val="1"/>
      <w:numFmt w:val="decimal"/>
      <w:lvlText w:val="%3."/>
      <w:lvlJc w:val="left"/>
      <w:pPr>
        <w:ind w:left="632" w:hanging="360"/>
        <w:jc w:val="left"/>
      </w:pPr>
      <w:rPr>
        <w:rFonts w:hint="default" w:ascii="微軟正黑體" w:hAnsi="微軟正黑體" w:eastAsia="微軟正黑體" w:cs="微軟正黑體"/>
        <w:b/>
        <w:bCs/>
        <w:spacing w:val="-45"/>
        <w:w w:val="100"/>
        <w:sz w:val="24"/>
        <w:szCs w:val="24"/>
      </w:rPr>
    </w:lvl>
    <w:lvl w:ilvl="3">
      <w:start w:val="1"/>
      <w:numFmt w:val="decimal"/>
      <w:lvlText w:val="%3-%4"/>
      <w:lvlJc w:val="left"/>
      <w:pPr>
        <w:ind w:left="1146" w:hanging="489"/>
        <w:jc w:val="left"/>
      </w:pPr>
      <w:rPr>
        <w:rFonts w:hint="default" w:ascii="微軟正黑體" w:hAnsi="微軟正黑體" w:eastAsia="微軟正黑體" w:cs="微軟正黑體"/>
        <w:spacing w:val="-18"/>
        <w:w w:val="100"/>
        <w:sz w:val="24"/>
        <w:szCs w:val="24"/>
      </w:rPr>
    </w:lvl>
    <w:lvl w:ilvl="4">
      <w:start w:val="1"/>
      <w:numFmt w:val="decimal"/>
      <w:lvlText w:val="(%5)"/>
      <w:lvlJc w:val="left"/>
      <w:pPr>
        <w:ind w:left="1501" w:hanging="398"/>
        <w:jc w:val="left"/>
      </w:pPr>
      <w:rPr>
        <w:rFonts w:hint="default" w:ascii="微軟正黑體" w:hAnsi="微軟正黑體" w:eastAsia="微軟正黑體" w:cs="微軟正黑體"/>
        <w:spacing w:val="-27"/>
        <w:w w:val="100"/>
        <w:sz w:val="24"/>
        <w:szCs w:val="24"/>
      </w:rPr>
    </w:lvl>
    <w:lvl w:ilvl="5">
      <w:start w:val="1"/>
      <w:numFmt w:val="upperLetter"/>
      <w:lvlText w:val="%6."/>
      <w:lvlJc w:val="left"/>
      <w:pPr>
        <w:ind w:left="1870" w:hanging="341"/>
        <w:jc w:val="left"/>
      </w:pPr>
      <w:rPr>
        <w:rFonts w:hint="default" w:ascii="微軟正黑體" w:hAnsi="微軟正黑體" w:eastAsia="微軟正黑體" w:cs="微軟正黑體"/>
        <w:spacing w:val="-1"/>
        <w:w w:val="100"/>
        <w:sz w:val="24"/>
        <w:szCs w:val="24"/>
      </w:rPr>
    </w:lvl>
    <w:lvl w:ilvl="6">
      <w:start w:val="0"/>
      <w:numFmt w:val="bullet"/>
      <w:lvlText w:val="•"/>
      <w:lvlJc w:val="left"/>
      <w:pPr>
        <w:ind w:left="2062" w:hanging="341"/>
      </w:pPr>
      <w:rPr>
        <w:rFonts w:hint="default"/>
      </w:rPr>
    </w:lvl>
    <w:lvl w:ilvl="7">
      <w:start w:val="0"/>
      <w:numFmt w:val="bullet"/>
      <w:lvlText w:val="•"/>
      <w:lvlJc w:val="left"/>
      <w:pPr>
        <w:ind w:left="2163" w:hanging="341"/>
      </w:pPr>
      <w:rPr>
        <w:rFonts w:hint="default"/>
      </w:rPr>
    </w:lvl>
    <w:lvl w:ilvl="8">
      <w:start w:val="0"/>
      <w:numFmt w:val="bullet"/>
      <w:lvlText w:val="•"/>
      <w:lvlJc w:val="left"/>
      <w:pPr>
        <w:ind w:left="2265" w:hanging="341"/>
      </w:pPr>
      <w:rPr>
        <w:rFonts w:hint="default"/>
      </w:rPr>
    </w:lvl>
  </w:abstractNum>
  <w:abstractNum w:abstractNumId="103">
    <w:multiLevelType w:val="hybridMultilevel"/>
    <w:lvl w:ilvl="0">
      <w:start w:val="7"/>
      <w:numFmt w:val="decimal"/>
      <w:lvlText w:val="%1"/>
      <w:lvlJc w:val="left"/>
      <w:pPr>
        <w:ind w:left="648" w:hanging="508"/>
        <w:jc w:val="left"/>
      </w:pPr>
      <w:rPr>
        <w:rFonts w:hint="default"/>
      </w:rPr>
    </w:lvl>
    <w:lvl w:ilvl="1">
      <w:start w:val="1"/>
      <w:numFmt w:val="decimal"/>
      <w:lvlText w:val="%1.%2"/>
      <w:lvlJc w:val="left"/>
      <w:pPr>
        <w:ind w:left="648" w:hanging="508"/>
        <w:jc w:val="left"/>
      </w:pPr>
      <w:rPr>
        <w:rFonts w:hint="default"/>
        <w:b/>
        <w:bCs/>
        <w:spacing w:val="0"/>
        <w:w w:val="99"/>
      </w:rPr>
    </w:lvl>
    <w:lvl w:ilvl="2">
      <w:start w:val="1"/>
      <w:numFmt w:val="decimal"/>
      <w:lvlText w:val="%3."/>
      <w:lvlJc w:val="left"/>
      <w:pPr>
        <w:ind w:left="839" w:hanging="335"/>
        <w:jc w:val="right"/>
      </w:pPr>
      <w:rPr>
        <w:rFonts w:hint="default" w:ascii="微軟正黑體" w:hAnsi="微軟正黑體" w:eastAsia="微軟正黑體" w:cs="微軟正黑體"/>
        <w:spacing w:val="-1"/>
        <w:w w:val="100"/>
        <w:sz w:val="23"/>
        <w:szCs w:val="23"/>
      </w:rPr>
    </w:lvl>
    <w:lvl w:ilvl="3">
      <w:start w:val="0"/>
      <w:numFmt w:val="bullet"/>
      <w:lvlText w:val="•"/>
      <w:lvlJc w:val="left"/>
      <w:pPr>
        <w:ind w:left="3103" w:hanging="335"/>
      </w:pPr>
      <w:rPr>
        <w:rFonts w:hint="default"/>
      </w:rPr>
    </w:lvl>
    <w:lvl w:ilvl="4">
      <w:start w:val="0"/>
      <w:numFmt w:val="bullet"/>
      <w:lvlText w:val="•"/>
      <w:lvlJc w:val="left"/>
      <w:pPr>
        <w:ind w:left="4235" w:hanging="335"/>
      </w:pPr>
      <w:rPr>
        <w:rFonts w:hint="default"/>
      </w:rPr>
    </w:lvl>
    <w:lvl w:ilvl="5">
      <w:start w:val="0"/>
      <w:numFmt w:val="bullet"/>
      <w:lvlText w:val="•"/>
      <w:lvlJc w:val="left"/>
      <w:pPr>
        <w:ind w:left="5367" w:hanging="335"/>
      </w:pPr>
      <w:rPr>
        <w:rFonts w:hint="default"/>
      </w:rPr>
    </w:lvl>
    <w:lvl w:ilvl="6">
      <w:start w:val="0"/>
      <w:numFmt w:val="bullet"/>
      <w:lvlText w:val="•"/>
      <w:lvlJc w:val="left"/>
      <w:pPr>
        <w:ind w:left="6499" w:hanging="335"/>
      </w:pPr>
      <w:rPr>
        <w:rFonts w:hint="default"/>
      </w:rPr>
    </w:lvl>
    <w:lvl w:ilvl="7">
      <w:start w:val="0"/>
      <w:numFmt w:val="bullet"/>
      <w:lvlText w:val="•"/>
      <w:lvlJc w:val="left"/>
      <w:pPr>
        <w:ind w:left="7631" w:hanging="335"/>
      </w:pPr>
      <w:rPr>
        <w:rFonts w:hint="default"/>
      </w:rPr>
    </w:lvl>
    <w:lvl w:ilvl="8">
      <w:start w:val="0"/>
      <w:numFmt w:val="bullet"/>
      <w:lvlText w:val="•"/>
      <w:lvlJc w:val="left"/>
      <w:pPr>
        <w:ind w:left="8763" w:hanging="335"/>
      </w:pPr>
      <w:rPr>
        <w:rFonts w:hint="default"/>
      </w:rPr>
    </w:lvl>
  </w:abstractNum>
  <w:abstractNum w:abstractNumId="102">
    <w:multiLevelType w:val="hybridMultilevel"/>
    <w:lvl w:ilvl="0">
      <w:start w:val="1"/>
      <w:numFmt w:val="decimal"/>
      <w:lvlText w:val="%1."/>
      <w:lvlJc w:val="left"/>
      <w:pPr>
        <w:ind w:left="595" w:hanging="315"/>
        <w:jc w:val="left"/>
      </w:pPr>
      <w:rPr>
        <w:rFonts w:hint="default" w:ascii="微軟正黑體" w:hAnsi="微軟正黑體" w:eastAsia="微軟正黑體" w:cs="微軟正黑體"/>
        <w:spacing w:val="-1"/>
        <w:w w:val="100"/>
        <w:sz w:val="24"/>
        <w:szCs w:val="24"/>
      </w:rPr>
    </w:lvl>
    <w:lvl w:ilvl="1">
      <w:start w:val="0"/>
      <w:numFmt w:val="bullet"/>
      <w:lvlText w:val="•"/>
      <w:lvlJc w:val="left"/>
      <w:pPr>
        <w:ind w:left="1656" w:hanging="315"/>
      </w:pPr>
      <w:rPr>
        <w:rFonts w:hint="default"/>
      </w:rPr>
    </w:lvl>
    <w:lvl w:ilvl="2">
      <w:start w:val="0"/>
      <w:numFmt w:val="bullet"/>
      <w:lvlText w:val="•"/>
      <w:lvlJc w:val="left"/>
      <w:pPr>
        <w:ind w:left="2713" w:hanging="315"/>
      </w:pPr>
      <w:rPr>
        <w:rFonts w:hint="default"/>
      </w:rPr>
    </w:lvl>
    <w:lvl w:ilvl="3">
      <w:start w:val="0"/>
      <w:numFmt w:val="bullet"/>
      <w:lvlText w:val="•"/>
      <w:lvlJc w:val="left"/>
      <w:pPr>
        <w:ind w:left="3770" w:hanging="315"/>
      </w:pPr>
      <w:rPr>
        <w:rFonts w:hint="default"/>
      </w:rPr>
    </w:lvl>
    <w:lvl w:ilvl="4">
      <w:start w:val="0"/>
      <w:numFmt w:val="bullet"/>
      <w:lvlText w:val="•"/>
      <w:lvlJc w:val="left"/>
      <w:pPr>
        <w:ind w:left="4826" w:hanging="315"/>
      </w:pPr>
      <w:rPr>
        <w:rFonts w:hint="default"/>
      </w:rPr>
    </w:lvl>
    <w:lvl w:ilvl="5">
      <w:start w:val="0"/>
      <w:numFmt w:val="bullet"/>
      <w:lvlText w:val="•"/>
      <w:lvlJc w:val="left"/>
      <w:pPr>
        <w:ind w:left="5883" w:hanging="315"/>
      </w:pPr>
      <w:rPr>
        <w:rFonts w:hint="default"/>
      </w:rPr>
    </w:lvl>
    <w:lvl w:ilvl="6">
      <w:start w:val="0"/>
      <w:numFmt w:val="bullet"/>
      <w:lvlText w:val="•"/>
      <w:lvlJc w:val="left"/>
      <w:pPr>
        <w:ind w:left="6940" w:hanging="315"/>
      </w:pPr>
      <w:rPr>
        <w:rFonts w:hint="default"/>
      </w:rPr>
    </w:lvl>
    <w:lvl w:ilvl="7">
      <w:start w:val="0"/>
      <w:numFmt w:val="bullet"/>
      <w:lvlText w:val="•"/>
      <w:lvlJc w:val="left"/>
      <w:pPr>
        <w:ind w:left="7997" w:hanging="315"/>
      </w:pPr>
      <w:rPr>
        <w:rFonts w:hint="default"/>
      </w:rPr>
    </w:lvl>
    <w:lvl w:ilvl="8">
      <w:start w:val="0"/>
      <w:numFmt w:val="bullet"/>
      <w:lvlText w:val="•"/>
      <w:lvlJc w:val="left"/>
      <w:pPr>
        <w:ind w:left="9053" w:hanging="315"/>
      </w:pPr>
      <w:rPr>
        <w:rFonts w:hint="default"/>
      </w:rPr>
    </w:lvl>
  </w:abstractNum>
  <w:abstractNum w:abstractNumId="101">
    <w:multiLevelType w:val="hybridMultilevel"/>
    <w:lvl w:ilvl="0">
      <w:start w:val="1"/>
      <w:numFmt w:val="decimal"/>
      <w:lvlText w:val="%1."/>
      <w:lvlJc w:val="left"/>
      <w:pPr>
        <w:ind w:left="628" w:hanging="262"/>
        <w:jc w:val="left"/>
      </w:pPr>
      <w:rPr>
        <w:rFonts w:hint="default" w:ascii="微軟正黑體" w:hAnsi="微軟正黑體" w:eastAsia="微軟正黑體" w:cs="微軟正黑體"/>
        <w:spacing w:val="-18"/>
        <w:w w:val="100"/>
        <w:sz w:val="23"/>
        <w:szCs w:val="23"/>
      </w:rPr>
    </w:lvl>
    <w:lvl w:ilvl="1">
      <w:start w:val="0"/>
      <w:numFmt w:val="bullet"/>
      <w:lvlText w:val=""/>
      <w:lvlJc w:val="left"/>
      <w:pPr>
        <w:ind w:left="968" w:hanging="215"/>
      </w:pPr>
      <w:rPr>
        <w:rFonts w:hint="default" w:ascii="Wingdings 2" w:hAnsi="Wingdings 2" w:eastAsia="Wingdings 2" w:cs="Wingdings 2"/>
        <w:spacing w:val="-1"/>
        <w:w w:val="100"/>
        <w:sz w:val="22"/>
        <w:szCs w:val="22"/>
      </w:rPr>
    </w:lvl>
    <w:lvl w:ilvl="2">
      <w:start w:val="0"/>
      <w:numFmt w:val="bullet"/>
      <w:lvlText w:val=""/>
      <w:lvlJc w:val="left"/>
      <w:pPr>
        <w:ind w:left="1323" w:hanging="215"/>
      </w:pPr>
      <w:rPr>
        <w:rFonts w:hint="default" w:ascii="Wingdings 2" w:hAnsi="Wingdings 2" w:eastAsia="Wingdings 2" w:cs="Wingdings 2"/>
        <w:spacing w:val="-1"/>
        <w:w w:val="100"/>
        <w:sz w:val="22"/>
        <w:szCs w:val="22"/>
      </w:rPr>
    </w:lvl>
    <w:lvl w:ilvl="3">
      <w:start w:val="0"/>
      <w:numFmt w:val="bullet"/>
      <w:lvlText w:val="•"/>
      <w:lvlJc w:val="left"/>
      <w:pPr>
        <w:ind w:left="2550" w:hanging="215"/>
      </w:pPr>
      <w:rPr>
        <w:rFonts w:hint="default"/>
      </w:rPr>
    </w:lvl>
    <w:lvl w:ilvl="4">
      <w:start w:val="0"/>
      <w:numFmt w:val="bullet"/>
      <w:lvlText w:val="•"/>
      <w:lvlJc w:val="left"/>
      <w:pPr>
        <w:ind w:left="3781" w:hanging="215"/>
      </w:pPr>
      <w:rPr>
        <w:rFonts w:hint="default"/>
      </w:rPr>
    </w:lvl>
    <w:lvl w:ilvl="5">
      <w:start w:val="0"/>
      <w:numFmt w:val="bullet"/>
      <w:lvlText w:val="•"/>
      <w:lvlJc w:val="left"/>
      <w:pPr>
        <w:ind w:left="5012" w:hanging="215"/>
      </w:pPr>
      <w:rPr>
        <w:rFonts w:hint="default"/>
      </w:rPr>
    </w:lvl>
    <w:lvl w:ilvl="6">
      <w:start w:val="0"/>
      <w:numFmt w:val="bullet"/>
      <w:lvlText w:val="•"/>
      <w:lvlJc w:val="left"/>
      <w:pPr>
        <w:ind w:left="6243" w:hanging="215"/>
      </w:pPr>
      <w:rPr>
        <w:rFonts w:hint="default"/>
      </w:rPr>
    </w:lvl>
    <w:lvl w:ilvl="7">
      <w:start w:val="0"/>
      <w:numFmt w:val="bullet"/>
      <w:lvlText w:val="•"/>
      <w:lvlJc w:val="left"/>
      <w:pPr>
        <w:ind w:left="7474" w:hanging="215"/>
      </w:pPr>
      <w:rPr>
        <w:rFonts w:hint="default"/>
      </w:rPr>
    </w:lvl>
    <w:lvl w:ilvl="8">
      <w:start w:val="0"/>
      <w:numFmt w:val="bullet"/>
      <w:lvlText w:val="•"/>
      <w:lvlJc w:val="left"/>
      <w:pPr>
        <w:ind w:left="8705" w:hanging="215"/>
      </w:pPr>
      <w:rPr>
        <w:rFonts w:hint="default"/>
      </w:rPr>
    </w:lvl>
  </w:abstractNum>
  <w:abstractNum w:abstractNumId="100">
    <w:multiLevelType w:val="hybridMultilevel"/>
    <w:lvl w:ilvl="0">
      <w:start w:val="1"/>
      <w:numFmt w:val="decimal"/>
      <w:lvlText w:val="%1."/>
      <w:lvlJc w:val="left"/>
      <w:pPr>
        <w:ind w:left="252" w:hanging="198"/>
        <w:jc w:val="left"/>
      </w:pPr>
      <w:rPr>
        <w:rFonts w:hint="default" w:ascii="微軟正黑體" w:hAnsi="微軟正黑體" w:eastAsia="微軟正黑體" w:cs="微軟正黑體"/>
        <w:spacing w:val="-2"/>
        <w:w w:val="100"/>
        <w:sz w:val="21"/>
        <w:szCs w:val="21"/>
      </w:rPr>
    </w:lvl>
    <w:lvl w:ilvl="1">
      <w:start w:val="0"/>
      <w:numFmt w:val="bullet"/>
      <w:lvlText w:val="•"/>
      <w:lvlJc w:val="left"/>
      <w:pPr>
        <w:ind w:left="1219" w:hanging="198"/>
      </w:pPr>
      <w:rPr>
        <w:rFonts w:hint="default"/>
      </w:rPr>
    </w:lvl>
    <w:lvl w:ilvl="2">
      <w:start w:val="0"/>
      <w:numFmt w:val="bullet"/>
      <w:lvlText w:val="•"/>
      <w:lvlJc w:val="left"/>
      <w:pPr>
        <w:ind w:left="2178" w:hanging="198"/>
      </w:pPr>
      <w:rPr>
        <w:rFonts w:hint="default"/>
      </w:rPr>
    </w:lvl>
    <w:lvl w:ilvl="3">
      <w:start w:val="0"/>
      <w:numFmt w:val="bullet"/>
      <w:lvlText w:val="•"/>
      <w:lvlJc w:val="left"/>
      <w:pPr>
        <w:ind w:left="3138" w:hanging="198"/>
      </w:pPr>
      <w:rPr>
        <w:rFonts w:hint="default"/>
      </w:rPr>
    </w:lvl>
    <w:lvl w:ilvl="4">
      <w:start w:val="0"/>
      <w:numFmt w:val="bullet"/>
      <w:lvlText w:val="•"/>
      <w:lvlJc w:val="left"/>
      <w:pPr>
        <w:ind w:left="4097" w:hanging="198"/>
      </w:pPr>
      <w:rPr>
        <w:rFonts w:hint="default"/>
      </w:rPr>
    </w:lvl>
    <w:lvl w:ilvl="5">
      <w:start w:val="0"/>
      <w:numFmt w:val="bullet"/>
      <w:lvlText w:val="•"/>
      <w:lvlJc w:val="left"/>
      <w:pPr>
        <w:ind w:left="5057" w:hanging="198"/>
      </w:pPr>
      <w:rPr>
        <w:rFonts w:hint="default"/>
      </w:rPr>
    </w:lvl>
    <w:lvl w:ilvl="6">
      <w:start w:val="0"/>
      <w:numFmt w:val="bullet"/>
      <w:lvlText w:val="•"/>
      <w:lvlJc w:val="left"/>
      <w:pPr>
        <w:ind w:left="6016" w:hanging="198"/>
      </w:pPr>
      <w:rPr>
        <w:rFonts w:hint="default"/>
      </w:rPr>
    </w:lvl>
    <w:lvl w:ilvl="7">
      <w:start w:val="0"/>
      <w:numFmt w:val="bullet"/>
      <w:lvlText w:val="•"/>
      <w:lvlJc w:val="left"/>
      <w:pPr>
        <w:ind w:left="6975" w:hanging="198"/>
      </w:pPr>
      <w:rPr>
        <w:rFonts w:hint="default"/>
      </w:rPr>
    </w:lvl>
    <w:lvl w:ilvl="8">
      <w:start w:val="0"/>
      <w:numFmt w:val="bullet"/>
      <w:lvlText w:val="•"/>
      <w:lvlJc w:val="left"/>
      <w:pPr>
        <w:ind w:left="7935" w:hanging="198"/>
      </w:pPr>
      <w:rPr>
        <w:rFonts w:hint="default"/>
      </w:rPr>
    </w:lvl>
  </w:abstractNum>
  <w:abstractNum w:abstractNumId="99">
    <w:multiLevelType w:val="hybridMultilevel"/>
    <w:lvl w:ilvl="0">
      <w:start w:val="1"/>
      <w:numFmt w:val="decimal"/>
      <w:lvlText w:val="%1."/>
      <w:lvlJc w:val="left"/>
      <w:pPr>
        <w:ind w:left="1742" w:hanging="230"/>
        <w:jc w:val="left"/>
      </w:pPr>
      <w:rPr>
        <w:rFonts w:hint="default" w:ascii="微軟正黑體" w:hAnsi="微軟正黑體" w:eastAsia="微軟正黑體" w:cs="微軟正黑體"/>
        <w:spacing w:val="-1"/>
        <w:w w:val="100"/>
        <w:sz w:val="23"/>
        <w:szCs w:val="23"/>
      </w:rPr>
    </w:lvl>
    <w:lvl w:ilvl="1">
      <w:start w:val="0"/>
      <w:numFmt w:val="bullet"/>
      <w:lvlText w:val="•"/>
      <w:lvlJc w:val="left"/>
      <w:pPr>
        <w:ind w:left="2682" w:hanging="230"/>
      </w:pPr>
      <w:rPr>
        <w:rFonts w:hint="default"/>
      </w:rPr>
    </w:lvl>
    <w:lvl w:ilvl="2">
      <w:start w:val="0"/>
      <w:numFmt w:val="bullet"/>
      <w:lvlText w:val="•"/>
      <w:lvlJc w:val="left"/>
      <w:pPr>
        <w:ind w:left="3625" w:hanging="230"/>
      </w:pPr>
      <w:rPr>
        <w:rFonts w:hint="default"/>
      </w:rPr>
    </w:lvl>
    <w:lvl w:ilvl="3">
      <w:start w:val="0"/>
      <w:numFmt w:val="bullet"/>
      <w:lvlText w:val="•"/>
      <w:lvlJc w:val="left"/>
      <w:pPr>
        <w:ind w:left="4568" w:hanging="230"/>
      </w:pPr>
      <w:rPr>
        <w:rFonts w:hint="default"/>
      </w:rPr>
    </w:lvl>
    <w:lvl w:ilvl="4">
      <w:start w:val="0"/>
      <w:numFmt w:val="bullet"/>
      <w:lvlText w:val="•"/>
      <w:lvlJc w:val="left"/>
      <w:pPr>
        <w:ind w:left="5510" w:hanging="230"/>
      </w:pPr>
      <w:rPr>
        <w:rFonts w:hint="default"/>
      </w:rPr>
    </w:lvl>
    <w:lvl w:ilvl="5">
      <w:start w:val="0"/>
      <w:numFmt w:val="bullet"/>
      <w:lvlText w:val="•"/>
      <w:lvlJc w:val="left"/>
      <w:pPr>
        <w:ind w:left="6453" w:hanging="230"/>
      </w:pPr>
      <w:rPr>
        <w:rFonts w:hint="default"/>
      </w:rPr>
    </w:lvl>
    <w:lvl w:ilvl="6">
      <w:start w:val="0"/>
      <w:numFmt w:val="bullet"/>
      <w:lvlText w:val="•"/>
      <w:lvlJc w:val="left"/>
      <w:pPr>
        <w:ind w:left="7396" w:hanging="230"/>
      </w:pPr>
      <w:rPr>
        <w:rFonts w:hint="default"/>
      </w:rPr>
    </w:lvl>
    <w:lvl w:ilvl="7">
      <w:start w:val="0"/>
      <w:numFmt w:val="bullet"/>
      <w:lvlText w:val="•"/>
      <w:lvlJc w:val="left"/>
      <w:pPr>
        <w:ind w:left="8339" w:hanging="230"/>
      </w:pPr>
      <w:rPr>
        <w:rFonts w:hint="default"/>
      </w:rPr>
    </w:lvl>
    <w:lvl w:ilvl="8">
      <w:start w:val="0"/>
      <w:numFmt w:val="bullet"/>
      <w:lvlText w:val="•"/>
      <w:lvlJc w:val="left"/>
      <w:pPr>
        <w:ind w:left="9281" w:hanging="230"/>
      </w:pPr>
      <w:rPr>
        <w:rFonts w:hint="default"/>
      </w:rPr>
    </w:lvl>
  </w:abstractNum>
  <w:abstractNum w:abstractNumId="98">
    <w:multiLevelType w:val="hybridMultilevel"/>
    <w:lvl w:ilvl="0">
      <w:start w:val="1"/>
      <w:numFmt w:val="decimal"/>
      <w:lvlText w:val="%1."/>
      <w:lvlJc w:val="left"/>
      <w:pPr>
        <w:ind w:left="2183" w:hanging="360"/>
        <w:jc w:val="left"/>
      </w:pPr>
      <w:rPr>
        <w:rFonts w:hint="default" w:ascii="微軟正黑體" w:hAnsi="微軟正黑體" w:eastAsia="微軟正黑體" w:cs="微軟正黑體"/>
        <w:spacing w:val="-1"/>
        <w:w w:val="99"/>
        <w:sz w:val="22"/>
        <w:szCs w:val="22"/>
      </w:rPr>
    </w:lvl>
    <w:lvl w:ilvl="1">
      <w:start w:val="0"/>
      <w:numFmt w:val="bullet"/>
      <w:lvlText w:val="•"/>
      <w:lvlJc w:val="left"/>
      <w:pPr>
        <w:ind w:left="2750" w:hanging="360"/>
      </w:pPr>
      <w:rPr>
        <w:rFonts w:hint="default"/>
      </w:rPr>
    </w:lvl>
    <w:lvl w:ilvl="2">
      <w:start w:val="0"/>
      <w:numFmt w:val="bullet"/>
      <w:lvlText w:val="•"/>
      <w:lvlJc w:val="left"/>
      <w:pPr>
        <w:ind w:left="3320" w:hanging="360"/>
      </w:pPr>
      <w:rPr>
        <w:rFonts w:hint="default"/>
      </w:rPr>
    </w:lvl>
    <w:lvl w:ilvl="3">
      <w:start w:val="0"/>
      <w:numFmt w:val="bullet"/>
      <w:lvlText w:val="•"/>
      <w:lvlJc w:val="left"/>
      <w:pPr>
        <w:ind w:left="3891" w:hanging="360"/>
      </w:pPr>
      <w:rPr>
        <w:rFonts w:hint="default"/>
      </w:rPr>
    </w:lvl>
    <w:lvl w:ilvl="4">
      <w:start w:val="0"/>
      <w:numFmt w:val="bullet"/>
      <w:lvlText w:val="•"/>
      <w:lvlJc w:val="left"/>
      <w:pPr>
        <w:ind w:left="4461" w:hanging="360"/>
      </w:pPr>
      <w:rPr>
        <w:rFonts w:hint="default"/>
      </w:rPr>
    </w:lvl>
    <w:lvl w:ilvl="5">
      <w:start w:val="0"/>
      <w:numFmt w:val="bullet"/>
      <w:lvlText w:val="•"/>
      <w:lvlJc w:val="left"/>
      <w:pPr>
        <w:ind w:left="5031" w:hanging="360"/>
      </w:pPr>
      <w:rPr>
        <w:rFonts w:hint="default"/>
      </w:rPr>
    </w:lvl>
    <w:lvl w:ilvl="6">
      <w:start w:val="0"/>
      <w:numFmt w:val="bullet"/>
      <w:lvlText w:val="•"/>
      <w:lvlJc w:val="left"/>
      <w:pPr>
        <w:ind w:left="5602" w:hanging="360"/>
      </w:pPr>
      <w:rPr>
        <w:rFonts w:hint="default"/>
      </w:rPr>
    </w:lvl>
    <w:lvl w:ilvl="7">
      <w:start w:val="0"/>
      <w:numFmt w:val="bullet"/>
      <w:lvlText w:val="•"/>
      <w:lvlJc w:val="left"/>
      <w:pPr>
        <w:ind w:left="6172" w:hanging="360"/>
      </w:pPr>
      <w:rPr>
        <w:rFonts w:hint="default"/>
      </w:rPr>
    </w:lvl>
    <w:lvl w:ilvl="8">
      <w:start w:val="0"/>
      <w:numFmt w:val="bullet"/>
      <w:lvlText w:val="•"/>
      <w:lvlJc w:val="left"/>
      <w:pPr>
        <w:ind w:left="6742" w:hanging="360"/>
      </w:pPr>
      <w:rPr>
        <w:rFonts w:hint="default"/>
      </w:rPr>
    </w:lvl>
  </w:abstractNum>
  <w:abstractNum w:abstractNumId="97">
    <w:multiLevelType w:val="hybridMultilevel"/>
    <w:lvl w:ilvl="0">
      <w:start w:val="1"/>
      <w:numFmt w:val="decimal"/>
      <w:lvlText w:val="%1."/>
      <w:lvlJc w:val="left"/>
      <w:pPr>
        <w:ind w:left="512" w:hanging="360"/>
        <w:jc w:val="left"/>
      </w:pPr>
      <w:rPr>
        <w:rFonts w:hint="default" w:ascii="微軟正黑體" w:hAnsi="微軟正黑體" w:eastAsia="微軟正黑體" w:cs="微軟正黑體"/>
        <w:spacing w:val="-16"/>
        <w:w w:val="100"/>
        <w:sz w:val="24"/>
        <w:szCs w:val="24"/>
      </w:rPr>
    </w:lvl>
    <w:lvl w:ilvl="1">
      <w:start w:val="0"/>
      <w:numFmt w:val="bullet"/>
      <w:lvlText w:val="•"/>
      <w:lvlJc w:val="left"/>
      <w:pPr>
        <w:ind w:left="792" w:hanging="360"/>
      </w:pPr>
      <w:rPr>
        <w:rFonts w:hint="default"/>
      </w:rPr>
    </w:lvl>
    <w:lvl w:ilvl="2">
      <w:start w:val="0"/>
      <w:numFmt w:val="bullet"/>
      <w:lvlText w:val="•"/>
      <w:lvlJc w:val="left"/>
      <w:pPr>
        <w:ind w:left="1064" w:hanging="360"/>
      </w:pPr>
      <w:rPr>
        <w:rFonts w:hint="default"/>
      </w:rPr>
    </w:lvl>
    <w:lvl w:ilvl="3">
      <w:start w:val="0"/>
      <w:numFmt w:val="bullet"/>
      <w:lvlText w:val="•"/>
      <w:lvlJc w:val="left"/>
      <w:pPr>
        <w:ind w:left="1336" w:hanging="360"/>
      </w:pPr>
      <w:rPr>
        <w:rFonts w:hint="default"/>
      </w:rPr>
    </w:lvl>
    <w:lvl w:ilvl="4">
      <w:start w:val="0"/>
      <w:numFmt w:val="bullet"/>
      <w:lvlText w:val="•"/>
      <w:lvlJc w:val="left"/>
      <w:pPr>
        <w:ind w:left="1608" w:hanging="360"/>
      </w:pPr>
      <w:rPr>
        <w:rFonts w:hint="default"/>
      </w:rPr>
    </w:lvl>
    <w:lvl w:ilvl="5">
      <w:start w:val="0"/>
      <w:numFmt w:val="bullet"/>
      <w:lvlText w:val="•"/>
      <w:lvlJc w:val="left"/>
      <w:pPr>
        <w:ind w:left="1880" w:hanging="360"/>
      </w:pPr>
      <w:rPr>
        <w:rFonts w:hint="default"/>
      </w:rPr>
    </w:lvl>
    <w:lvl w:ilvl="6">
      <w:start w:val="0"/>
      <w:numFmt w:val="bullet"/>
      <w:lvlText w:val="•"/>
      <w:lvlJc w:val="left"/>
      <w:pPr>
        <w:ind w:left="2152" w:hanging="360"/>
      </w:pPr>
      <w:rPr>
        <w:rFonts w:hint="default"/>
      </w:rPr>
    </w:lvl>
    <w:lvl w:ilvl="7">
      <w:start w:val="0"/>
      <w:numFmt w:val="bullet"/>
      <w:lvlText w:val="•"/>
      <w:lvlJc w:val="left"/>
      <w:pPr>
        <w:ind w:left="2424" w:hanging="360"/>
      </w:pPr>
      <w:rPr>
        <w:rFonts w:hint="default"/>
      </w:rPr>
    </w:lvl>
    <w:lvl w:ilvl="8">
      <w:start w:val="0"/>
      <w:numFmt w:val="bullet"/>
      <w:lvlText w:val="•"/>
      <w:lvlJc w:val="left"/>
      <w:pPr>
        <w:ind w:left="2696" w:hanging="360"/>
      </w:pPr>
      <w:rPr>
        <w:rFonts w:hint="default"/>
      </w:rPr>
    </w:lvl>
  </w:abstractNum>
  <w:abstractNum w:abstractNumId="96">
    <w:multiLevelType w:val="hybridMultilevel"/>
    <w:lvl w:ilvl="0">
      <w:start w:val="1"/>
      <w:numFmt w:val="decimal"/>
      <w:lvlText w:val="%1."/>
      <w:lvlJc w:val="left"/>
      <w:pPr>
        <w:ind w:left="427" w:hanging="360"/>
        <w:jc w:val="left"/>
      </w:pPr>
      <w:rPr>
        <w:rFonts w:hint="default" w:ascii="微軟正黑體" w:hAnsi="微軟正黑體" w:eastAsia="微軟正黑體" w:cs="微軟正黑體"/>
        <w:spacing w:val="-15"/>
        <w:w w:val="100"/>
        <w:sz w:val="24"/>
        <w:szCs w:val="24"/>
      </w:rPr>
    </w:lvl>
    <w:lvl w:ilvl="1">
      <w:start w:val="0"/>
      <w:numFmt w:val="bullet"/>
      <w:lvlText w:val="•"/>
      <w:lvlJc w:val="left"/>
      <w:pPr>
        <w:ind w:left="744" w:hanging="360"/>
      </w:pPr>
      <w:rPr>
        <w:rFonts w:hint="default"/>
      </w:rPr>
    </w:lvl>
    <w:lvl w:ilvl="2">
      <w:start w:val="0"/>
      <w:numFmt w:val="bullet"/>
      <w:lvlText w:val="•"/>
      <w:lvlJc w:val="left"/>
      <w:pPr>
        <w:ind w:left="1069" w:hanging="360"/>
      </w:pPr>
      <w:rPr>
        <w:rFonts w:hint="default"/>
      </w:rPr>
    </w:lvl>
    <w:lvl w:ilvl="3">
      <w:start w:val="0"/>
      <w:numFmt w:val="bullet"/>
      <w:lvlText w:val="•"/>
      <w:lvlJc w:val="left"/>
      <w:pPr>
        <w:ind w:left="1394" w:hanging="360"/>
      </w:pPr>
      <w:rPr>
        <w:rFonts w:hint="default"/>
      </w:rPr>
    </w:lvl>
    <w:lvl w:ilvl="4">
      <w:start w:val="0"/>
      <w:numFmt w:val="bullet"/>
      <w:lvlText w:val="•"/>
      <w:lvlJc w:val="left"/>
      <w:pPr>
        <w:ind w:left="1718" w:hanging="360"/>
      </w:pPr>
      <w:rPr>
        <w:rFonts w:hint="default"/>
      </w:rPr>
    </w:lvl>
    <w:lvl w:ilvl="5">
      <w:start w:val="0"/>
      <w:numFmt w:val="bullet"/>
      <w:lvlText w:val="•"/>
      <w:lvlJc w:val="left"/>
      <w:pPr>
        <w:ind w:left="2043" w:hanging="360"/>
      </w:pPr>
      <w:rPr>
        <w:rFonts w:hint="default"/>
      </w:rPr>
    </w:lvl>
    <w:lvl w:ilvl="6">
      <w:start w:val="0"/>
      <w:numFmt w:val="bullet"/>
      <w:lvlText w:val="•"/>
      <w:lvlJc w:val="left"/>
      <w:pPr>
        <w:ind w:left="2368" w:hanging="360"/>
      </w:pPr>
      <w:rPr>
        <w:rFonts w:hint="default"/>
      </w:rPr>
    </w:lvl>
    <w:lvl w:ilvl="7">
      <w:start w:val="0"/>
      <w:numFmt w:val="bullet"/>
      <w:lvlText w:val="•"/>
      <w:lvlJc w:val="left"/>
      <w:pPr>
        <w:ind w:left="2692" w:hanging="360"/>
      </w:pPr>
      <w:rPr>
        <w:rFonts w:hint="default"/>
      </w:rPr>
    </w:lvl>
    <w:lvl w:ilvl="8">
      <w:start w:val="0"/>
      <w:numFmt w:val="bullet"/>
      <w:lvlText w:val="•"/>
      <w:lvlJc w:val="left"/>
      <w:pPr>
        <w:ind w:left="3017" w:hanging="360"/>
      </w:pPr>
      <w:rPr>
        <w:rFonts w:hint="default"/>
      </w:rPr>
    </w:lvl>
  </w:abstractNum>
  <w:abstractNum w:abstractNumId="95">
    <w:multiLevelType w:val="hybridMultilevel"/>
    <w:lvl w:ilvl="0">
      <w:start w:val="1"/>
      <w:numFmt w:val="decimal"/>
      <w:lvlText w:val="%1."/>
      <w:lvlJc w:val="left"/>
      <w:pPr>
        <w:ind w:left="364" w:hanging="351"/>
        <w:jc w:val="left"/>
      </w:pPr>
      <w:rPr>
        <w:rFonts w:hint="default" w:ascii="微軟正黑體" w:hAnsi="微軟正黑體" w:eastAsia="微軟正黑體" w:cs="微軟正黑體"/>
        <w:spacing w:val="-17"/>
        <w:w w:val="100"/>
        <w:sz w:val="24"/>
        <w:szCs w:val="24"/>
      </w:rPr>
    </w:lvl>
    <w:lvl w:ilvl="1">
      <w:start w:val="0"/>
      <w:numFmt w:val="bullet"/>
      <w:lvlText w:val="•"/>
      <w:lvlJc w:val="left"/>
      <w:pPr>
        <w:ind w:left="733" w:hanging="351"/>
      </w:pPr>
      <w:rPr>
        <w:rFonts w:hint="default"/>
      </w:rPr>
    </w:lvl>
    <w:lvl w:ilvl="2">
      <w:start w:val="0"/>
      <w:numFmt w:val="bullet"/>
      <w:lvlText w:val="•"/>
      <w:lvlJc w:val="left"/>
      <w:pPr>
        <w:ind w:left="1106" w:hanging="351"/>
      </w:pPr>
      <w:rPr>
        <w:rFonts w:hint="default"/>
      </w:rPr>
    </w:lvl>
    <w:lvl w:ilvl="3">
      <w:start w:val="0"/>
      <w:numFmt w:val="bullet"/>
      <w:lvlText w:val="•"/>
      <w:lvlJc w:val="left"/>
      <w:pPr>
        <w:ind w:left="1479" w:hanging="351"/>
      </w:pPr>
      <w:rPr>
        <w:rFonts w:hint="default"/>
      </w:rPr>
    </w:lvl>
    <w:lvl w:ilvl="4">
      <w:start w:val="0"/>
      <w:numFmt w:val="bullet"/>
      <w:lvlText w:val="•"/>
      <w:lvlJc w:val="left"/>
      <w:pPr>
        <w:ind w:left="1852" w:hanging="351"/>
      </w:pPr>
      <w:rPr>
        <w:rFonts w:hint="default"/>
      </w:rPr>
    </w:lvl>
    <w:lvl w:ilvl="5">
      <w:start w:val="0"/>
      <w:numFmt w:val="bullet"/>
      <w:lvlText w:val="•"/>
      <w:lvlJc w:val="left"/>
      <w:pPr>
        <w:ind w:left="2225" w:hanging="351"/>
      </w:pPr>
      <w:rPr>
        <w:rFonts w:hint="default"/>
      </w:rPr>
    </w:lvl>
    <w:lvl w:ilvl="6">
      <w:start w:val="0"/>
      <w:numFmt w:val="bullet"/>
      <w:lvlText w:val="•"/>
      <w:lvlJc w:val="left"/>
      <w:pPr>
        <w:ind w:left="2598" w:hanging="351"/>
      </w:pPr>
      <w:rPr>
        <w:rFonts w:hint="default"/>
      </w:rPr>
    </w:lvl>
    <w:lvl w:ilvl="7">
      <w:start w:val="0"/>
      <w:numFmt w:val="bullet"/>
      <w:lvlText w:val="•"/>
      <w:lvlJc w:val="left"/>
      <w:pPr>
        <w:ind w:left="2971" w:hanging="351"/>
      </w:pPr>
      <w:rPr>
        <w:rFonts w:hint="default"/>
      </w:rPr>
    </w:lvl>
    <w:lvl w:ilvl="8">
      <w:start w:val="0"/>
      <w:numFmt w:val="bullet"/>
      <w:lvlText w:val="•"/>
      <w:lvlJc w:val="left"/>
      <w:pPr>
        <w:ind w:left="3344" w:hanging="351"/>
      </w:pPr>
      <w:rPr>
        <w:rFonts w:hint="default"/>
      </w:rPr>
    </w:lvl>
  </w:abstractNum>
  <w:abstractNum w:abstractNumId="94">
    <w:multiLevelType w:val="hybridMultilevel"/>
    <w:lvl w:ilvl="0">
      <w:start w:val="1"/>
      <w:numFmt w:val="decimal"/>
      <w:lvlText w:val="%1."/>
      <w:lvlJc w:val="left"/>
      <w:pPr>
        <w:ind w:left="427" w:hanging="285"/>
        <w:jc w:val="left"/>
      </w:pPr>
      <w:rPr>
        <w:rFonts w:hint="default" w:ascii="微軟正黑體" w:hAnsi="微軟正黑體" w:eastAsia="微軟正黑體" w:cs="微軟正黑體"/>
        <w:w w:val="100"/>
        <w:sz w:val="24"/>
        <w:szCs w:val="24"/>
      </w:rPr>
    </w:lvl>
    <w:lvl w:ilvl="1">
      <w:start w:val="0"/>
      <w:numFmt w:val="bullet"/>
      <w:lvlText w:val="•"/>
      <w:lvlJc w:val="left"/>
      <w:pPr>
        <w:ind w:left="645" w:hanging="285"/>
      </w:pPr>
      <w:rPr>
        <w:rFonts w:hint="default"/>
      </w:rPr>
    </w:lvl>
    <w:lvl w:ilvl="2">
      <w:start w:val="0"/>
      <w:numFmt w:val="bullet"/>
      <w:lvlText w:val="•"/>
      <w:lvlJc w:val="left"/>
      <w:pPr>
        <w:ind w:left="871" w:hanging="285"/>
      </w:pPr>
      <w:rPr>
        <w:rFonts w:hint="default"/>
      </w:rPr>
    </w:lvl>
    <w:lvl w:ilvl="3">
      <w:start w:val="0"/>
      <w:numFmt w:val="bullet"/>
      <w:lvlText w:val="•"/>
      <w:lvlJc w:val="left"/>
      <w:pPr>
        <w:ind w:left="1096" w:hanging="285"/>
      </w:pPr>
      <w:rPr>
        <w:rFonts w:hint="default"/>
      </w:rPr>
    </w:lvl>
    <w:lvl w:ilvl="4">
      <w:start w:val="0"/>
      <w:numFmt w:val="bullet"/>
      <w:lvlText w:val="•"/>
      <w:lvlJc w:val="left"/>
      <w:pPr>
        <w:ind w:left="1322" w:hanging="285"/>
      </w:pPr>
      <w:rPr>
        <w:rFonts w:hint="default"/>
      </w:rPr>
    </w:lvl>
    <w:lvl w:ilvl="5">
      <w:start w:val="0"/>
      <w:numFmt w:val="bullet"/>
      <w:lvlText w:val="•"/>
      <w:lvlJc w:val="left"/>
      <w:pPr>
        <w:ind w:left="1548" w:hanging="285"/>
      </w:pPr>
      <w:rPr>
        <w:rFonts w:hint="default"/>
      </w:rPr>
    </w:lvl>
    <w:lvl w:ilvl="6">
      <w:start w:val="0"/>
      <w:numFmt w:val="bullet"/>
      <w:lvlText w:val="•"/>
      <w:lvlJc w:val="left"/>
      <w:pPr>
        <w:ind w:left="1773" w:hanging="285"/>
      </w:pPr>
      <w:rPr>
        <w:rFonts w:hint="default"/>
      </w:rPr>
    </w:lvl>
    <w:lvl w:ilvl="7">
      <w:start w:val="0"/>
      <w:numFmt w:val="bullet"/>
      <w:lvlText w:val="•"/>
      <w:lvlJc w:val="left"/>
      <w:pPr>
        <w:ind w:left="1999" w:hanging="285"/>
      </w:pPr>
      <w:rPr>
        <w:rFonts w:hint="default"/>
      </w:rPr>
    </w:lvl>
    <w:lvl w:ilvl="8">
      <w:start w:val="0"/>
      <w:numFmt w:val="bullet"/>
      <w:lvlText w:val="•"/>
      <w:lvlJc w:val="left"/>
      <w:pPr>
        <w:ind w:left="2224" w:hanging="285"/>
      </w:pPr>
      <w:rPr>
        <w:rFonts w:hint="default"/>
      </w:rPr>
    </w:lvl>
  </w:abstractNum>
  <w:abstractNum w:abstractNumId="93">
    <w:multiLevelType w:val="hybridMultilevel"/>
    <w:lvl w:ilvl="0">
      <w:start w:val="1"/>
      <w:numFmt w:val="decimal"/>
      <w:lvlText w:val="%1."/>
      <w:lvlJc w:val="left"/>
      <w:pPr>
        <w:ind w:left="408" w:hanging="360"/>
        <w:jc w:val="left"/>
      </w:pPr>
      <w:rPr>
        <w:rFonts w:hint="default" w:ascii="微軟正黑體" w:hAnsi="微軟正黑體" w:eastAsia="微軟正黑體" w:cs="微軟正黑體"/>
        <w:spacing w:val="-64"/>
        <w:w w:val="100"/>
        <w:sz w:val="24"/>
        <w:szCs w:val="24"/>
      </w:rPr>
    </w:lvl>
    <w:lvl w:ilvl="1">
      <w:start w:val="0"/>
      <w:numFmt w:val="bullet"/>
      <w:lvlText w:val="•"/>
      <w:lvlJc w:val="left"/>
      <w:pPr>
        <w:ind w:left="769" w:hanging="360"/>
      </w:pPr>
      <w:rPr>
        <w:rFonts w:hint="default"/>
      </w:rPr>
    </w:lvl>
    <w:lvl w:ilvl="2">
      <w:start w:val="0"/>
      <w:numFmt w:val="bullet"/>
      <w:lvlText w:val="•"/>
      <w:lvlJc w:val="left"/>
      <w:pPr>
        <w:ind w:left="1138" w:hanging="360"/>
      </w:pPr>
      <w:rPr>
        <w:rFonts w:hint="default"/>
      </w:rPr>
    </w:lvl>
    <w:lvl w:ilvl="3">
      <w:start w:val="0"/>
      <w:numFmt w:val="bullet"/>
      <w:lvlText w:val="•"/>
      <w:lvlJc w:val="left"/>
      <w:pPr>
        <w:ind w:left="1507" w:hanging="360"/>
      </w:pPr>
      <w:rPr>
        <w:rFonts w:hint="default"/>
      </w:rPr>
    </w:lvl>
    <w:lvl w:ilvl="4">
      <w:start w:val="0"/>
      <w:numFmt w:val="bullet"/>
      <w:lvlText w:val="•"/>
      <w:lvlJc w:val="left"/>
      <w:pPr>
        <w:ind w:left="1876" w:hanging="360"/>
      </w:pPr>
      <w:rPr>
        <w:rFonts w:hint="default"/>
      </w:rPr>
    </w:lvl>
    <w:lvl w:ilvl="5">
      <w:start w:val="0"/>
      <w:numFmt w:val="bullet"/>
      <w:lvlText w:val="•"/>
      <w:lvlJc w:val="left"/>
      <w:pPr>
        <w:ind w:left="2245" w:hanging="360"/>
      </w:pPr>
      <w:rPr>
        <w:rFonts w:hint="default"/>
      </w:rPr>
    </w:lvl>
    <w:lvl w:ilvl="6">
      <w:start w:val="0"/>
      <w:numFmt w:val="bullet"/>
      <w:lvlText w:val="•"/>
      <w:lvlJc w:val="left"/>
      <w:pPr>
        <w:ind w:left="2614" w:hanging="360"/>
      </w:pPr>
      <w:rPr>
        <w:rFonts w:hint="default"/>
      </w:rPr>
    </w:lvl>
    <w:lvl w:ilvl="7">
      <w:start w:val="0"/>
      <w:numFmt w:val="bullet"/>
      <w:lvlText w:val="•"/>
      <w:lvlJc w:val="left"/>
      <w:pPr>
        <w:ind w:left="2983" w:hanging="360"/>
      </w:pPr>
      <w:rPr>
        <w:rFonts w:hint="default"/>
      </w:rPr>
    </w:lvl>
    <w:lvl w:ilvl="8">
      <w:start w:val="0"/>
      <w:numFmt w:val="bullet"/>
      <w:lvlText w:val="•"/>
      <w:lvlJc w:val="left"/>
      <w:pPr>
        <w:ind w:left="3352" w:hanging="360"/>
      </w:pPr>
      <w:rPr>
        <w:rFonts w:hint="default"/>
      </w:rPr>
    </w:lvl>
  </w:abstractNum>
  <w:abstractNum w:abstractNumId="92">
    <w:multiLevelType w:val="hybridMultilevel"/>
    <w:lvl w:ilvl="0">
      <w:start w:val="1"/>
      <w:numFmt w:val="decimal"/>
      <w:lvlText w:val="%1."/>
      <w:lvlJc w:val="left"/>
      <w:pPr>
        <w:ind w:left="401" w:hanging="358"/>
        <w:jc w:val="left"/>
      </w:pPr>
      <w:rPr>
        <w:rFonts w:hint="default" w:ascii="微軟正黑體" w:hAnsi="微軟正黑體" w:eastAsia="微軟正黑體" w:cs="微軟正黑體"/>
        <w:spacing w:val="-17"/>
        <w:w w:val="100"/>
        <w:sz w:val="24"/>
        <w:szCs w:val="24"/>
      </w:rPr>
    </w:lvl>
    <w:lvl w:ilvl="1">
      <w:start w:val="0"/>
      <w:numFmt w:val="bullet"/>
      <w:lvlText w:val="•"/>
      <w:lvlJc w:val="left"/>
      <w:pPr>
        <w:ind w:left="627" w:hanging="358"/>
      </w:pPr>
      <w:rPr>
        <w:rFonts w:hint="default"/>
      </w:rPr>
    </w:lvl>
    <w:lvl w:ilvl="2">
      <w:start w:val="0"/>
      <w:numFmt w:val="bullet"/>
      <w:lvlText w:val="•"/>
      <w:lvlJc w:val="left"/>
      <w:pPr>
        <w:ind w:left="855" w:hanging="358"/>
      </w:pPr>
      <w:rPr>
        <w:rFonts w:hint="default"/>
      </w:rPr>
    </w:lvl>
    <w:lvl w:ilvl="3">
      <w:start w:val="0"/>
      <w:numFmt w:val="bullet"/>
      <w:lvlText w:val="•"/>
      <w:lvlJc w:val="left"/>
      <w:pPr>
        <w:ind w:left="1082" w:hanging="358"/>
      </w:pPr>
      <w:rPr>
        <w:rFonts w:hint="default"/>
      </w:rPr>
    </w:lvl>
    <w:lvl w:ilvl="4">
      <w:start w:val="0"/>
      <w:numFmt w:val="bullet"/>
      <w:lvlText w:val="•"/>
      <w:lvlJc w:val="left"/>
      <w:pPr>
        <w:ind w:left="1310" w:hanging="358"/>
      </w:pPr>
      <w:rPr>
        <w:rFonts w:hint="default"/>
      </w:rPr>
    </w:lvl>
    <w:lvl w:ilvl="5">
      <w:start w:val="0"/>
      <w:numFmt w:val="bullet"/>
      <w:lvlText w:val="•"/>
      <w:lvlJc w:val="left"/>
      <w:pPr>
        <w:ind w:left="1538" w:hanging="358"/>
      </w:pPr>
      <w:rPr>
        <w:rFonts w:hint="default"/>
      </w:rPr>
    </w:lvl>
    <w:lvl w:ilvl="6">
      <w:start w:val="0"/>
      <w:numFmt w:val="bullet"/>
      <w:lvlText w:val="•"/>
      <w:lvlJc w:val="left"/>
      <w:pPr>
        <w:ind w:left="1765" w:hanging="358"/>
      </w:pPr>
      <w:rPr>
        <w:rFonts w:hint="default"/>
      </w:rPr>
    </w:lvl>
    <w:lvl w:ilvl="7">
      <w:start w:val="0"/>
      <w:numFmt w:val="bullet"/>
      <w:lvlText w:val="•"/>
      <w:lvlJc w:val="left"/>
      <w:pPr>
        <w:ind w:left="1993" w:hanging="358"/>
      </w:pPr>
      <w:rPr>
        <w:rFonts w:hint="default"/>
      </w:rPr>
    </w:lvl>
    <w:lvl w:ilvl="8">
      <w:start w:val="0"/>
      <w:numFmt w:val="bullet"/>
      <w:lvlText w:val="•"/>
      <w:lvlJc w:val="left"/>
      <w:pPr>
        <w:ind w:left="2220" w:hanging="358"/>
      </w:pPr>
      <w:rPr>
        <w:rFonts w:hint="default"/>
      </w:rPr>
    </w:lvl>
  </w:abstractNum>
  <w:abstractNum w:abstractNumId="91">
    <w:multiLevelType w:val="hybridMultilevel"/>
    <w:lvl w:ilvl="0">
      <w:start w:val="1"/>
      <w:numFmt w:val="decimal"/>
      <w:lvlText w:val="%1."/>
      <w:lvlJc w:val="left"/>
      <w:pPr>
        <w:ind w:left="401" w:hanging="360"/>
        <w:jc w:val="left"/>
      </w:pPr>
      <w:rPr>
        <w:rFonts w:hint="default" w:ascii="微軟正黑體" w:hAnsi="微軟正黑體" w:eastAsia="微軟正黑體" w:cs="微軟正黑體"/>
        <w:spacing w:val="-15"/>
        <w:w w:val="100"/>
        <w:sz w:val="24"/>
        <w:szCs w:val="24"/>
      </w:rPr>
    </w:lvl>
    <w:lvl w:ilvl="1">
      <w:start w:val="0"/>
      <w:numFmt w:val="bullet"/>
      <w:lvlText w:val="•"/>
      <w:lvlJc w:val="left"/>
      <w:pPr>
        <w:ind w:left="712" w:hanging="360"/>
      </w:pPr>
      <w:rPr>
        <w:rFonts w:hint="default"/>
      </w:rPr>
    </w:lvl>
    <w:lvl w:ilvl="2">
      <w:start w:val="0"/>
      <w:numFmt w:val="bullet"/>
      <w:lvlText w:val="•"/>
      <w:lvlJc w:val="left"/>
      <w:pPr>
        <w:ind w:left="1024" w:hanging="360"/>
      </w:pPr>
      <w:rPr>
        <w:rFonts w:hint="default"/>
      </w:rPr>
    </w:lvl>
    <w:lvl w:ilvl="3">
      <w:start w:val="0"/>
      <w:numFmt w:val="bullet"/>
      <w:lvlText w:val="•"/>
      <w:lvlJc w:val="left"/>
      <w:pPr>
        <w:ind w:left="1336" w:hanging="360"/>
      </w:pPr>
      <w:rPr>
        <w:rFonts w:hint="default"/>
      </w:rPr>
    </w:lvl>
    <w:lvl w:ilvl="4">
      <w:start w:val="0"/>
      <w:numFmt w:val="bullet"/>
      <w:lvlText w:val="•"/>
      <w:lvlJc w:val="left"/>
      <w:pPr>
        <w:ind w:left="1648" w:hanging="360"/>
      </w:pPr>
      <w:rPr>
        <w:rFonts w:hint="default"/>
      </w:rPr>
    </w:lvl>
    <w:lvl w:ilvl="5">
      <w:start w:val="0"/>
      <w:numFmt w:val="bullet"/>
      <w:lvlText w:val="•"/>
      <w:lvlJc w:val="left"/>
      <w:pPr>
        <w:ind w:left="1960" w:hanging="360"/>
      </w:pPr>
      <w:rPr>
        <w:rFonts w:hint="default"/>
      </w:rPr>
    </w:lvl>
    <w:lvl w:ilvl="6">
      <w:start w:val="0"/>
      <w:numFmt w:val="bullet"/>
      <w:lvlText w:val="•"/>
      <w:lvlJc w:val="left"/>
      <w:pPr>
        <w:ind w:left="2272" w:hanging="360"/>
      </w:pPr>
      <w:rPr>
        <w:rFonts w:hint="default"/>
      </w:rPr>
    </w:lvl>
    <w:lvl w:ilvl="7">
      <w:start w:val="0"/>
      <w:numFmt w:val="bullet"/>
      <w:lvlText w:val="•"/>
      <w:lvlJc w:val="left"/>
      <w:pPr>
        <w:ind w:left="2584" w:hanging="360"/>
      </w:pPr>
      <w:rPr>
        <w:rFonts w:hint="default"/>
      </w:rPr>
    </w:lvl>
    <w:lvl w:ilvl="8">
      <w:start w:val="0"/>
      <w:numFmt w:val="bullet"/>
      <w:lvlText w:val="•"/>
      <w:lvlJc w:val="left"/>
      <w:pPr>
        <w:ind w:left="2896" w:hanging="360"/>
      </w:pPr>
      <w:rPr>
        <w:rFonts w:hint="default"/>
      </w:rPr>
    </w:lvl>
  </w:abstractNum>
  <w:abstractNum w:abstractNumId="90">
    <w:multiLevelType w:val="hybridMultilevel"/>
    <w:lvl w:ilvl="0">
      <w:start w:val="1"/>
      <w:numFmt w:val="decimal"/>
      <w:lvlText w:val="%1."/>
      <w:lvlJc w:val="left"/>
      <w:pPr>
        <w:ind w:left="418" w:hanging="375"/>
        <w:jc w:val="left"/>
      </w:pPr>
      <w:rPr>
        <w:rFonts w:hint="default"/>
        <w:spacing w:val="-1"/>
        <w:w w:val="100"/>
      </w:rPr>
    </w:lvl>
    <w:lvl w:ilvl="1">
      <w:start w:val="1"/>
      <w:numFmt w:val="decimal"/>
      <w:lvlText w:val="%2."/>
      <w:lvlJc w:val="left"/>
      <w:pPr>
        <w:ind w:left="526" w:hanging="242"/>
        <w:jc w:val="left"/>
      </w:pPr>
      <w:rPr>
        <w:rFonts w:hint="default" w:ascii="微軟正黑體" w:hAnsi="微軟正黑體" w:eastAsia="微軟正黑體" w:cs="微軟正黑體"/>
        <w:w w:val="100"/>
        <w:sz w:val="24"/>
        <w:szCs w:val="24"/>
      </w:rPr>
    </w:lvl>
    <w:lvl w:ilvl="2">
      <w:start w:val="0"/>
      <w:numFmt w:val="bullet"/>
      <w:lvlText w:val="•"/>
      <w:lvlJc w:val="left"/>
      <w:pPr>
        <w:ind w:left="743" w:hanging="242"/>
      </w:pPr>
      <w:rPr>
        <w:rFonts w:hint="default"/>
      </w:rPr>
    </w:lvl>
    <w:lvl w:ilvl="3">
      <w:start w:val="0"/>
      <w:numFmt w:val="bullet"/>
      <w:lvlText w:val="•"/>
      <w:lvlJc w:val="left"/>
      <w:pPr>
        <w:ind w:left="966" w:hanging="242"/>
      </w:pPr>
      <w:rPr>
        <w:rFonts w:hint="default"/>
      </w:rPr>
    </w:lvl>
    <w:lvl w:ilvl="4">
      <w:start w:val="0"/>
      <w:numFmt w:val="bullet"/>
      <w:lvlText w:val="•"/>
      <w:lvlJc w:val="left"/>
      <w:pPr>
        <w:ind w:left="1189" w:hanging="242"/>
      </w:pPr>
      <w:rPr>
        <w:rFonts w:hint="default"/>
      </w:rPr>
    </w:lvl>
    <w:lvl w:ilvl="5">
      <w:start w:val="0"/>
      <w:numFmt w:val="bullet"/>
      <w:lvlText w:val="•"/>
      <w:lvlJc w:val="left"/>
      <w:pPr>
        <w:ind w:left="1412" w:hanging="242"/>
      </w:pPr>
      <w:rPr>
        <w:rFonts w:hint="default"/>
      </w:rPr>
    </w:lvl>
    <w:lvl w:ilvl="6">
      <w:start w:val="0"/>
      <w:numFmt w:val="bullet"/>
      <w:lvlText w:val="•"/>
      <w:lvlJc w:val="left"/>
      <w:pPr>
        <w:ind w:left="1635" w:hanging="242"/>
      </w:pPr>
      <w:rPr>
        <w:rFonts w:hint="default"/>
      </w:rPr>
    </w:lvl>
    <w:lvl w:ilvl="7">
      <w:start w:val="0"/>
      <w:numFmt w:val="bullet"/>
      <w:lvlText w:val="•"/>
      <w:lvlJc w:val="left"/>
      <w:pPr>
        <w:ind w:left="1858" w:hanging="242"/>
      </w:pPr>
      <w:rPr>
        <w:rFonts w:hint="default"/>
      </w:rPr>
    </w:lvl>
    <w:lvl w:ilvl="8">
      <w:start w:val="0"/>
      <w:numFmt w:val="bullet"/>
      <w:lvlText w:val="•"/>
      <w:lvlJc w:val="left"/>
      <w:pPr>
        <w:ind w:left="2081" w:hanging="242"/>
      </w:pPr>
      <w:rPr>
        <w:rFonts w:hint="default"/>
      </w:rPr>
    </w:lvl>
  </w:abstractNum>
  <w:abstractNum w:abstractNumId="89">
    <w:multiLevelType w:val="hybridMultilevel"/>
    <w:lvl w:ilvl="0">
      <w:start w:val="1"/>
      <w:numFmt w:val="decimal"/>
      <w:lvlText w:val="%1."/>
      <w:lvlJc w:val="left"/>
      <w:pPr>
        <w:ind w:left="401" w:hanging="360"/>
        <w:jc w:val="left"/>
      </w:pPr>
      <w:rPr>
        <w:rFonts w:hint="default"/>
        <w:spacing w:val="-15"/>
        <w:w w:val="100"/>
      </w:rPr>
    </w:lvl>
    <w:lvl w:ilvl="1">
      <w:start w:val="0"/>
      <w:numFmt w:val="bullet"/>
      <w:lvlText w:val="•"/>
      <w:lvlJc w:val="left"/>
      <w:pPr>
        <w:ind w:left="712" w:hanging="360"/>
      </w:pPr>
      <w:rPr>
        <w:rFonts w:hint="default"/>
      </w:rPr>
    </w:lvl>
    <w:lvl w:ilvl="2">
      <w:start w:val="0"/>
      <w:numFmt w:val="bullet"/>
      <w:lvlText w:val="•"/>
      <w:lvlJc w:val="left"/>
      <w:pPr>
        <w:ind w:left="1025" w:hanging="360"/>
      </w:pPr>
      <w:rPr>
        <w:rFonts w:hint="default"/>
      </w:rPr>
    </w:lvl>
    <w:lvl w:ilvl="3">
      <w:start w:val="0"/>
      <w:numFmt w:val="bullet"/>
      <w:lvlText w:val="•"/>
      <w:lvlJc w:val="left"/>
      <w:pPr>
        <w:ind w:left="1337" w:hanging="360"/>
      </w:pPr>
      <w:rPr>
        <w:rFonts w:hint="default"/>
      </w:rPr>
    </w:lvl>
    <w:lvl w:ilvl="4">
      <w:start w:val="0"/>
      <w:numFmt w:val="bullet"/>
      <w:lvlText w:val="•"/>
      <w:lvlJc w:val="left"/>
      <w:pPr>
        <w:ind w:left="1650" w:hanging="360"/>
      </w:pPr>
      <w:rPr>
        <w:rFonts w:hint="default"/>
      </w:rPr>
    </w:lvl>
    <w:lvl w:ilvl="5">
      <w:start w:val="0"/>
      <w:numFmt w:val="bullet"/>
      <w:lvlText w:val="•"/>
      <w:lvlJc w:val="left"/>
      <w:pPr>
        <w:ind w:left="1963" w:hanging="360"/>
      </w:pPr>
      <w:rPr>
        <w:rFonts w:hint="default"/>
      </w:rPr>
    </w:lvl>
    <w:lvl w:ilvl="6">
      <w:start w:val="0"/>
      <w:numFmt w:val="bullet"/>
      <w:lvlText w:val="•"/>
      <w:lvlJc w:val="left"/>
      <w:pPr>
        <w:ind w:left="2275" w:hanging="360"/>
      </w:pPr>
      <w:rPr>
        <w:rFonts w:hint="default"/>
      </w:rPr>
    </w:lvl>
    <w:lvl w:ilvl="7">
      <w:start w:val="0"/>
      <w:numFmt w:val="bullet"/>
      <w:lvlText w:val="•"/>
      <w:lvlJc w:val="left"/>
      <w:pPr>
        <w:ind w:left="2588" w:hanging="360"/>
      </w:pPr>
      <w:rPr>
        <w:rFonts w:hint="default"/>
      </w:rPr>
    </w:lvl>
    <w:lvl w:ilvl="8">
      <w:start w:val="0"/>
      <w:numFmt w:val="bullet"/>
      <w:lvlText w:val="•"/>
      <w:lvlJc w:val="left"/>
      <w:pPr>
        <w:ind w:left="2900" w:hanging="360"/>
      </w:pPr>
      <w:rPr>
        <w:rFonts w:hint="default"/>
      </w:rPr>
    </w:lvl>
  </w:abstractNum>
  <w:abstractNum w:abstractNumId="88">
    <w:multiLevelType w:val="hybridMultilevel"/>
    <w:lvl w:ilvl="0">
      <w:start w:val="1"/>
      <w:numFmt w:val="decimal"/>
      <w:lvlText w:val="%1."/>
      <w:lvlJc w:val="left"/>
      <w:pPr>
        <w:ind w:left="401" w:hanging="358"/>
        <w:jc w:val="left"/>
      </w:pPr>
      <w:rPr>
        <w:rFonts w:hint="default" w:ascii="微軟正黑體" w:hAnsi="微軟正黑體" w:eastAsia="微軟正黑體" w:cs="微軟正黑體"/>
        <w:color w:val="FF0000"/>
        <w:spacing w:val="-17"/>
        <w:w w:val="100"/>
        <w:sz w:val="24"/>
        <w:szCs w:val="24"/>
      </w:rPr>
    </w:lvl>
    <w:lvl w:ilvl="1">
      <w:start w:val="0"/>
      <w:numFmt w:val="bullet"/>
      <w:lvlText w:val="•"/>
      <w:lvlJc w:val="left"/>
      <w:pPr>
        <w:ind w:left="613" w:hanging="358"/>
      </w:pPr>
      <w:rPr>
        <w:rFonts w:hint="default"/>
      </w:rPr>
    </w:lvl>
    <w:lvl w:ilvl="2">
      <w:start w:val="0"/>
      <w:numFmt w:val="bullet"/>
      <w:lvlText w:val="•"/>
      <w:lvlJc w:val="left"/>
      <w:pPr>
        <w:ind w:left="826" w:hanging="358"/>
      </w:pPr>
      <w:rPr>
        <w:rFonts w:hint="default"/>
      </w:rPr>
    </w:lvl>
    <w:lvl w:ilvl="3">
      <w:start w:val="0"/>
      <w:numFmt w:val="bullet"/>
      <w:lvlText w:val="•"/>
      <w:lvlJc w:val="left"/>
      <w:pPr>
        <w:ind w:left="1039" w:hanging="358"/>
      </w:pPr>
      <w:rPr>
        <w:rFonts w:hint="default"/>
      </w:rPr>
    </w:lvl>
    <w:lvl w:ilvl="4">
      <w:start w:val="0"/>
      <w:numFmt w:val="bullet"/>
      <w:lvlText w:val="•"/>
      <w:lvlJc w:val="left"/>
      <w:pPr>
        <w:ind w:left="1253" w:hanging="358"/>
      </w:pPr>
      <w:rPr>
        <w:rFonts w:hint="default"/>
      </w:rPr>
    </w:lvl>
    <w:lvl w:ilvl="5">
      <w:start w:val="0"/>
      <w:numFmt w:val="bullet"/>
      <w:lvlText w:val="•"/>
      <w:lvlJc w:val="left"/>
      <w:pPr>
        <w:ind w:left="1466" w:hanging="358"/>
      </w:pPr>
      <w:rPr>
        <w:rFonts w:hint="default"/>
      </w:rPr>
    </w:lvl>
    <w:lvl w:ilvl="6">
      <w:start w:val="0"/>
      <w:numFmt w:val="bullet"/>
      <w:lvlText w:val="•"/>
      <w:lvlJc w:val="left"/>
      <w:pPr>
        <w:ind w:left="1679" w:hanging="358"/>
      </w:pPr>
      <w:rPr>
        <w:rFonts w:hint="default"/>
      </w:rPr>
    </w:lvl>
    <w:lvl w:ilvl="7">
      <w:start w:val="0"/>
      <w:numFmt w:val="bullet"/>
      <w:lvlText w:val="•"/>
      <w:lvlJc w:val="left"/>
      <w:pPr>
        <w:ind w:left="1893" w:hanging="358"/>
      </w:pPr>
      <w:rPr>
        <w:rFonts w:hint="default"/>
      </w:rPr>
    </w:lvl>
    <w:lvl w:ilvl="8">
      <w:start w:val="0"/>
      <w:numFmt w:val="bullet"/>
      <w:lvlText w:val="•"/>
      <w:lvlJc w:val="left"/>
      <w:pPr>
        <w:ind w:left="2106" w:hanging="358"/>
      </w:pPr>
      <w:rPr>
        <w:rFonts w:hint="default"/>
      </w:rPr>
    </w:lvl>
  </w:abstractNum>
  <w:abstractNum w:abstractNumId="87">
    <w:multiLevelType w:val="hybridMultilevel"/>
    <w:lvl w:ilvl="0">
      <w:start w:val="1"/>
      <w:numFmt w:val="decimal"/>
      <w:lvlText w:val="%1."/>
      <w:lvlJc w:val="left"/>
      <w:pPr>
        <w:ind w:left="461" w:hanging="302"/>
        <w:jc w:val="left"/>
      </w:pPr>
      <w:rPr>
        <w:rFonts w:hint="default" w:ascii="微軟正黑體" w:hAnsi="微軟正黑體" w:eastAsia="微軟正黑體" w:cs="微軟正黑體"/>
        <w:spacing w:val="-1"/>
        <w:w w:val="100"/>
        <w:sz w:val="23"/>
        <w:szCs w:val="23"/>
      </w:rPr>
    </w:lvl>
    <w:lvl w:ilvl="1">
      <w:start w:val="1"/>
      <w:numFmt w:val="decimal"/>
      <w:lvlText w:val="%2."/>
      <w:lvlJc w:val="left"/>
      <w:pPr>
        <w:ind w:left="1113" w:hanging="426"/>
        <w:jc w:val="left"/>
      </w:pPr>
      <w:rPr>
        <w:rFonts w:hint="default" w:ascii="微軟正黑體" w:hAnsi="微軟正黑體" w:eastAsia="微軟正黑體" w:cs="微軟正黑體"/>
        <w:color w:val="FF0000"/>
        <w:spacing w:val="-2"/>
        <w:w w:val="100"/>
        <w:sz w:val="24"/>
        <w:szCs w:val="24"/>
      </w:rPr>
    </w:lvl>
    <w:lvl w:ilvl="2">
      <w:start w:val="1"/>
      <w:numFmt w:val="decimal"/>
      <w:lvlText w:val="%3."/>
      <w:lvlJc w:val="left"/>
      <w:pPr>
        <w:ind w:left="1742" w:hanging="230"/>
        <w:jc w:val="left"/>
      </w:pPr>
      <w:rPr>
        <w:rFonts w:hint="default" w:ascii="微軟正黑體" w:hAnsi="微軟正黑體" w:eastAsia="微軟正黑體" w:cs="微軟正黑體"/>
        <w:spacing w:val="-1"/>
        <w:w w:val="100"/>
        <w:sz w:val="23"/>
        <w:szCs w:val="23"/>
      </w:rPr>
    </w:lvl>
    <w:lvl w:ilvl="3">
      <w:start w:val="0"/>
      <w:numFmt w:val="bullet"/>
      <w:lvlText w:val="•"/>
      <w:lvlJc w:val="left"/>
      <w:pPr>
        <w:ind w:left="2103" w:hanging="230"/>
      </w:pPr>
      <w:rPr>
        <w:rFonts w:hint="default"/>
      </w:rPr>
    </w:lvl>
    <w:lvl w:ilvl="4">
      <w:start w:val="0"/>
      <w:numFmt w:val="bullet"/>
      <w:lvlText w:val="•"/>
      <w:lvlJc w:val="left"/>
      <w:pPr>
        <w:ind w:left="2467" w:hanging="230"/>
      </w:pPr>
      <w:rPr>
        <w:rFonts w:hint="default"/>
      </w:rPr>
    </w:lvl>
    <w:lvl w:ilvl="5">
      <w:start w:val="0"/>
      <w:numFmt w:val="bullet"/>
      <w:lvlText w:val="•"/>
      <w:lvlJc w:val="left"/>
      <w:pPr>
        <w:ind w:left="2831" w:hanging="230"/>
      </w:pPr>
      <w:rPr>
        <w:rFonts w:hint="default"/>
      </w:rPr>
    </w:lvl>
    <w:lvl w:ilvl="6">
      <w:start w:val="0"/>
      <w:numFmt w:val="bullet"/>
      <w:lvlText w:val="•"/>
      <w:lvlJc w:val="left"/>
      <w:pPr>
        <w:ind w:left="3194" w:hanging="230"/>
      </w:pPr>
      <w:rPr>
        <w:rFonts w:hint="default"/>
      </w:rPr>
    </w:lvl>
    <w:lvl w:ilvl="7">
      <w:start w:val="0"/>
      <w:numFmt w:val="bullet"/>
      <w:lvlText w:val="•"/>
      <w:lvlJc w:val="left"/>
      <w:pPr>
        <w:ind w:left="3558" w:hanging="230"/>
      </w:pPr>
      <w:rPr>
        <w:rFonts w:hint="default"/>
      </w:rPr>
    </w:lvl>
    <w:lvl w:ilvl="8">
      <w:start w:val="0"/>
      <w:numFmt w:val="bullet"/>
      <w:lvlText w:val="•"/>
      <w:lvlJc w:val="left"/>
      <w:pPr>
        <w:ind w:left="3922" w:hanging="230"/>
      </w:pPr>
      <w:rPr>
        <w:rFonts w:hint="default"/>
      </w:rPr>
    </w:lvl>
  </w:abstractNum>
  <w:abstractNum w:abstractNumId="86">
    <w:multiLevelType w:val="hybridMultilevel"/>
    <w:lvl w:ilvl="0">
      <w:start w:val="1"/>
      <w:numFmt w:val="decimal"/>
      <w:lvlText w:val="%1."/>
      <w:lvlJc w:val="left"/>
      <w:pPr>
        <w:ind w:left="946" w:hanging="403"/>
        <w:jc w:val="left"/>
      </w:pPr>
      <w:rPr>
        <w:rFonts w:hint="default"/>
        <w:spacing w:val="-28"/>
        <w:w w:val="100"/>
      </w:rPr>
    </w:lvl>
    <w:lvl w:ilvl="1">
      <w:start w:val="0"/>
      <w:numFmt w:val="bullet"/>
      <w:lvlText w:val="•"/>
      <w:lvlJc w:val="left"/>
      <w:pPr>
        <w:ind w:left="1952" w:hanging="403"/>
      </w:pPr>
      <w:rPr>
        <w:rFonts w:hint="default"/>
      </w:rPr>
    </w:lvl>
    <w:lvl w:ilvl="2">
      <w:start w:val="0"/>
      <w:numFmt w:val="bullet"/>
      <w:lvlText w:val="•"/>
      <w:lvlJc w:val="left"/>
      <w:pPr>
        <w:ind w:left="2965" w:hanging="403"/>
      </w:pPr>
      <w:rPr>
        <w:rFonts w:hint="default"/>
      </w:rPr>
    </w:lvl>
    <w:lvl w:ilvl="3">
      <w:start w:val="0"/>
      <w:numFmt w:val="bullet"/>
      <w:lvlText w:val="•"/>
      <w:lvlJc w:val="left"/>
      <w:pPr>
        <w:ind w:left="3978" w:hanging="403"/>
      </w:pPr>
      <w:rPr>
        <w:rFonts w:hint="default"/>
      </w:rPr>
    </w:lvl>
    <w:lvl w:ilvl="4">
      <w:start w:val="0"/>
      <w:numFmt w:val="bullet"/>
      <w:lvlText w:val="•"/>
      <w:lvlJc w:val="left"/>
      <w:pPr>
        <w:ind w:left="4990" w:hanging="403"/>
      </w:pPr>
      <w:rPr>
        <w:rFonts w:hint="default"/>
      </w:rPr>
    </w:lvl>
    <w:lvl w:ilvl="5">
      <w:start w:val="0"/>
      <w:numFmt w:val="bullet"/>
      <w:lvlText w:val="•"/>
      <w:lvlJc w:val="left"/>
      <w:pPr>
        <w:ind w:left="6003" w:hanging="403"/>
      </w:pPr>
      <w:rPr>
        <w:rFonts w:hint="default"/>
      </w:rPr>
    </w:lvl>
    <w:lvl w:ilvl="6">
      <w:start w:val="0"/>
      <w:numFmt w:val="bullet"/>
      <w:lvlText w:val="•"/>
      <w:lvlJc w:val="left"/>
      <w:pPr>
        <w:ind w:left="7016" w:hanging="403"/>
      </w:pPr>
      <w:rPr>
        <w:rFonts w:hint="default"/>
      </w:rPr>
    </w:lvl>
    <w:lvl w:ilvl="7">
      <w:start w:val="0"/>
      <w:numFmt w:val="bullet"/>
      <w:lvlText w:val="•"/>
      <w:lvlJc w:val="left"/>
      <w:pPr>
        <w:ind w:left="8029" w:hanging="403"/>
      </w:pPr>
      <w:rPr>
        <w:rFonts w:hint="default"/>
      </w:rPr>
    </w:lvl>
    <w:lvl w:ilvl="8">
      <w:start w:val="0"/>
      <w:numFmt w:val="bullet"/>
      <w:lvlText w:val="•"/>
      <w:lvlJc w:val="left"/>
      <w:pPr>
        <w:ind w:left="9041" w:hanging="403"/>
      </w:pPr>
      <w:rPr>
        <w:rFonts w:hint="default"/>
      </w:rPr>
    </w:lvl>
  </w:abstractNum>
  <w:abstractNum w:abstractNumId="85">
    <w:multiLevelType w:val="hybridMultilevel"/>
    <w:lvl w:ilvl="0">
      <w:start w:val="5"/>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84">
    <w:multiLevelType w:val="hybridMultilevel"/>
    <w:lvl w:ilvl="0">
      <w:start w:val="4"/>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83">
    <w:multiLevelType w:val="hybridMultilevel"/>
    <w:lvl w:ilvl="0">
      <w:start w:val="3"/>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82">
    <w:multiLevelType w:val="hybridMultilevel"/>
    <w:lvl w:ilvl="0">
      <w:start w:val="2"/>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7"/>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81">
    <w:multiLevelType w:val="hybridMultilevel"/>
    <w:lvl w:ilvl="0">
      <w:start w:val="5"/>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spacing w:val="-20"/>
        <w:w w:val="100"/>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80">
    <w:multiLevelType w:val="hybridMultilevel"/>
    <w:lvl w:ilvl="0">
      <w:start w:val="4"/>
      <w:numFmt w:val="decimal"/>
      <w:lvlText w:val="%1"/>
      <w:lvlJc w:val="left"/>
      <w:pPr>
        <w:ind w:left="1449" w:hanging="488"/>
        <w:jc w:val="left"/>
      </w:pPr>
      <w:rPr>
        <w:rFonts w:hint="default"/>
      </w:rPr>
    </w:lvl>
    <w:lvl w:ilvl="1">
      <w:start w:val="2"/>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79">
    <w:multiLevelType w:val="hybridMultilevel"/>
    <w:lvl w:ilvl="0">
      <w:start w:val="2"/>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78">
    <w:multiLevelType w:val="hybridMultilevel"/>
    <w:lvl w:ilvl="0">
      <w:start w:val="5"/>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77">
    <w:multiLevelType w:val="hybridMultilevel"/>
    <w:lvl w:ilvl="0">
      <w:start w:val="4"/>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76">
    <w:multiLevelType w:val="hybridMultilevel"/>
    <w:lvl w:ilvl="0">
      <w:start w:val="3"/>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75">
    <w:multiLevelType w:val="hybridMultilevel"/>
    <w:lvl w:ilvl="0">
      <w:start w:val="2"/>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74">
    <w:multiLevelType w:val="hybridMultilevel"/>
    <w:lvl w:ilvl="0">
      <w:start w:val="5"/>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73">
    <w:multiLevelType w:val="hybridMultilevel"/>
    <w:lvl w:ilvl="0">
      <w:start w:val="4"/>
      <w:numFmt w:val="decimal"/>
      <w:lvlText w:val="%1"/>
      <w:lvlJc w:val="left"/>
      <w:pPr>
        <w:ind w:left="1461" w:hanging="489"/>
        <w:jc w:val="left"/>
      </w:pPr>
      <w:rPr>
        <w:rFonts w:hint="default"/>
      </w:rPr>
    </w:lvl>
    <w:lvl w:ilvl="1">
      <w:start w:val="1"/>
      <w:numFmt w:val="decimal"/>
      <w:lvlText w:val="%1-%2"/>
      <w:lvlJc w:val="left"/>
      <w:pPr>
        <w:ind w:left="1461"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381" w:hanging="489"/>
      </w:pPr>
      <w:rPr>
        <w:rFonts w:hint="default"/>
      </w:rPr>
    </w:lvl>
    <w:lvl w:ilvl="3">
      <w:start w:val="0"/>
      <w:numFmt w:val="bullet"/>
      <w:lvlText w:val="•"/>
      <w:lvlJc w:val="left"/>
      <w:pPr>
        <w:ind w:left="4342" w:hanging="489"/>
      </w:pPr>
      <w:rPr>
        <w:rFonts w:hint="default"/>
      </w:rPr>
    </w:lvl>
    <w:lvl w:ilvl="4">
      <w:start w:val="0"/>
      <w:numFmt w:val="bullet"/>
      <w:lvlText w:val="•"/>
      <w:lvlJc w:val="left"/>
      <w:pPr>
        <w:ind w:left="5302" w:hanging="489"/>
      </w:pPr>
      <w:rPr>
        <w:rFonts w:hint="default"/>
      </w:rPr>
    </w:lvl>
    <w:lvl w:ilvl="5">
      <w:start w:val="0"/>
      <w:numFmt w:val="bullet"/>
      <w:lvlText w:val="•"/>
      <w:lvlJc w:val="left"/>
      <w:pPr>
        <w:ind w:left="6263" w:hanging="489"/>
      </w:pPr>
      <w:rPr>
        <w:rFonts w:hint="default"/>
      </w:rPr>
    </w:lvl>
    <w:lvl w:ilvl="6">
      <w:start w:val="0"/>
      <w:numFmt w:val="bullet"/>
      <w:lvlText w:val="•"/>
      <w:lvlJc w:val="left"/>
      <w:pPr>
        <w:ind w:left="7224" w:hanging="489"/>
      </w:pPr>
      <w:rPr>
        <w:rFonts w:hint="default"/>
      </w:rPr>
    </w:lvl>
    <w:lvl w:ilvl="7">
      <w:start w:val="0"/>
      <w:numFmt w:val="bullet"/>
      <w:lvlText w:val="•"/>
      <w:lvlJc w:val="left"/>
      <w:pPr>
        <w:ind w:left="8185" w:hanging="489"/>
      </w:pPr>
      <w:rPr>
        <w:rFonts w:hint="default"/>
      </w:rPr>
    </w:lvl>
    <w:lvl w:ilvl="8">
      <w:start w:val="0"/>
      <w:numFmt w:val="bullet"/>
      <w:lvlText w:val="•"/>
      <w:lvlJc w:val="left"/>
      <w:pPr>
        <w:ind w:left="9145" w:hanging="489"/>
      </w:pPr>
      <w:rPr>
        <w:rFonts w:hint="default"/>
      </w:rPr>
    </w:lvl>
  </w:abstractNum>
  <w:abstractNum w:abstractNumId="72">
    <w:multiLevelType w:val="hybridMultilevel"/>
    <w:lvl w:ilvl="0">
      <w:start w:val="3"/>
      <w:numFmt w:val="decimal"/>
      <w:lvlText w:val="%1"/>
      <w:lvlJc w:val="left"/>
      <w:pPr>
        <w:ind w:left="1461" w:hanging="489"/>
        <w:jc w:val="left"/>
      </w:pPr>
      <w:rPr>
        <w:rFonts w:hint="default"/>
      </w:rPr>
    </w:lvl>
    <w:lvl w:ilvl="1">
      <w:start w:val="1"/>
      <w:numFmt w:val="decimal"/>
      <w:lvlText w:val="%1-%2"/>
      <w:lvlJc w:val="left"/>
      <w:pPr>
        <w:ind w:left="1461"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381" w:hanging="489"/>
      </w:pPr>
      <w:rPr>
        <w:rFonts w:hint="default"/>
      </w:rPr>
    </w:lvl>
    <w:lvl w:ilvl="3">
      <w:start w:val="0"/>
      <w:numFmt w:val="bullet"/>
      <w:lvlText w:val="•"/>
      <w:lvlJc w:val="left"/>
      <w:pPr>
        <w:ind w:left="4342" w:hanging="489"/>
      </w:pPr>
      <w:rPr>
        <w:rFonts w:hint="default"/>
      </w:rPr>
    </w:lvl>
    <w:lvl w:ilvl="4">
      <w:start w:val="0"/>
      <w:numFmt w:val="bullet"/>
      <w:lvlText w:val="•"/>
      <w:lvlJc w:val="left"/>
      <w:pPr>
        <w:ind w:left="5302" w:hanging="489"/>
      </w:pPr>
      <w:rPr>
        <w:rFonts w:hint="default"/>
      </w:rPr>
    </w:lvl>
    <w:lvl w:ilvl="5">
      <w:start w:val="0"/>
      <w:numFmt w:val="bullet"/>
      <w:lvlText w:val="•"/>
      <w:lvlJc w:val="left"/>
      <w:pPr>
        <w:ind w:left="6263" w:hanging="489"/>
      </w:pPr>
      <w:rPr>
        <w:rFonts w:hint="default"/>
      </w:rPr>
    </w:lvl>
    <w:lvl w:ilvl="6">
      <w:start w:val="0"/>
      <w:numFmt w:val="bullet"/>
      <w:lvlText w:val="•"/>
      <w:lvlJc w:val="left"/>
      <w:pPr>
        <w:ind w:left="7224" w:hanging="489"/>
      </w:pPr>
      <w:rPr>
        <w:rFonts w:hint="default"/>
      </w:rPr>
    </w:lvl>
    <w:lvl w:ilvl="7">
      <w:start w:val="0"/>
      <w:numFmt w:val="bullet"/>
      <w:lvlText w:val="•"/>
      <w:lvlJc w:val="left"/>
      <w:pPr>
        <w:ind w:left="8185" w:hanging="489"/>
      </w:pPr>
      <w:rPr>
        <w:rFonts w:hint="default"/>
      </w:rPr>
    </w:lvl>
    <w:lvl w:ilvl="8">
      <w:start w:val="0"/>
      <w:numFmt w:val="bullet"/>
      <w:lvlText w:val="•"/>
      <w:lvlJc w:val="left"/>
      <w:pPr>
        <w:ind w:left="9145" w:hanging="489"/>
      </w:pPr>
      <w:rPr>
        <w:rFonts w:hint="default"/>
      </w:rPr>
    </w:lvl>
  </w:abstractNum>
  <w:abstractNum w:abstractNumId="71">
    <w:multiLevelType w:val="hybridMultilevel"/>
    <w:lvl w:ilvl="0">
      <w:start w:val="2"/>
      <w:numFmt w:val="decimal"/>
      <w:lvlText w:val="%1"/>
      <w:lvlJc w:val="left"/>
      <w:pPr>
        <w:ind w:left="1461" w:hanging="489"/>
        <w:jc w:val="left"/>
      </w:pPr>
      <w:rPr>
        <w:rFonts w:hint="default"/>
      </w:rPr>
    </w:lvl>
    <w:lvl w:ilvl="1">
      <w:start w:val="1"/>
      <w:numFmt w:val="decimal"/>
      <w:lvlText w:val="%1-%2"/>
      <w:lvlJc w:val="left"/>
      <w:pPr>
        <w:ind w:left="1461" w:hanging="489"/>
        <w:jc w:val="left"/>
      </w:pPr>
      <w:rPr>
        <w:rFonts w:hint="default" w:ascii="微軟正黑體" w:hAnsi="微軟正黑體" w:eastAsia="微軟正黑體" w:cs="微軟正黑體"/>
        <w:spacing w:val="-37"/>
        <w:w w:val="100"/>
        <w:sz w:val="24"/>
        <w:szCs w:val="24"/>
      </w:rPr>
    </w:lvl>
    <w:lvl w:ilvl="2">
      <w:start w:val="0"/>
      <w:numFmt w:val="bullet"/>
      <w:lvlText w:val="•"/>
      <w:lvlJc w:val="left"/>
      <w:pPr>
        <w:ind w:left="2971" w:hanging="489"/>
      </w:pPr>
      <w:rPr>
        <w:rFonts w:hint="default"/>
      </w:rPr>
    </w:lvl>
    <w:lvl w:ilvl="3">
      <w:start w:val="0"/>
      <w:numFmt w:val="bullet"/>
      <w:lvlText w:val="•"/>
      <w:lvlJc w:val="left"/>
      <w:pPr>
        <w:ind w:left="3983" w:hanging="489"/>
      </w:pPr>
      <w:rPr>
        <w:rFonts w:hint="default"/>
      </w:rPr>
    </w:lvl>
    <w:lvl w:ilvl="4">
      <w:start w:val="0"/>
      <w:numFmt w:val="bullet"/>
      <w:lvlText w:val="•"/>
      <w:lvlJc w:val="left"/>
      <w:pPr>
        <w:ind w:left="4995" w:hanging="489"/>
      </w:pPr>
      <w:rPr>
        <w:rFonts w:hint="default"/>
      </w:rPr>
    </w:lvl>
    <w:lvl w:ilvl="5">
      <w:start w:val="0"/>
      <w:numFmt w:val="bullet"/>
      <w:lvlText w:val="•"/>
      <w:lvlJc w:val="left"/>
      <w:pPr>
        <w:ind w:left="6007" w:hanging="489"/>
      </w:pPr>
      <w:rPr>
        <w:rFonts w:hint="default"/>
      </w:rPr>
    </w:lvl>
    <w:lvl w:ilvl="6">
      <w:start w:val="0"/>
      <w:numFmt w:val="bullet"/>
      <w:lvlText w:val="•"/>
      <w:lvlJc w:val="left"/>
      <w:pPr>
        <w:ind w:left="7019" w:hanging="489"/>
      </w:pPr>
      <w:rPr>
        <w:rFonts w:hint="default"/>
      </w:rPr>
    </w:lvl>
    <w:lvl w:ilvl="7">
      <w:start w:val="0"/>
      <w:numFmt w:val="bullet"/>
      <w:lvlText w:val="•"/>
      <w:lvlJc w:val="left"/>
      <w:pPr>
        <w:ind w:left="8031" w:hanging="489"/>
      </w:pPr>
      <w:rPr>
        <w:rFonts w:hint="default"/>
      </w:rPr>
    </w:lvl>
    <w:lvl w:ilvl="8">
      <w:start w:val="0"/>
      <w:numFmt w:val="bullet"/>
      <w:lvlText w:val="•"/>
      <w:lvlJc w:val="left"/>
      <w:pPr>
        <w:ind w:left="9043" w:hanging="489"/>
      </w:pPr>
      <w:rPr>
        <w:rFonts w:hint="default"/>
      </w:rPr>
    </w:lvl>
  </w:abstractNum>
  <w:abstractNum w:abstractNumId="70">
    <w:multiLevelType w:val="hybridMultilevel"/>
    <w:lvl w:ilvl="0">
      <w:start w:val="6"/>
      <w:numFmt w:val="decimal"/>
      <w:lvlText w:val="%1"/>
      <w:lvlJc w:val="left"/>
      <w:pPr>
        <w:ind w:left="1461" w:hanging="489"/>
        <w:jc w:val="left"/>
      </w:pPr>
      <w:rPr>
        <w:rFonts w:hint="default"/>
      </w:rPr>
    </w:lvl>
    <w:lvl w:ilvl="1">
      <w:start w:val="1"/>
      <w:numFmt w:val="decimal"/>
      <w:lvlText w:val="%1-%2"/>
      <w:lvlJc w:val="left"/>
      <w:pPr>
        <w:ind w:left="1461"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381" w:hanging="489"/>
      </w:pPr>
      <w:rPr>
        <w:rFonts w:hint="default"/>
      </w:rPr>
    </w:lvl>
    <w:lvl w:ilvl="3">
      <w:start w:val="0"/>
      <w:numFmt w:val="bullet"/>
      <w:lvlText w:val="•"/>
      <w:lvlJc w:val="left"/>
      <w:pPr>
        <w:ind w:left="4342" w:hanging="489"/>
      </w:pPr>
      <w:rPr>
        <w:rFonts w:hint="default"/>
      </w:rPr>
    </w:lvl>
    <w:lvl w:ilvl="4">
      <w:start w:val="0"/>
      <w:numFmt w:val="bullet"/>
      <w:lvlText w:val="•"/>
      <w:lvlJc w:val="left"/>
      <w:pPr>
        <w:ind w:left="5302" w:hanging="489"/>
      </w:pPr>
      <w:rPr>
        <w:rFonts w:hint="default"/>
      </w:rPr>
    </w:lvl>
    <w:lvl w:ilvl="5">
      <w:start w:val="0"/>
      <w:numFmt w:val="bullet"/>
      <w:lvlText w:val="•"/>
      <w:lvlJc w:val="left"/>
      <w:pPr>
        <w:ind w:left="6263" w:hanging="489"/>
      </w:pPr>
      <w:rPr>
        <w:rFonts w:hint="default"/>
      </w:rPr>
    </w:lvl>
    <w:lvl w:ilvl="6">
      <w:start w:val="0"/>
      <w:numFmt w:val="bullet"/>
      <w:lvlText w:val="•"/>
      <w:lvlJc w:val="left"/>
      <w:pPr>
        <w:ind w:left="7224" w:hanging="489"/>
      </w:pPr>
      <w:rPr>
        <w:rFonts w:hint="default"/>
      </w:rPr>
    </w:lvl>
    <w:lvl w:ilvl="7">
      <w:start w:val="0"/>
      <w:numFmt w:val="bullet"/>
      <w:lvlText w:val="•"/>
      <w:lvlJc w:val="left"/>
      <w:pPr>
        <w:ind w:left="8185" w:hanging="489"/>
      </w:pPr>
      <w:rPr>
        <w:rFonts w:hint="default"/>
      </w:rPr>
    </w:lvl>
    <w:lvl w:ilvl="8">
      <w:start w:val="0"/>
      <w:numFmt w:val="bullet"/>
      <w:lvlText w:val="•"/>
      <w:lvlJc w:val="left"/>
      <w:pPr>
        <w:ind w:left="9145" w:hanging="489"/>
      </w:pPr>
      <w:rPr>
        <w:rFonts w:hint="default"/>
      </w:rPr>
    </w:lvl>
  </w:abstractNum>
  <w:abstractNum w:abstractNumId="69">
    <w:multiLevelType w:val="hybridMultilevel"/>
    <w:lvl w:ilvl="0">
      <w:start w:val="5"/>
      <w:numFmt w:val="decimal"/>
      <w:lvlText w:val="%1"/>
      <w:lvlJc w:val="left"/>
      <w:pPr>
        <w:ind w:left="1461" w:hanging="489"/>
        <w:jc w:val="left"/>
      </w:pPr>
      <w:rPr>
        <w:rFonts w:hint="default"/>
      </w:rPr>
    </w:lvl>
    <w:lvl w:ilvl="1">
      <w:start w:val="4"/>
      <w:numFmt w:val="decimal"/>
      <w:lvlText w:val="%1-%2"/>
      <w:lvlJc w:val="left"/>
      <w:pPr>
        <w:ind w:left="1461" w:hanging="489"/>
        <w:jc w:val="left"/>
      </w:pPr>
      <w:rPr>
        <w:rFonts w:hint="default"/>
        <w:spacing w:val="-18"/>
        <w:w w:val="100"/>
      </w:rPr>
    </w:lvl>
    <w:lvl w:ilvl="2">
      <w:start w:val="0"/>
      <w:numFmt w:val="bullet"/>
      <w:lvlText w:val="•"/>
      <w:lvlJc w:val="left"/>
      <w:pPr>
        <w:ind w:left="3381" w:hanging="489"/>
      </w:pPr>
      <w:rPr>
        <w:rFonts w:hint="default"/>
      </w:rPr>
    </w:lvl>
    <w:lvl w:ilvl="3">
      <w:start w:val="0"/>
      <w:numFmt w:val="bullet"/>
      <w:lvlText w:val="•"/>
      <w:lvlJc w:val="left"/>
      <w:pPr>
        <w:ind w:left="4342" w:hanging="489"/>
      </w:pPr>
      <w:rPr>
        <w:rFonts w:hint="default"/>
      </w:rPr>
    </w:lvl>
    <w:lvl w:ilvl="4">
      <w:start w:val="0"/>
      <w:numFmt w:val="bullet"/>
      <w:lvlText w:val="•"/>
      <w:lvlJc w:val="left"/>
      <w:pPr>
        <w:ind w:left="5302" w:hanging="489"/>
      </w:pPr>
      <w:rPr>
        <w:rFonts w:hint="default"/>
      </w:rPr>
    </w:lvl>
    <w:lvl w:ilvl="5">
      <w:start w:val="0"/>
      <w:numFmt w:val="bullet"/>
      <w:lvlText w:val="•"/>
      <w:lvlJc w:val="left"/>
      <w:pPr>
        <w:ind w:left="6263" w:hanging="489"/>
      </w:pPr>
      <w:rPr>
        <w:rFonts w:hint="default"/>
      </w:rPr>
    </w:lvl>
    <w:lvl w:ilvl="6">
      <w:start w:val="0"/>
      <w:numFmt w:val="bullet"/>
      <w:lvlText w:val="•"/>
      <w:lvlJc w:val="left"/>
      <w:pPr>
        <w:ind w:left="7224" w:hanging="489"/>
      </w:pPr>
      <w:rPr>
        <w:rFonts w:hint="default"/>
      </w:rPr>
    </w:lvl>
    <w:lvl w:ilvl="7">
      <w:start w:val="0"/>
      <w:numFmt w:val="bullet"/>
      <w:lvlText w:val="•"/>
      <w:lvlJc w:val="left"/>
      <w:pPr>
        <w:ind w:left="8185" w:hanging="489"/>
      </w:pPr>
      <w:rPr>
        <w:rFonts w:hint="default"/>
      </w:rPr>
    </w:lvl>
    <w:lvl w:ilvl="8">
      <w:start w:val="0"/>
      <w:numFmt w:val="bullet"/>
      <w:lvlText w:val="•"/>
      <w:lvlJc w:val="left"/>
      <w:pPr>
        <w:ind w:left="9145" w:hanging="489"/>
      </w:pPr>
      <w:rPr>
        <w:rFonts w:hint="default"/>
      </w:rPr>
    </w:lvl>
  </w:abstractNum>
  <w:abstractNum w:abstractNumId="68">
    <w:multiLevelType w:val="hybridMultilevel"/>
    <w:lvl w:ilvl="0">
      <w:start w:val="5"/>
      <w:numFmt w:val="decimal"/>
      <w:lvlText w:val="%1"/>
      <w:lvlJc w:val="left"/>
      <w:pPr>
        <w:ind w:left="1461" w:hanging="489"/>
        <w:jc w:val="left"/>
      </w:pPr>
      <w:rPr>
        <w:rFonts w:hint="default"/>
      </w:rPr>
    </w:lvl>
    <w:lvl w:ilvl="1">
      <w:start w:val="1"/>
      <w:numFmt w:val="decimal"/>
      <w:lvlText w:val="%1-%2"/>
      <w:lvlJc w:val="left"/>
      <w:pPr>
        <w:ind w:left="1461"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381" w:hanging="489"/>
      </w:pPr>
      <w:rPr>
        <w:rFonts w:hint="default"/>
      </w:rPr>
    </w:lvl>
    <w:lvl w:ilvl="3">
      <w:start w:val="0"/>
      <w:numFmt w:val="bullet"/>
      <w:lvlText w:val="•"/>
      <w:lvlJc w:val="left"/>
      <w:pPr>
        <w:ind w:left="4342" w:hanging="489"/>
      </w:pPr>
      <w:rPr>
        <w:rFonts w:hint="default"/>
      </w:rPr>
    </w:lvl>
    <w:lvl w:ilvl="4">
      <w:start w:val="0"/>
      <w:numFmt w:val="bullet"/>
      <w:lvlText w:val="•"/>
      <w:lvlJc w:val="left"/>
      <w:pPr>
        <w:ind w:left="5302" w:hanging="489"/>
      </w:pPr>
      <w:rPr>
        <w:rFonts w:hint="default"/>
      </w:rPr>
    </w:lvl>
    <w:lvl w:ilvl="5">
      <w:start w:val="0"/>
      <w:numFmt w:val="bullet"/>
      <w:lvlText w:val="•"/>
      <w:lvlJc w:val="left"/>
      <w:pPr>
        <w:ind w:left="6263" w:hanging="489"/>
      </w:pPr>
      <w:rPr>
        <w:rFonts w:hint="default"/>
      </w:rPr>
    </w:lvl>
    <w:lvl w:ilvl="6">
      <w:start w:val="0"/>
      <w:numFmt w:val="bullet"/>
      <w:lvlText w:val="•"/>
      <w:lvlJc w:val="left"/>
      <w:pPr>
        <w:ind w:left="7224" w:hanging="489"/>
      </w:pPr>
      <w:rPr>
        <w:rFonts w:hint="default"/>
      </w:rPr>
    </w:lvl>
    <w:lvl w:ilvl="7">
      <w:start w:val="0"/>
      <w:numFmt w:val="bullet"/>
      <w:lvlText w:val="•"/>
      <w:lvlJc w:val="left"/>
      <w:pPr>
        <w:ind w:left="8185" w:hanging="489"/>
      </w:pPr>
      <w:rPr>
        <w:rFonts w:hint="default"/>
      </w:rPr>
    </w:lvl>
    <w:lvl w:ilvl="8">
      <w:start w:val="0"/>
      <w:numFmt w:val="bullet"/>
      <w:lvlText w:val="•"/>
      <w:lvlJc w:val="left"/>
      <w:pPr>
        <w:ind w:left="9145" w:hanging="489"/>
      </w:pPr>
      <w:rPr>
        <w:rFonts w:hint="default"/>
      </w:rPr>
    </w:lvl>
  </w:abstractNum>
  <w:abstractNum w:abstractNumId="67">
    <w:multiLevelType w:val="hybridMultilevel"/>
    <w:lvl w:ilvl="0">
      <w:start w:val="3"/>
      <w:numFmt w:val="decimal"/>
      <w:lvlText w:val="%1"/>
      <w:lvlJc w:val="left"/>
      <w:pPr>
        <w:ind w:left="1461" w:hanging="489"/>
        <w:jc w:val="left"/>
      </w:pPr>
      <w:rPr>
        <w:rFonts w:hint="default"/>
      </w:rPr>
    </w:lvl>
    <w:lvl w:ilvl="1">
      <w:start w:val="3"/>
      <w:numFmt w:val="decimal"/>
      <w:lvlText w:val="%1-%2"/>
      <w:lvlJc w:val="left"/>
      <w:pPr>
        <w:ind w:left="1461"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381" w:hanging="489"/>
      </w:pPr>
      <w:rPr>
        <w:rFonts w:hint="default"/>
      </w:rPr>
    </w:lvl>
    <w:lvl w:ilvl="3">
      <w:start w:val="0"/>
      <w:numFmt w:val="bullet"/>
      <w:lvlText w:val="•"/>
      <w:lvlJc w:val="left"/>
      <w:pPr>
        <w:ind w:left="4342" w:hanging="489"/>
      </w:pPr>
      <w:rPr>
        <w:rFonts w:hint="default"/>
      </w:rPr>
    </w:lvl>
    <w:lvl w:ilvl="4">
      <w:start w:val="0"/>
      <w:numFmt w:val="bullet"/>
      <w:lvlText w:val="•"/>
      <w:lvlJc w:val="left"/>
      <w:pPr>
        <w:ind w:left="5302" w:hanging="489"/>
      </w:pPr>
      <w:rPr>
        <w:rFonts w:hint="default"/>
      </w:rPr>
    </w:lvl>
    <w:lvl w:ilvl="5">
      <w:start w:val="0"/>
      <w:numFmt w:val="bullet"/>
      <w:lvlText w:val="•"/>
      <w:lvlJc w:val="left"/>
      <w:pPr>
        <w:ind w:left="6263" w:hanging="489"/>
      </w:pPr>
      <w:rPr>
        <w:rFonts w:hint="default"/>
      </w:rPr>
    </w:lvl>
    <w:lvl w:ilvl="6">
      <w:start w:val="0"/>
      <w:numFmt w:val="bullet"/>
      <w:lvlText w:val="•"/>
      <w:lvlJc w:val="left"/>
      <w:pPr>
        <w:ind w:left="7224" w:hanging="489"/>
      </w:pPr>
      <w:rPr>
        <w:rFonts w:hint="default"/>
      </w:rPr>
    </w:lvl>
    <w:lvl w:ilvl="7">
      <w:start w:val="0"/>
      <w:numFmt w:val="bullet"/>
      <w:lvlText w:val="•"/>
      <w:lvlJc w:val="left"/>
      <w:pPr>
        <w:ind w:left="8185" w:hanging="489"/>
      </w:pPr>
      <w:rPr>
        <w:rFonts w:hint="default"/>
      </w:rPr>
    </w:lvl>
    <w:lvl w:ilvl="8">
      <w:start w:val="0"/>
      <w:numFmt w:val="bullet"/>
      <w:lvlText w:val="•"/>
      <w:lvlJc w:val="left"/>
      <w:pPr>
        <w:ind w:left="9145" w:hanging="489"/>
      </w:pPr>
      <w:rPr>
        <w:rFonts w:hint="default"/>
      </w:rPr>
    </w:lvl>
  </w:abstractNum>
  <w:abstractNum w:abstractNumId="66">
    <w:multiLevelType w:val="hybridMultilevel"/>
    <w:lvl w:ilvl="0">
      <w:start w:val="1"/>
      <w:numFmt w:val="decimal"/>
      <w:lvlText w:val="%1."/>
      <w:lvlJc w:val="left"/>
      <w:pPr>
        <w:ind w:left="1194" w:hanging="244"/>
        <w:jc w:val="left"/>
      </w:pPr>
      <w:rPr>
        <w:rFonts w:hint="default" w:ascii="微軟正黑體" w:hAnsi="微軟正黑體" w:eastAsia="微軟正黑體" w:cs="微軟正黑體"/>
        <w:b/>
        <w:bCs/>
        <w:spacing w:val="-22"/>
        <w:w w:val="100"/>
        <w:sz w:val="24"/>
        <w:szCs w:val="24"/>
      </w:rPr>
    </w:lvl>
    <w:lvl w:ilvl="1">
      <w:start w:val="1"/>
      <w:numFmt w:val="decimal"/>
      <w:lvlText w:val="%1-%2"/>
      <w:lvlJc w:val="left"/>
      <w:pPr>
        <w:ind w:left="1659"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2705" w:hanging="489"/>
      </w:pPr>
      <w:rPr>
        <w:rFonts w:hint="default"/>
      </w:rPr>
    </w:lvl>
    <w:lvl w:ilvl="3">
      <w:start w:val="0"/>
      <w:numFmt w:val="bullet"/>
      <w:lvlText w:val="•"/>
      <w:lvlJc w:val="left"/>
      <w:pPr>
        <w:ind w:left="3750" w:hanging="489"/>
      </w:pPr>
      <w:rPr>
        <w:rFonts w:hint="default"/>
      </w:rPr>
    </w:lvl>
    <w:lvl w:ilvl="4">
      <w:start w:val="0"/>
      <w:numFmt w:val="bullet"/>
      <w:lvlText w:val="•"/>
      <w:lvlJc w:val="left"/>
      <w:pPr>
        <w:ind w:left="4795" w:hanging="489"/>
      </w:pPr>
      <w:rPr>
        <w:rFonts w:hint="default"/>
      </w:rPr>
    </w:lvl>
    <w:lvl w:ilvl="5">
      <w:start w:val="0"/>
      <w:numFmt w:val="bullet"/>
      <w:lvlText w:val="•"/>
      <w:lvlJc w:val="left"/>
      <w:pPr>
        <w:ind w:left="5840" w:hanging="489"/>
      </w:pPr>
      <w:rPr>
        <w:rFonts w:hint="default"/>
      </w:rPr>
    </w:lvl>
    <w:lvl w:ilvl="6">
      <w:start w:val="0"/>
      <w:numFmt w:val="bullet"/>
      <w:lvlText w:val="•"/>
      <w:lvlJc w:val="left"/>
      <w:pPr>
        <w:ind w:left="6886" w:hanging="489"/>
      </w:pPr>
      <w:rPr>
        <w:rFonts w:hint="default"/>
      </w:rPr>
    </w:lvl>
    <w:lvl w:ilvl="7">
      <w:start w:val="0"/>
      <w:numFmt w:val="bullet"/>
      <w:lvlText w:val="•"/>
      <w:lvlJc w:val="left"/>
      <w:pPr>
        <w:ind w:left="7931" w:hanging="489"/>
      </w:pPr>
      <w:rPr>
        <w:rFonts w:hint="default"/>
      </w:rPr>
    </w:lvl>
    <w:lvl w:ilvl="8">
      <w:start w:val="0"/>
      <w:numFmt w:val="bullet"/>
      <w:lvlText w:val="•"/>
      <w:lvlJc w:val="left"/>
      <w:pPr>
        <w:ind w:left="8976" w:hanging="489"/>
      </w:pPr>
      <w:rPr>
        <w:rFonts w:hint="default"/>
      </w:rPr>
    </w:lvl>
  </w:abstractNum>
  <w:abstractNum w:abstractNumId="65">
    <w:multiLevelType w:val="hybridMultilevel"/>
    <w:lvl w:ilvl="0">
      <w:start w:val="2"/>
      <w:numFmt w:val="decimal"/>
      <w:lvlText w:val="%1"/>
      <w:lvlJc w:val="left"/>
      <w:pPr>
        <w:ind w:left="1659" w:hanging="489"/>
        <w:jc w:val="left"/>
      </w:pPr>
      <w:rPr>
        <w:rFonts w:hint="default"/>
      </w:rPr>
    </w:lvl>
    <w:lvl w:ilvl="1">
      <w:start w:val="1"/>
      <w:numFmt w:val="decimal"/>
      <w:lvlText w:val="%1-%2"/>
      <w:lvlJc w:val="left"/>
      <w:pPr>
        <w:ind w:left="1659"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541" w:hanging="489"/>
      </w:pPr>
      <w:rPr>
        <w:rFonts w:hint="default"/>
      </w:rPr>
    </w:lvl>
    <w:lvl w:ilvl="3">
      <w:start w:val="0"/>
      <w:numFmt w:val="bullet"/>
      <w:lvlText w:val="•"/>
      <w:lvlJc w:val="left"/>
      <w:pPr>
        <w:ind w:left="4482" w:hanging="489"/>
      </w:pPr>
      <w:rPr>
        <w:rFonts w:hint="default"/>
      </w:rPr>
    </w:lvl>
    <w:lvl w:ilvl="4">
      <w:start w:val="0"/>
      <w:numFmt w:val="bullet"/>
      <w:lvlText w:val="•"/>
      <w:lvlJc w:val="left"/>
      <w:pPr>
        <w:ind w:left="5422" w:hanging="489"/>
      </w:pPr>
      <w:rPr>
        <w:rFonts w:hint="default"/>
      </w:rPr>
    </w:lvl>
    <w:lvl w:ilvl="5">
      <w:start w:val="0"/>
      <w:numFmt w:val="bullet"/>
      <w:lvlText w:val="•"/>
      <w:lvlJc w:val="left"/>
      <w:pPr>
        <w:ind w:left="6363" w:hanging="489"/>
      </w:pPr>
      <w:rPr>
        <w:rFonts w:hint="default"/>
      </w:rPr>
    </w:lvl>
    <w:lvl w:ilvl="6">
      <w:start w:val="0"/>
      <w:numFmt w:val="bullet"/>
      <w:lvlText w:val="•"/>
      <w:lvlJc w:val="left"/>
      <w:pPr>
        <w:ind w:left="7304" w:hanging="489"/>
      </w:pPr>
      <w:rPr>
        <w:rFonts w:hint="default"/>
      </w:rPr>
    </w:lvl>
    <w:lvl w:ilvl="7">
      <w:start w:val="0"/>
      <w:numFmt w:val="bullet"/>
      <w:lvlText w:val="•"/>
      <w:lvlJc w:val="left"/>
      <w:pPr>
        <w:ind w:left="8245" w:hanging="489"/>
      </w:pPr>
      <w:rPr>
        <w:rFonts w:hint="default"/>
      </w:rPr>
    </w:lvl>
    <w:lvl w:ilvl="8">
      <w:start w:val="0"/>
      <w:numFmt w:val="bullet"/>
      <w:lvlText w:val="•"/>
      <w:lvlJc w:val="left"/>
      <w:pPr>
        <w:ind w:left="9185" w:hanging="489"/>
      </w:pPr>
      <w:rPr>
        <w:rFonts w:hint="default"/>
      </w:rPr>
    </w:lvl>
  </w:abstractNum>
  <w:abstractNum w:abstractNumId="64">
    <w:multiLevelType w:val="hybridMultilevel"/>
    <w:lvl w:ilvl="0">
      <w:start w:val="1"/>
      <w:numFmt w:val="decimal"/>
      <w:lvlText w:val="%1."/>
      <w:lvlJc w:val="left"/>
      <w:pPr>
        <w:ind w:left="1194" w:hanging="244"/>
        <w:jc w:val="left"/>
      </w:pPr>
      <w:rPr>
        <w:rFonts w:hint="default" w:ascii="微軟正黑體" w:hAnsi="微軟正黑體" w:eastAsia="微軟正黑體" w:cs="微軟正黑體"/>
        <w:b/>
        <w:bCs/>
        <w:spacing w:val="-22"/>
        <w:w w:val="100"/>
        <w:sz w:val="24"/>
        <w:szCs w:val="24"/>
      </w:rPr>
    </w:lvl>
    <w:lvl w:ilvl="1">
      <w:start w:val="1"/>
      <w:numFmt w:val="decimal"/>
      <w:lvlText w:val="%1-%2"/>
      <w:lvlJc w:val="left"/>
      <w:pPr>
        <w:ind w:left="1659"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2705" w:hanging="489"/>
      </w:pPr>
      <w:rPr>
        <w:rFonts w:hint="default"/>
      </w:rPr>
    </w:lvl>
    <w:lvl w:ilvl="3">
      <w:start w:val="0"/>
      <w:numFmt w:val="bullet"/>
      <w:lvlText w:val="•"/>
      <w:lvlJc w:val="left"/>
      <w:pPr>
        <w:ind w:left="3750" w:hanging="489"/>
      </w:pPr>
      <w:rPr>
        <w:rFonts w:hint="default"/>
      </w:rPr>
    </w:lvl>
    <w:lvl w:ilvl="4">
      <w:start w:val="0"/>
      <w:numFmt w:val="bullet"/>
      <w:lvlText w:val="•"/>
      <w:lvlJc w:val="left"/>
      <w:pPr>
        <w:ind w:left="4795" w:hanging="489"/>
      </w:pPr>
      <w:rPr>
        <w:rFonts w:hint="default"/>
      </w:rPr>
    </w:lvl>
    <w:lvl w:ilvl="5">
      <w:start w:val="0"/>
      <w:numFmt w:val="bullet"/>
      <w:lvlText w:val="•"/>
      <w:lvlJc w:val="left"/>
      <w:pPr>
        <w:ind w:left="5840" w:hanging="489"/>
      </w:pPr>
      <w:rPr>
        <w:rFonts w:hint="default"/>
      </w:rPr>
    </w:lvl>
    <w:lvl w:ilvl="6">
      <w:start w:val="0"/>
      <w:numFmt w:val="bullet"/>
      <w:lvlText w:val="•"/>
      <w:lvlJc w:val="left"/>
      <w:pPr>
        <w:ind w:left="6886" w:hanging="489"/>
      </w:pPr>
      <w:rPr>
        <w:rFonts w:hint="default"/>
      </w:rPr>
    </w:lvl>
    <w:lvl w:ilvl="7">
      <w:start w:val="0"/>
      <w:numFmt w:val="bullet"/>
      <w:lvlText w:val="•"/>
      <w:lvlJc w:val="left"/>
      <w:pPr>
        <w:ind w:left="7931" w:hanging="489"/>
      </w:pPr>
      <w:rPr>
        <w:rFonts w:hint="default"/>
      </w:rPr>
    </w:lvl>
    <w:lvl w:ilvl="8">
      <w:start w:val="0"/>
      <w:numFmt w:val="bullet"/>
      <w:lvlText w:val="•"/>
      <w:lvlJc w:val="left"/>
      <w:pPr>
        <w:ind w:left="8976" w:hanging="489"/>
      </w:pPr>
      <w:rPr>
        <w:rFonts w:hint="default"/>
      </w:rPr>
    </w:lvl>
  </w:abstractNum>
  <w:abstractNum w:abstractNumId="63">
    <w:multiLevelType w:val="hybridMultilevel"/>
    <w:lvl w:ilvl="0">
      <w:start w:val="1"/>
      <w:numFmt w:val="decimal"/>
      <w:lvlText w:val="%1"/>
      <w:lvlJc w:val="left"/>
      <w:pPr>
        <w:ind w:left="1659" w:hanging="489"/>
        <w:jc w:val="left"/>
      </w:pPr>
      <w:rPr>
        <w:rFonts w:hint="default"/>
      </w:rPr>
    </w:lvl>
    <w:lvl w:ilvl="1">
      <w:start w:val="1"/>
      <w:numFmt w:val="decimal"/>
      <w:lvlText w:val="%1-%2"/>
      <w:lvlJc w:val="left"/>
      <w:pPr>
        <w:ind w:left="1659"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541" w:hanging="489"/>
      </w:pPr>
      <w:rPr>
        <w:rFonts w:hint="default"/>
      </w:rPr>
    </w:lvl>
    <w:lvl w:ilvl="3">
      <w:start w:val="0"/>
      <w:numFmt w:val="bullet"/>
      <w:lvlText w:val="•"/>
      <w:lvlJc w:val="left"/>
      <w:pPr>
        <w:ind w:left="4482" w:hanging="489"/>
      </w:pPr>
      <w:rPr>
        <w:rFonts w:hint="default"/>
      </w:rPr>
    </w:lvl>
    <w:lvl w:ilvl="4">
      <w:start w:val="0"/>
      <w:numFmt w:val="bullet"/>
      <w:lvlText w:val="•"/>
      <w:lvlJc w:val="left"/>
      <w:pPr>
        <w:ind w:left="5422" w:hanging="489"/>
      </w:pPr>
      <w:rPr>
        <w:rFonts w:hint="default"/>
      </w:rPr>
    </w:lvl>
    <w:lvl w:ilvl="5">
      <w:start w:val="0"/>
      <w:numFmt w:val="bullet"/>
      <w:lvlText w:val="•"/>
      <w:lvlJc w:val="left"/>
      <w:pPr>
        <w:ind w:left="6363" w:hanging="489"/>
      </w:pPr>
      <w:rPr>
        <w:rFonts w:hint="default"/>
      </w:rPr>
    </w:lvl>
    <w:lvl w:ilvl="6">
      <w:start w:val="0"/>
      <w:numFmt w:val="bullet"/>
      <w:lvlText w:val="•"/>
      <w:lvlJc w:val="left"/>
      <w:pPr>
        <w:ind w:left="7304" w:hanging="489"/>
      </w:pPr>
      <w:rPr>
        <w:rFonts w:hint="default"/>
      </w:rPr>
    </w:lvl>
    <w:lvl w:ilvl="7">
      <w:start w:val="0"/>
      <w:numFmt w:val="bullet"/>
      <w:lvlText w:val="•"/>
      <w:lvlJc w:val="left"/>
      <w:pPr>
        <w:ind w:left="8245" w:hanging="489"/>
      </w:pPr>
      <w:rPr>
        <w:rFonts w:hint="default"/>
      </w:rPr>
    </w:lvl>
    <w:lvl w:ilvl="8">
      <w:start w:val="0"/>
      <w:numFmt w:val="bullet"/>
      <w:lvlText w:val="•"/>
      <w:lvlJc w:val="left"/>
      <w:pPr>
        <w:ind w:left="9185" w:hanging="489"/>
      </w:pPr>
      <w:rPr>
        <w:rFonts w:hint="default"/>
      </w:rPr>
    </w:lvl>
  </w:abstractNum>
  <w:abstractNum w:abstractNumId="62">
    <w:multiLevelType w:val="hybridMultilevel"/>
    <w:lvl w:ilvl="0">
      <w:start w:val="5"/>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spacing w:val="-20"/>
        <w:w w:val="100"/>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61">
    <w:multiLevelType w:val="hybridMultilevel"/>
    <w:lvl w:ilvl="0">
      <w:start w:val="4"/>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60">
    <w:multiLevelType w:val="hybridMultilevel"/>
    <w:lvl w:ilvl="0">
      <w:start w:val="3"/>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59">
    <w:multiLevelType w:val="hybridMultilevel"/>
    <w:lvl w:ilvl="0">
      <w:start w:val="2"/>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58">
    <w:multiLevelType w:val="hybridMultilevel"/>
    <w:lvl w:ilvl="0">
      <w:start w:val="5"/>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57">
    <w:multiLevelType w:val="hybridMultilevel"/>
    <w:lvl w:ilvl="0">
      <w:start w:val="4"/>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56">
    <w:multiLevelType w:val="hybridMultilevel"/>
    <w:lvl w:ilvl="0">
      <w:start w:val="3"/>
      <w:numFmt w:val="decimal"/>
      <w:lvlText w:val="%1"/>
      <w:lvlJc w:val="left"/>
      <w:pPr>
        <w:ind w:left="1442" w:hanging="480"/>
        <w:jc w:val="left"/>
      </w:pPr>
      <w:rPr>
        <w:rFonts w:hint="default"/>
      </w:rPr>
    </w:lvl>
    <w:lvl w:ilvl="1">
      <w:start w:val="1"/>
      <w:numFmt w:val="decimal"/>
      <w:lvlText w:val="%1-%2"/>
      <w:lvlJc w:val="left"/>
      <w:pPr>
        <w:ind w:left="1442" w:hanging="480"/>
        <w:jc w:val="left"/>
      </w:pPr>
      <w:rPr>
        <w:rFonts w:hint="default" w:ascii="微軟正黑體" w:hAnsi="微軟正黑體" w:eastAsia="微軟正黑體" w:cs="微軟正黑體"/>
        <w:spacing w:val="-22"/>
        <w:w w:val="100"/>
        <w:sz w:val="24"/>
        <w:szCs w:val="24"/>
      </w:rPr>
    </w:lvl>
    <w:lvl w:ilvl="2">
      <w:start w:val="0"/>
      <w:numFmt w:val="bullet"/>
      <w:lvlText w:val="•"/>
      <w:lvlJc w:val="left"/>
      <w:pPr>
        <w:ind w:left="3365" w:hanging="480"/>
      </w:pPr>
      <w:rPr>
        <w:rFonts w:hint="default"/>
      </w:rPr>
    </w:lvl>
    <w:lvl w:ilvl="3">
      <w:start w:val="0"/>
      <w:numFmt w:val="bullet"/>
      <w:lvlText w:val="•"/>
      <w:lvlJc w:val="left"/>
      <w:pPr>
        <w:ind w:left="4328" w:hanging="480"/>
      </w:pPr>
      <w:rPr>
        <w:rFonts w:hint="default"/>
      </w:rPr>
    </w:lvl>
    <w:lvl w:ilvl="4">
      <w:start w:val="0"/>
      <w:numFmt w:val="bullet"/>
      <w:lvlText w:val="•"/>
      <w:lvlJc w:val="left"/>
      <w:pPr>
        <w:ind w:left="5290" w:hanging="480"/>
      </w:pPr>
      <w:rPr>
        <w:rFonts w:hint="default"/>
      </w:rPr>
    </w:lvl>
    <w:lvl w:ilvl="5">
      <w:start w:val="0"/>
      <w:numFmt w:val="bullet"/>
      <w:lvlText w:val="•"/>
      <w:lvlJc w:val="left"/>
      <w:pPr>
        <w:ind w:left="6253" w:hanging="480"/>
      </w:pPr>
      <w:rPr>
        <w:rFonts w:hint="default"/>
      </w:rPr>
    </w:lvl>
    <w:lvl w:ilvl="6">
      <w:start w:val="0"/>
      <w:numFmt w:val="bullet"/>
      <w:lvlText w:val="•"/>
      <w:lvlJc w:val="left"/>
      <w:pPr>
        <w:ind w:left="7216" w:hanging="480"/>
      </w:pPr>
      <w:rPr>
        <w:rFonts w:hint="default"/>
      </w:rPr>
    </w:lvl>
    <w:lvl w:ilvl="7">
      <w:start w:val="0"/>
      <w:numFmt w:val="bullet"/>
      <w:lvlText w:val="•"/>
      <w:lvlJc w:val="left"/>
      <w:pPr>
        <w:ind w:left="8179" w:hanging="480"/>
      </w:pPr>
      <w:rPr>
        <w:rFonts w:hint="default"/>
      </w:rPr>
    </w:lvl>
    <w:lvl w:ilvl="8">
      <w:start w:val="0"/>
      <w:numFmt w:val="bullet"/>
      <w:lvlText w:val="•"/>
      <w:lvlJc w:val="left"/>
      <w:pPr>
        <w:ind w:left="9141" w:hanging="480"/>
      </w:pPr>
      <w:rPr>
        <w:rFonts w:hint="default"/>
      </w:rPr>
    </w:lvl>
  </w:abstractNum>
  <w:abstractNum w:abstractNumId="55">
    <w:multiLevelType w:val="hybridMultilevel"/>
    <w:lvl w:ilvl="0">
      <w:start w:val="2"/>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4"/>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54">
    <w:multiLevelType w:val="hybridMultilevel"/>
    <w:lvl w:ilvl="0">
      <w:start w:val="4"/>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spacing w:val="-28"/>
        <w:w w:val="100"/>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53">
    <w:multiLevelType w:val="hybridMultilevel"/>
    <w:lvl w:ilvl="0">
      <w:start w:val="1"/>
      <w:numFmt w:val="decimal"/>
      <w:lvlText w:val="%1."/>
      <w:lvlJc w:val="left"/>
      <w:pPr>
        <w:ind w:left="963" w:hanging="244"/>
        <w:jc w:val="left"/>
      </w:pPr>
      <w:rPr>
        <w:rFonts w:hint="default" w:ascii="微軟正黑體" w:hAnsi="微軟正黑體" w:eastAsia="微軟正黑體" w:cs="微軟正黑體"/>
        <w:b/>
        <w:bCs/>
        <w:spacing w:val="-22"/>
        <w:w w:val="100"/>
        <w:sz w:val="24"/>
        <w:szCs w:val="24"/>
      </w:rPr>
    </w:lvl>
    <w:lvl w:ilvl="1">
      <w:start w:val="1"/>
      <w:numFmt w:val="decimal"/>
      <w:lvlText w:val="%1-%2"/>
      <w:lvlJc w:val="left"/>
      <w:pPr>
        <w:ind w:left="1449" w:hanging="488"/>
        <w:jc w:val="left"/>
      </w:pPr>
      <w:rPr>
        <w:rFonts w:hint="default"/>
        <w:spacing w:val="-20"/>
        <w:w w:val="100"/>
      </w:rPr>
    </w:lvl>
    <w:lvl w:ilvl="2">
      <w:start w:val="0"/>
      <w:numFmt w:val="bullet"/>
      <w:lvlText w:val="•"/>
      <w:lvlJc w:val="left"/>
      <w:pPr>
        <w:ind w:left="2509" w:hanging="488"/>
      </w:pPr>
      <w:rPr>
        <w:rFonts w:hint="default"/>
      </w:rPr>
    </w:lvl>
    <w:lvl w:ilvl="3">
      <w:start w:val="0"/>
      <w:numFmt w:val="bullet"/>
      <w:lvlText w:val="•"/>
      <w:lvlJc w:val="left"/>
      <w:pPr>
        <w:ind w:left="3579" w:hanging="488"/>
      </w:pPr>
      <w:rPr>
        <w:rFonts w:hint="default"/>
      </w:rPr>
    </w:lvl>
    <w:lvl w:ilvl="4">
      <w:start w:val="0"/>
      <w:numFmt w:val="bullet"/>
      <w:lvlText w:val="•"/>
      <w:lvlJc w:val="left"/>
      <w:pPr>
        <w:ind w:left="4649" w:hanging="488"/>
      </w:pPr>
      <w:rPr>
        <w:rFonts w:hint="default"/>
      </w:rPr>
    </w:lvl>
    <w:lvl w:ilvl="5">
      <w:start w:val="0"/>
      <w:numFmt w:val="bullet"/>
      <w:lvlText w:val="•"/>
      <w:lvlJc w:val="left"/>
      <w:pPr>
        <w:ind w:left="5718" w:hanging="488"/>
      </w:pPr>
      <w:rPr>
        <w:rFonts w:hint="default"/>
      </w:rPr>
    </w:lvl>
    <w:lvl w:ilvl="6">
      <w:start w:val="0"/>
      <w:numFmt w:val="bullet"/>
      <w:lvlText w:val="•"/>
      <w:lvlJc w:val="left"/>
      <w:pPr>
        <w:ind w:left="6788" w:hanging="488"/>
      </w:pPr>
      <w:rPr>
        <w:rFonts w:hint="default"/>
      </w:rPr>
    </w:lvl>
    <w:lvl w:ilvl="7">
      <w:start w:val="0"/>
      <w:numFmt w:val="bullet"/>
      <w:lvlText w:val="•"/>
      <w:lvlJc w:val="left"/>
      <w:pPr>
        <w:ind w:left="7858" w:hanging="488"/>
      </w:pPr>
      <w:rPr>
        <w:rFonts w:hint="default"/>
      </w:rPr>
    </w:lvl>
    <w:lvl w:ilvl="8">
      <w:start w:val="0"/>
      <w:numFmt w:val="bullet"/>
      <w:lvlText w:val="•"/>
      <w:lvlJc w:val="left"/>
      <w:pPr>
        <w:ind w:left="8927" w:hanging="488"/>
      </w:pPr>
      <w:rPr>
        <w:rFonts w:hint="default"/>
      </w:rPr>
    </w:lvl>
  </w:abstractNum>
  <w:abstractNum w:abstractNumId="52">
    <w:multiLevelType w:val="hybridMultilevel"/>
    <w:lvl w:ilvl="0">
      <w:start w:val="5"/>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51">
    <w:multiLevelType w:val="hybridMultilevel"/>
    <w:lvl w:ilvl="0">
      <w:start w:val="4"/>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6"/>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50">
    <w:multiLevelType w:val="hybridMultilevel"/>
    <w:lvl w:ilvl="0">
      <w:start w:val="3"/>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7"/>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49">
    <w:multiLevelType w:val="hybridMultilevel"/>
    <w:lvl w:ilvl="0">
      <w:start w:val="6"/>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spacing w:val="-20"/>
        <w:w w:val="100"/>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48">
    <w:multiLevelType w:val="hybridMultilevel"/>
    <w:lvl w:ilvl="0">
      <w:start w:val="5"/>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47">
    <w:multiLevelType w:val="hybridMultilevel"/>
    <w:lvl w:ilvl="0">
      <w:start w:val="4"/>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34"/>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46">
    <w:multiLevelType w:val="hybridMultilevel"/>
    <w:lvl w:ilvl="0">
      <w:start w:val="3"/>
      <w:numFmt w:val="decimal"/>
      <w:lvlText w:val="%1"/>
      <w:lvlJc w:val="left"/>
      <w:pPr>
        <w:ind w:left="1438" w:hanging="488"/>
        <w:jc w:val="left"/>
      </w:pPr>
      <w:rPr>
        <w:rFonts w:hint="default"/>
      </w:rPr>
    </w:lvl>
    <w:lvl w:ilvl="1">
      <w:start w:val="1"/>
      <w:numFmt w:val="decimal"/>
      <w:lvlText w:val="%1-%2"/>
      <w:lvlJc w:val="left"/>
      <w:pPr>
        <w:ind w:left="1438"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45">
    <w:multiLevelType w:val="hybridMultilevel"/>
    <w:lvl w:ilvl="0">
      <w:start w:val="6"/>
      <w:numFmt w:val="decimal"/>
      <w:lvlText w:val="%1"/>
      <w:lvlJc w:val="left"/>
      <w:pPr>
        <w:ind w:left="1438" w:hanging="488"/>
        <w:jc w:val="left"/>
      </w:pPr>
      <w:rPr>
        <w:rFonts w:hint="default"/>
      </w:rPr>
    </w:lvl>
    <w:lvl w:ilvl="1">
      <w:start w:val="1"/>
      <w:numFmt w:val="decimal"/>
      <w:lvlText w:val="%1-%2"/>
      <w:lvlJc w:val="left"/>
      <w:pPr>
        <w:ind w:left="1438" w:hanging="488"/>
        <w:jc w:val="left"/>
      </w:pPr>
      <w:rPr>
        <w:rFonts w:hint="default"/>
        <w:spacing w:val="-20"/>
        <w:w w:val="100"/>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44">
    <w:multiLevelType w:val="hybridMultilevel"/>
    <w:lvl w:ilvl="0">
      <w:start w:val="5"/>
      <w:numFmt w:val="decimal"/>
      <w:lvlText w:val="%1"/>
      <w:lvlJc w:val="left"/>
      <w:pPr>
        <w:ind w:left="1438" w:hanging="488"/>
        <w:jc w:val="left"/>
      </w:pPr>
      <w:rPr>
        <w:rFonts w:hint="default"/>
      </w:rPr>
    </w:lvl>
    <w:lvl w:ilvl="1">
      <w:start w:val="1"/>
      <w:numFmt w:val="decimal"/>
      <w:lvlText w:val="%1-%2"/>
      <w:lvlJc w:val="left"/>
      <w:pPr>
        <w:ind w:left="1438" w:hanging="488"/>
        <w:jc w:val="left"/>
      </w:pPr>
      <w:rPr>
        <w:rFonts w:hint="default" w:ascii="微軟正黑體" w:hAnsi="微軟正黑體" w:eastAsia="微軟正黑體" w:cs="微軟正黑體"/>
        <w:spacing w:val="-27"/>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43">
    <w:multiLevelType w:val="hybridMultilevel"/>
    <w:lvl w:ilvl="0">
      <w:start w:val="4"/>
      <w:numFmt w:val="decimal"/>
      <w:lvlText w:val="%1"/>
      <w:lvlJc w:val="left"/>
      <w:pPr>
        <w:ind w:left="1438" w:hanging="488"/>
        <w:jc w:val="left"/>
      </w:pPr>
      <w:rPr>
        <w:rFonts w:hint="default"/>
      </w:rPr>
    </w:lvl>
    <w:lvl w:ilvl="1">
      <w:start w:val="1"/>
      <w:numFmt w:val="decimal"/>
      <w:lvlText w:val="%1-%2"/>
      <w:lvlJc w:val="left"/>
      <w:pPr>
        <w:ind w:left="1438" w:hanging="488"/>
        <w:jc w:val="left"/>
      </w:pPr>
      <w:rPr>
        <w:rFonts w:hint="default" w:ascii="微軟正黑體" w:hAnsi="微軟正黑體" w:eastAsia="微軟正黑體" w:cs="微軟正黑體"/>
        <w:spacing w:val="-49"/>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42">
    <w:multiLevelType w:val="hybridMultilevel"/>
    <w:lvl w:ilvl="0">
      <w:start w:val="6"/>
      <w:numFmt w:val="decimal"/>
      <w:lvlText w:val="%1"/>
      <w:lvlJc w:val="left"/>
      <w:pPr>
        <w:ind w:left="663" w:hanging="483"/>
        <w:jc w:val="left"/>
      </w:pPr>
      <w:rPr>
        <w:rFonts w:hint="default"/>
      </w:rPr>
    </w:lvl>
    <w:lvl w:ilvl="1">
      <w:start w:val="1"/>
      <w:numFmt w:val="decimal"/>
      <w:lvlText w:val="%1.%2"/>
      <w:lvlJc w:val="left"/>
      <w:pPr>
        <w:ind w:left="663" w:hanging="483"/>
        <w:jc w:val="left"/>
      </w:pPr>
      <w:rPr>
        <w:rFonts w:hint="default" w:ascii="微軟正黑體" w:hAnsi="微軟正黑體" w:eastAsia="微軟正黑體" w:cs="微軟正黑體"/>
        <w:b/>
        <w:bCs/>
        <w:spacing w:val="0"/>
        <w:w w:val="99"/>
        <w:sz w:val="25"/>
        <w:szCs w:val="25"/>
      </w:rPr>
    </w:lvl>
    <w:lvl w:ilvl="2">
      <w:start w:val="1"/>
      <w:numFmt w:val="decimal"/>
      <w:lvlText w:val="%1.%2.%3"/>
      <w:lvlJc w:val="left"/>
      <w:pPr>
        <w:ind w:left="984" w:hanging="683"/>
        <w:jc w:val="left"/>
      </w:pPr>
      <w:rPr>
        <w:rFonts w:hint="default"/>
        <w:b/>
        <w:bCs/>
        <w:spacing w:val="0"/>
        <w:w w:val="100"/>
      </w:rPr>
    </w:lvl>
    <w:lvl w:ilvl="3">
      <w:start w:val="1"/>
      <w:numFmt w:val="decimal"/>
      <w:lvlText w:val="%4."/>
      <w:lvlJc w:val="left"/>
      <w:pPr>
        <w:ind w:left="963" w:hanging="683"/>
        <w:jc w:val="left"/>
      </w:pPr>
      <w:rPr>
        <w:rFonts w:hint="default" w:ascii="微軟正黑體" w:hAnsi="微軟正黑體" w:eastAsia="微軟正黑體" w:cs="微軟正黑體"/>
        <w:b/>
        <w:bCs/>
        <w:spacing w:val="-22"/>
        <w:w w:val="100"/>
        <w:sz w:val="24"/>
        <w:szCs w:val="24"/>
      </w:rPr>
    </w:lvl>
    <w:lvl w:ilvl="4">
      <w:start w:val="1"/>
      <w:numFmt w:val="decimal"/>
      <w:lvlText w:val="%4-%5"/>
      <w:lvlJc w:val="left"/>
      <w:pPr>
        <w:ind w:left="1438" w:hanging="683"/>
        <w:jc w:val="left"/>
      </w:pPr>
      <w:rPr>
        <w:rFonts w:hint="default" w:ascii="微軟正黑體" w:hAnsi="微軟正黑體" w:eastAsia="微軟正黑體" w:cs="微軟正黑體"/>
        <w:spacing w:val="-20"/>
        <w:w w:val="100"/>
        <w:sz w:val="24"/>
        <w:szCs w:val="24"/>
      </w:rPr>
    </w:lvl>
    <w:lvl w:ilvl="5">
      <w:start w:val="0"/>
      <w:numFmt w:val="bullet"/>
      <w:lvlText w:val="•"/>
      <w:lvlJc w:val="left"/>
      <w:pPr>
        <w:ind w:left="3044" w:hanging="683"/>
      </w:pPr>
      <w:rPr>
        <w:rFonts w:hint="default"/>
      </w:rPr>
    </w:lvl>
    <w:lvl w:ilvl="6">
      <w:start w:val="0"/>
      <w:numFmt w:val="bullet"/>
      <w:lvlText w:val="•"/>
      <w:lvlJc w:val="left"/>
      <w:pPr>
        <w:ind w:left="4649" w:hanging="683"/>
      </w:pPr>
      <w:rPr>
        <w:rFonts w:hint="default"/>
      </w:rPr>
    </w:lvl>
    <w:lvl w:ilvl="7">
      <w:start w:val="0"/>
      <w:numFmt w:val="bullet"/>
      <w:lvlText w:val="•"/>
      <w:lvlJc w:val="left"/>
      <w:pPr>
        <w:ind w:left="6253" w:hanging="683"/>
      </w:pPr>
      <w:rPr>
        <w:rFonts w:hint="default"/>
      </w:rPr>
    </w:lvl>
    <w:lvl w:ilvl="8">
      <w:start w:val="0"/>
      <w:numFmt w:val="bullet"/>
      <w:lvlText w:val="•"/>
      <w:lvlJc w:val="left"/>
      <w:pPr>
        <w:ind w:left="7858" w:hanging="683"/>
      </w:pPr>
      <w:rPr>
        <w:rFonts w:hint="default"/>
      </w:rPr>
    </w:lvl>
  </w:abstractNum>
  <w:abstractNum w:abstractNumId="41">
    <w:multiLevelType w:val="hybridMultilevel"/>
    <w:lvl w:ilvl="0">
      <w:start w:val="0"/>
      <w:numFmt w:val="bullet"/>
      <w:lvlText w:val=""/>
      <w:lvlJc w:val="left"/>
      <w:pPr>
        <w:ind w:left="770" w:hanging="480"/>
      </w:pPr>
      <w:rPr>
        <w:rFonts w:hint="default"/>
        <w:w w:val="100"/>
      </w:rPr>
    </w:lvl>
    <w:lvl w:ilvl="1">
      <w:start w:val="0"/>
      <w:numFmt w:val="bullet"/>
      <w:lvlText w:val="•"/>
      <w:lvlJc w:val="left"/>
      <w:pPr>
        <w:ind w:left="1808" w:hanging="480"/>
      </w:pPr>
      <w:rPr>
        <w:rFonts w:hint="default"/>
      </w:rPr>
    </w:lvl>
    <w:lvl w:ilvl="2">
      <w:start w:val="0"/>
      <w:numFmt w:val="bullet"/>
      <w:lvlText w:val="•"/>
      <w:lvlJc w:val="left"/>
      <w:pPr>
        <w:ind w:left="2837" w:hanging="480"/>
      </w:pPr>
      <w:rPr>
        <w:rFonts w:hint="default"/>
      </w:rPr>
    </w:lvl>
    <w:lvl w:ilvl="3">
      <w:start w:val="0"/>
      <w:numFmt w:val="bullet"/>
      <w:lvlText w:val="•"/>
      <w:lvlJc w:val="left"/>
      <w:pPr>
        <w:ind w:left="3866" w:hanging="480"/>
      </w:pPr>
      <w:rPr>
        <w:rFonts w:hint="default"/>
      </w:rPr>
    </w:lvl>
    <w:lvl w:ilvl="4">
      <w:start w:val="0"/>
      <w:numFmt w:val="bullet"/>
      <w:lvlText w:val="•"/>
      <w:lvlJc w:val="left"/>
      <w:pPr>
        <w:ind w:left="4894" w:hanging="480"/>
      </w:pPr>
      <w:rPr>
        <w:rFonts w:hint="default"/>
      </w:rPr>
    </w:lvl>
    <w:lvl w:ilvl="5">
      <w:start w:val="0"/>
      <w:numFmt w:val="bullet"/>
      <w:lvlText w:val="•"/>
      <w:lvlJc w:val="left"/>
      <w:pPr>
        <w:ind w:left="5923" w:hanging="480"/>
      </w:pPr>
      <w:rPr>
        <w:rFonts w:hint="default"/>
      </w:rPr>
    </w:lvl>
    <w:lvl w:ilvl="6">
      <w:start w:val="0"/>
      <w:numFmt w:val="bullet"/>
      <w:lvlText w:val="•"/>
      <w:lvlJc w:val="left"/>
      <w:pPr>
        <w:ind w:left="6952" w:hanging="480"/>
      </w:pPr>
      <w:rPr>
        <w:rFonts w:hint="default"/>
      </w:rPr>
    </w:lvl>
    <w:lvl w:ilvl="7">
      <w:start w:val="0"/>
      <w:numFmt w:val="bullet"/>
      <w:lvlText w:val="•"/>
      <w:lvlJc w:val="left"/>
      <w:pPr>
        <w:ind w:left="7981" w:hanging="480"/>
      </w:pPr>
      <w:rPr>
        <w:rFonts w:hint="default"/>
      </w:rPr>
    </w:lvl>
    <w:lvl w:ilvl="8">
      <w:start w:val="0"/>
      <w:numFmt w:val="bullet"/>
      <w:lvlText w:val="•"/>
      <w:lvlJc w:val="left"/>
      <w:pPr>
        <w:ind w:left="9009" w:hanging="480"/>
      </w:pPr>
      <w:rPr>
        <w:rFonts w:hint="default"/>
      </w:rPr>
    </w:lvl>
  </w:abstractNum>
  <w:abstractNum w:abstractNumId="40">
    <w:multiLevelType w:val="hybridMultilevel"/>
    <w:lvl w:ilvl="0">
      <w:start w:val="1"/>
      <w:numFmt w:val="decimal"/>
      <w:lvlText w:val="%1."/>
      <w:lvlJc w:val="left"/>
      <w:pPr>
        <w:ind w:left="483" w:hanging="315"/>
        <w:jc w:val="left"/>
      </w:pPr>
      <w:rPr>
        <w:rFonts w:hint="default" w:ascii="微軟正黑體" w:hAnsi="微軟正黑體" w:eastAsia="微軟正黑體" w:cs="微軟正黑體"/>
        <w:spacing w:val="-2"/>
        <w:w w:val="100"/>
        <w:sz w:val="24"/>
        <w:szCs w:val="24"/>
      </w:rPr>
    </w:lvl>
    <w:lvl w:ilvl="1">
      <w:start w:val="1"/>
      <w:numFmt w:val="decimal"/>
      <w:lvlText w:val="%2)"/>
      <w:lvlJc w:val="left"/>
      <w:pPr>
        <w:ind w:left="890" w:hanging="362"/>
        <w:jc w:val="left"/>
      </w:pPr>
      <w:rPr>
        <w:rFonts w:hint="default" w:ascii="微軟正黑體" w:hAnsi="微軟正黑體" w:eastAsia="微軟正黑體" w:cs="微軟正黑體"/>
        <w:w w:val="100"/>
        <w:sz w:val="24"/>
        <w:szCs w:val="24"/>
      </w:rPr>
    </w:lvl>
    <w:lvl w:ilvl="2">
      <w:start w:val="0"/>
      <w:numFmt w:val="bullet"/>
      <w:lvlText w:val="•"/>
      <w:lvlJc w:val="left"/>
      <w:pPr>
        <w:ind w:left="1385" w:hanging="362"/>
      </w:pPr>
      <w:rPr>
        <w:rFonts w:hint="default"/>
      </w:rPr>
    </w:lvl>
    <w:lvl w:ilvl="3">
      <w:start w:val="0"/>
      <w:numFmt w:val="bullet"/>
      <w:lvlText w:val="•"/>
      <w:lvlJc w:val="left"/>
      <w:pPr>
        <w:ind w:left="1871" w:hanging="362"/>
      </w:pPr>
      <w:rPr>
        <w:rFonts w:hint="default"/>
      </w:rPr>
    </w:lvl>
    <w:lvl w:ilvl="4">
      <w:start w:val="0"/>
      <w:numFmt w:val="bullet"/>
      <w:lvlText w:val="•"/>
      <w:lvlJc w:val="left"/>
      <w:pPr>
        <w:ind w:left="2356" w:hanging="362"/>
      </w:pPr>
      <w:rPr>
        <w:rFonts w:hint="default"/>
      </w:rPr>
    </w:lvl>
    <w:lvl w:ilvl="5">
      <w:start w:val="0"/>
      <w:numFmt w:val="bullet"/>
      <w:lvlText w:val="•"/>
      <w:lvlJc w:val="left"/>
      <w:pPr>
        <w:ind w:left="2842" w:hanging="362"/>
      </w:pPr>
      <w:rPr>
        <w:rFonts w:hint="default"/>
      </w:rPr>
    </w:lvl>
    <w:lvl w:ilvl="6">
      <w:start w:val="0"/>
      <w:numFmt w:val="bullet"/>
      <w:lvlText w:val="•"/>
      <w:lvlJc w:val="left"/>
      <w:pPr>
        <w:ind w:left="3328" w:hanging="362"/>
      </w:pPr>
      <w:rPr>
        <w:rFonts w:hint="default"/>
      </w:rPr>
    </w:lvl>
    <w:lvl w:ilvl="7">
      <w:start w:val="0"/>
      <w:numFmt w:val="bullet"/>
      <w:lvlText w:val="•"/>
      <w:lvlJc w:val="left"/>
      <w:pPr>
        <w:ind w:left="3813" w:hanging="362"/>
      </w:pPr>
      <w:rPr>
        <w:rFonts w:hint="default"/>
      </w:rPr>
    </w:lvl>
    <w:lvl w:ilvl="8">
      <w:start w:val="0"/>
      <w:numFmt w:val="bullet"/>
      <w:lvlText w:val="•"/>
      <w:lvlJc w:val="left"/>
      <w:pPr>
        <w:ind w:left="4299" w:hanging="362"/>
      </w:pPr>
      <w:rPr>
        <w:rFonts w:hint="default"/>
      </w:rPr>
    </w:lvl>
  </w:abstractNum>
  <w:abstractNum w:abstractNumId="39">
    <w:multiLevelType w:val="hybridMultilevel"/>
    <w:lvl w:ilvl="0">
      <w:start w:val="9"/>
      <w:numFmt w:val="decimal"/>
      <w:lvlText w:val="%1"/>
      <w:lvlJc w:val="left"/>
      <w:pPr>
        <w:ind w:left="1449" w:hanging="488"/>
        <w:jc w:val="left"/>
      </w:pPr>
      <w:rPr>
        <w:rFonts w:hint="default"/>
      </w:rPr>
    </w:lvl>
    <w:lvl w:ilvl="1">
      <w:start w:val="1"/>
      <w:numFmt w:val="decimal"/>
      <w:lvlText w:val="%1-%2"/>
      <w:lvlJc w:val="left"/>
      <w:pPr>
        <w:ind w:left="1449" w:hanging="488"/>
        <w:jc w:val="left"/>
      </w:pPr>
      <w:rPr>
        <w:rFonts w:hint="default" w:ascii="微軟正黑體" w:hAnsi="微軟正黑體" w:eastAsia="微軟正黑體" w:cs="微軟正黑體"/>
        <w:spacing w:val="-20"/>
        <w:w w:val="100"/>
        <w:sz w:val="24"/>
        <w:szCs w:val="24"/>
      </w:rPr>
    </w:lvl>
    <w:lvl w:ilvl="2">
      <w:start w:val="0"/>
      <w:numFmt w:val="bullet"/>
      <w:lvlText w:val="•"/>
      <w:lvlJc w:val="left"/>
      <w:pPr>
        <w:ind w:left="3365" w:hanging="488"/>
      </w:pPr>
      <w:rPr>
        <w:rFonts w:hint="default"/>
      </w:rPr>
    </w:lvl>
    <w:lvl w:ilvl="3">
      <w:start w:val="0"/>
      <w:numFmt w:val="bullet"/>
      <w:lvlText w:val="•"/>
      <w:lvlJc w:val="left"/>
      <w:pPr>
        <w:ind w:left="4328" w:hanging="488"/>
      </w:pPr>
      <w:rPr>
        <w:rFonts w:hint="default"/>
      </w:rPr>
    </w:lvl>
    <w:lvl w:ilvl="4">
      <w:start w:val="0"/>
      <w:numFmt w:val="bullet"/>
      <w:lvlText w:val="•"/>
      <w:lvlJc w:val="left"/>
      <w:pPr>
        <w:ind w:left="5290" w:hanging="488"/>
      </w:pPr>
      <w:rPr>
        <w:rFonts w:hint="default"/>
      </w:rPr>
    </w:lvl>
    <w:lvl w:ilvl="5">
      <w:start w:val="0"/>
      <w:numFmt w:val="bullet"/>
      <w:lvlText w:val="•"/>
      <w:lvlJc w:val="left"/>
      <w:pPr>
        <w:ind w:left="6253" w:hanging="488"/>
      </w:pPr>
      <w:rPr>
        <w:rFonts w:hint="default"/>
      </w:rPr>
    </w:lvl>
    <w:lvl w:ilvl="6">
      <w:start w:val="0"/>
      <w:numFmt w:val="bullet"/>
      <w:lvlText w:val="•"/>
      <w:lvlJc w:val="left"/>
      <w:pPr>
        <w:ind w:left="7216" w:hanging="488"/>
      </w:pPr>
      <w:rPr>
        <w:rFonts w:hint="default"/>
      </w:rPr>
    </w:lvl>
    <w:lvl w:ilvl="7">
      <w:start w:val="0"/>
      <w:numFmt w:val="bullet"/>
      <w:lvlText w:val="•"/>
      <w:lvlJc w:val="left"/>
      <w:pPr>
        <w:ind w:left="8179" w:hanging="488"/>
      </w:pPr>
      <w:rPr>
        <w:rFonts w:hint="default"/>
      </w:rPr>
    </w:lvl>
    <w:lvl w:ilvl="8">
      <w:start w:val="0"/>
      <w:numFmt w:val="bullet"/>
      <w:lvlText w:val="•"/>
      <w:lvlJc w:val="left"/>
      <w:pPr>
        <w:ind w:left="9141" w:hanging="488"/>
      </w:pPr>
      <w:rPr>
        <w:rFonts w:hint="default"/>
      </w:rPr>
    </w:lvl>
  </w:abstractNum>
  <w:abstractNum w:abstractNumId="38">
    <w:multiLevelType w:val="hybridMultilevel"/>
    <w:lvl w:ilvl="0">
      <w:start w:val="4"/>
      <w:numFmt w:val="decimal"/>
      <w:lvlText w:val="%1"/>
      <w:lvlJc w:val="left"/>
      <w:pPr>
        <w:ind w:left="1461" w:hanging="489"/>
        <w:jc w:val="left"/>
      </w:pPr>
      <w:rPr>
        <w:rFonts w:hint="default"/>
      </w:rPr>
    </w:lvl>
    <w:lvl w:ilvl="1">
      <w:start w:val="1"/>
      <w:numFmt w:val="decimal"/>
      <w:lvlText w:val="%1-%2"/>
      <w:lvlJc w:val="left"/>
      <w:pPr>
        <w:ind w:left="1461" w:hanging="489"/>
        <w:jc w:val="left"/>
      </w:pPr>
      <w:rPr>
        <w:rFonts w:hint="default" w:ascii="微軟正黑體" w:hAnsi="微軟正黑體" w:eastAsia="微軟正黑體" w:cs="微軟正黑體"/>
        <w:spacing w:val="-26"/>
        <w:w w:val="100"/>
        <w:sz w:val="24"/>
        <w:szCs w:val="24"/>
      </w:rPr>
    </w:lvl>
    <w:lvl w:ilvl="2">
      <w:start w:val="0"/>
      <w:numFmt w:val="bullet"/>
      <w:lvlText w:val="•"/>
      <w:lvlJc w:val="left"/>
      <w:pPr>
        <w:ind w:left="3381" w:hanging="489"/>
      </w:pPr>
      <w:rPr>
        <w:rFonts w:hint="default"/>
      </w:rPr>
    </w:lvl>
    <w:lvl w:ilvl="3">
      <w:start w:val="0"/>
      <w:numFmt w:val="bullet"/>
      <w:lvlText w:val="•"/>
      <w:lvlJc w:val="left"/>
      <w:pPr>
        <w:ind w:left="4342" w:hanging="489"/>
      </w:pPr>
      <w:rPr>
        <w:rFonts w:hint="default"/>
      </w:rPr>
    </w:lvl>
    <w:lvl w:ilvl="4">
      <w:start w:val="0"/>
      <w:numFmt w:val="bullet"/>
      <w:lvlText w:val="•"/>
      <w:lvlJc w:val="left"/>
      <w:pPr>
        <w:ind w:left="5302" w:hanging="489"/>
      </w:pPr>
      <w:rPr>
        <w:rFonts w:hint="default"/>
      </w:rPr>
    </w:lvl>
    <w:lvl w:ilvl="5">
      <w:start w:val="0"/>
      <w:numFmt w:val="bullet"/>
      <w:lvlText w:val="•"/>
      <w:lvlJc w:val="left"/>
      <w:pPr>
        <w:ind w:left="6263" w:hanging="489"/>
      </w:pPr>
      <w:rPr>
        <w:rFonts w:hint="default"/>
      </w:rPr>
    </w:lvl>
    <w:lvl w:ilvl="6">
      <w:start w:val="0"/>
      <w:numFmt w:val="bullet"/>
      <w:lvlText w:val="•"/>
      <w:lvlJc w:val="left"/>
      <w:pPr>
        <w:ind w:left="7224" w:hanging="489"/>
      </w:pPr>
      <w:rPr>
        <w:rFonts w:hint="default"/>
      </w:rPr>
    </w:lvl>
    <w:lvl w:ilvl="7">
      <w:start w:val="0"/>
      <w:numFmt w:val="bullet"/>
      <w:lvlText w:val="•"/>
      <w:lvlJc w:val="left"/>
      <w:pPr>
        <w:ind w:left="8185" w:hanging="489"/>
      </w:pPr>
      <w:rPr>
        <w:rFonts w:hint="default"/>
      </w:rPr>
    </w:lvl>
    <w:lvl w:ilvl="8">
      <w:start w:val="0"/>
      <w:numFmt w:val="bullet"/>
      <w:lvlText w:val="•"/>
      <w:lvlJc w:val="left"/>
      <w:pPr>
        <w:ind w:left="9145" w:hanging="489"/>
      </w:pPr>
      <w:rPr>
        <w:rFonts w:hint="default"/>
      </w:rPr>
    </w:lvl>
  </w:abstractNum>
  <w:abstractNum w:abstractNumId="37">
    <w:multiLevelType w:val="hybridMultilevel"/>
    <w:lvl w:ilvl="0">
      <w:start w:val="3"/>
      <w:numFmt w:val="decimal"/>
      <w:lvlText w:val="%1"/>
      <w:lvlJc w:val="left"/>
      <w:pPr>
        <w:ind w:left="1461" w:hanging="489"/>
        <w:jc w:val="left"/>
      </w:pPr>
      <w:rPr>
        <w:rFonts w:hint="default"/>
      </w:rPr>
    </w:lvl>
    <w:lvl w:ilvl="1">
      <w:start w:val="1"/>
      <w:numFmt w:val="decimal"/>
      <w:lvlText w:val="%1-%2"/>
      <w:lvlJc w:val="left"/>
      <w:pPr>
        <w:ind w:left="1461" w:hanging="489"/>
        <w:jc w:val="left"/>
      </w:pPr>
      <w:rPr>
        <w:rFonts w:hint="default" w:ascii="微軟正黑體" w:hAnsi="微軟正黑體" w:eastAsia="微軟正黑體" w:cs="微軟正黑體"/>
        <w:spacing w:val="-34"/>
        <w:w w:val="100"/>
        <w:sz w:val="24"/>
        <w:szCs w:val="24"/>
      </w:rPr>
    </w:lvl>
    <w:lvl w:ilvl="2">
      <w:start w:val="1"/>
      <w:numFmt w:val="decimal"/>
      <w:lvlText w:val="(%3)"/>
      <w:lvlJc w:val="left"/>
      <w:pPr>
        <w:ind w:left="1959" w:hanging="404"/>
        <w:jc w:val="left"/>
      </w:pPr>
      <w:rPr>
        <w:rFonts w:hint="default" w:ascii="微軟正黑體" w:hAnsi="微軟正黑體" w:eastAsia="微軟正黑體" w:cs="微軟正黑體"/>
        <w:spacing w:val="0"/>
        <w:w w:val="99"/>
        <w:sz w:val="24"/>
        <w:szCs w:val="24"/>
      </w:rPr>
    </w:lvl>
    <w:lvl w:ilvl="3">
      <w:start w:val="0"/>
      <w:numFmt w:val="bullet"/>
      <w:lvlText w:val="•"/>
      <w:lvlJc w:val="left"/>
      <w:pPr>
        <w:ind w:left="3983" w:hanging="404"/>
      </w:pPr>
      <w:rPr>
        <w:rFonts w:hint="default"/>
      </w:rPr>
    </w:lvl>
    <w:lvl w:ilvl="4">
      <w:start w:val="0"/>
      <w:numFmt w:val="bullet"/>
      <w:lvlText w:val="•"/>
      <w:lvlJc w:val="left"/>
      <w:pPr>
        <w:ind w:left="4995" w:hanging="404"/>
      </w:pPr>
      <w:rPr>
        <w:rFonts w:hint="default"/>
      </w:rPr>
    </w:lvl>
    <w:lvl w:ilvl="5">
      <w:start w:val="0"/>
      <w:numFmt w:val="bullet"/>
      <w:lvlText w:val="•"/>
      <w:lvlJc w:val="left"/>
      <w:pPr>
        <w:ind w:left="6007" w:hanging="404"/>
      </w:pPr>
      <w:rPr>
        <w:rFonts w:hint="default"/>
      </w:rPr>
    </w:lvl>
    <w:lvl w:ilvl="6">
      <w:start w:val="0"/>
      <w:numFmt w:val="bullet"/>
      <w:lvlText w:val="•"/>
      <w:lvlJc w:val="left"/>
      <w:pPr>
        <w:ind w:left="7019" w:hanging="404"/>
      </w:pPr>
      <w:rPr>
        <w:rFonts w:hint="default"/>
      </w:rPr>
    </w:lvl>
    <w:lvl w:ilvl="7">
      <w:start w:val="0"/>
      <w:numFmt w:val="bullet"/>
      <w:lvlText w:val="•"/>
      <w:lvlJc w:val="left"/>
      <w:pPr>
        <w:ind w:left="8031" w:hanging="404"/>
      </w:pPr>
      <w:rPr>
        <w:rFonts w:hint="default"/>
      </w:rPr>
    </w:lvl>
    <w:lvl w:ilvl="8">
      <w:start w:val="0"/>
      <w:numFmt w:val="bullet"/>
      <w:lvlText w:val="•"/>
      <w:lvlJc w:val="left"/>
      <w:pPr>
        <w:ind w:left="9043" w:hanging="404"/>
      </w:pPr>
      <w:rPr>
        <w:rFonts w:hint="default"/>
      </w:rPr>
    </w:lvl>
  </w:abstractNum>
  <w:abstractNum w:abstractNumId="36">
    <w:multiLevelType w:val="hybridMultilevel"/>
    <w:lvl w:ilvl="0">
      <w:start w:val="2"/>
      <w:numFmt w:val="decimal"/>
      <w:lvlText w:val="%1"/>
      <w:lvlJc w:val="left"/>
      <w:pPr>
        <w:ind w:left="1461" w:hanging="489"/>
        <w:jc w:val="left"/>
      </w:pPr>
      <w:rPr>
        <w:rFonts w:hint="default"/>
      </w:rPr>
    </w:lvl>
    <w:lvl w:ilvl="1">
      <w:start w:val="1"/>
      <w:numFmt w:val="decimal"/>
      <w:lvlText w:val="%1-%2"/>
      <w:lvlJc w:val="left"/>
      <w:pPr>
        <w:ind w:left="1461" w:hanging="489"/>
        <w:jc w:val="left"/>
      </w:pPr>
      <w:rPr>
        <w:rFonts w:hint="default" w:ascii="微軟正黑體" w:hAnsi="微軟正黑體" w:eastAsia="微軟正黑體" w:cs="微軟正黑體"/>
        <w:spacing w:val="-18"/>
        <w:w w:val="100"/>
        <w:sz w:val="24"/>
        <w:szCs w:val="24"/>
      </w:rPr>
    </w:lvl>
    <w:lvl w:ilvl="2">
      <w:start w:val="1"/>
      <w:numFmt w:val="decimal"/>
      <w:lvlText w:val="(%3)"/>
      <w:lvlJc w:val="left"/>
      <w:pPr>
        <w:ind w:left="1822" w:hanging="366"/>
        <w:jc w:val="left"/>
      </w:pPr>
      <w:rPr>
        <w:rFonts w:hint="default" w:ascii="微軟正黑體" w:hAnsi="微軟正黑體" w:eastAsia="微軟正黑體" w:cs="微軟正黑體"/>
        <w:spacing w:val="0"/>
        <w:w w:val="99"/>
        <w:sz w:val="24"/>
        <w:szCs w:val="24"/>
      </w:rPr>
    </w:lvl>
    <w:lvl w:ilvl="3">
      <w:start w:val="0"/>
      <w:numFmt w:val="bullet"/>
      <w:lvlText w:val="•"/>
      <w:lvlJc w:val="left"/>
      <w:pPr>
        <w:ind w:left="3874" w:hanging="366"/>
      </w:pPr>
      <w:rPr>
        <w:rFonts w:hint="default"/>
      </w:rPr>
    </w:lvl>
    <w:lvl w:ilvl="4">
      <w:start w:val="0"/>
      <w:numFmt w:val="bullet"/>
      <w:lvlText w:val="•"/>
      <w:lvlJc w:val="left"/>
      <w:pPr>
        <w:ind w:left="4902" w:hanging="366"/>
      </w:pPr>
      <w:rPr>
        <w:rFonts w:hint="default"/>
      </w:rPr>
    </w:lvl>
    <w:lvl w:ilvl="5">
      <w:start w:val="0"/>
      <w:numFmt w:val="bullet"/>
      <w:lvlText w:val="•"/>
      <w:lvlJc w:val="left"/>
      <w:pPr>
        <w:ind w:left="5929" w:hanging="366"/>
      </w:pPr>
      <w:rPr>
        <w:rFonts w:hint="default"/>
      </w:rPr>
    </w:lvl>
    <w:lvl w:ilvl="6">
      <w:start w:val="0"/>
      <w:numFmt w:val="bullet"/>
      <w:lvlText w:val="•"/>
      <w:lvlJc w:val="left"/>
      <w:pPr>
        <w:ind w:left="6957" w:hanging="366"/>
      </w:pPr>
      <w:rPr>
        <w:rFonts w:hint="default"/>
      </w:rPr>
    </w:lvl>
    <w:lvl w:ilvl="7">
      <w:start w:val="0"/>
      <w:numFmt w:val="bullet"/>
      <w:lvlText w:val="•"/>
      <w:lvlJc w:val="left"/>
      <w:pPr>
        <w:ind w:left="7984" w:hanging="366"/>
      </w:pPr>
      <w:rPr>
        <w:rFonts w:hint="default"/>
      </w:rPr>
    </w:lvl>
    <w:lvl w:ilvl="8">
      <w:start w:val="0"/>
      <w:numFmt w:val="bullet"/>
      <w:lvlText w:val="•"/>
      <w:lvlJc w:val="left"/>
      <w:pPr>
        <w:ind w:left="9012" w:hanging="366"/>
      </w:pPr>
      <w:rPr>
        <w:rFonts w:hint="default"/>
      </w:rPr>
    </w:lvl>
  </w:abstractNum>
  <w:abstractNum w:abstractNumId="35">
    <w:multiLevelType w:val="hybridMultilevel"/>
    <w:lvl w:ilvl="0">
      <w:start w:val="1"/>
      <w:numFmt w:val="decimal"/>
      <w:lvlText w:val="%1."/>
      <w:lvlJc w:val="left"/>
      <w:pPr>
        <w:ind w:left="986" w:hanging="244"/>
        <w:jc w:val="left"/>
      </w:pPr>
      <w:rPr>
        <w:rFonts w:hint="default" w:ascii="微軟正黑體" w:hAnsi="微軟正黑體" w:eastAsia="微軟正黑體" w:cs="微軟正黑體"/>
        <w:spacing w:val="-4"/>
        <w:w w:val="100"/>
        <w:sz w:val="24"/>
        <w:szCs w:val="24"/>
      </w:rPr>
    </w:lvl>
    <w:lvl w:ilvl="1">
      <w:start w:val="1"/>
      <w:numFmt w:val="decimal"/>
      <w:lvlText w:val="%1-%2"/>
      <w:lvlJc w:val="left"/>
      <w:pPr>
        <w:ind w:left="1461" w:hanging="489"/>
        <w:jc w:val="left"/>
      </w:pPr>
      <w:rPr>
        <w:rFonts w:hint="default" w:ascii="微軟正黑體" w:hAnsi="微軟正黑體" w:eastAsia="微軟正黑體" w:cs="微軟正黑體"/>
        <w:spacing w:val="-18"/>
        <w:w w:val="100"/>
        <w:sz w:val="24"/>
        <w:szCs w:val="24"/>
      </w:rPr>
    </w:lvl>
    <w:lvl w:ilvl="2">
      <w:start w:val="1"/>
      <w:numFmt w:val="decimal"/>
      <w:lvlText w:val="(%3)"/>
      <w:lvlJc w:val="left"/>
      <w:pPr>
        <w:ind w:left="1822" w:hanging="366"/>
        <w:jc w:val="left"/>
      </w:pPr>
      <w:rPr>
        <w:rFonts w:hint="default" w:ascii="微軟正黑體" w:hAnsi="微軟正黑體" w:eastAsia="微軟正黑體" w:cs="微軟正黑體"/>
        <w:spacing w:val="0"/>
        <w:w w:val="99"/>
        <w:sz w:val="24"/>
        <w:szCs w:val="24"/>
      </w:rPr>
    </w:lvl>
    <w:lvl w:ilvl="3">
      <w:start w:val="0"/>
      <w:numFmt w:val="bullet"/>
      <w:lvlText w:val="•"/>
      <w:lvlJc w:val="left"/>
      <w:pPr>
        <w:ind w:left="2975" w:hanging="366"/>
      </w:pPr>
      <w:rPr>
        <w:rFonts w:hint="default"/>
      </w:rPr>
    </w:lvl>
    <w:lvl w:ilvl="4">
      <w:start w:val="0"/>
      <w:numFmt w:val="bullet"/>
      <w:lvlText w:val="•"/>
      <w:lvlJc w:val="left"/>
      <w:pPr>
        <w:ind w:left="4131" w:hanging="366"/>
      </w:pPr>
      <w:rPr>
        <w:rFonts w:hint="default"/>
      </w:rPr>
    </w:lvl>
    <w:lvl w:ilvl="5">
      <w:start w:val="0"/>
      <w:numFmt w:val="bullet"/>
      <w:lvlText w:val="•"/>
      <w:lvlJc w:val="left"/>
      <w:pPr>
        <w:ind w:left="5287" w:hanging="366"/>
      </w:pPr>
      <w:rPr>
        <w:rFonts w:hint="default"/>
      </w:rPr>
    </w:lvl>
    <w:lvl w:ilvl="6">
      <w:start w:val="0"/>
      <w:numFmt w:val="bullet"/>
      <w:lvlText w:val="•"/>
      <w:lvlJc w:val="left"/>
      <w:pPr>
        <w:ind w:left="6443" w:hanging="366"/>
      </w:pPr>
      <w:rPr>
        <w:rFonts w:hint="default"/>
      </w:rPr>
    </w:lvl>
    <w:lvl w:ilvl="7">
      <w:start w:val="0"/>
      <w:numFmt w:val="bullet"/>
      <w:lvlText w:val="•"/>
      <w:lvlJc w:val="left"/>
      <w:pPr>
        <w:ind w:left="7599" w:hanging="366"/>
      </w:pPr>
      <w:rPr>
        <w:rFonts w:hint="default"/>
      </w:rPr>
    </w:lvl>
    <w:lvl w:ilvl="8">
      <w:start w:val="0"/>
      <w:numFmt w:val="bullet"/>
      <w:lvlText w:val="•"/>
      <w:lvlJc w:val="left"/>
      <w:pPr>
        <w:ind w:left="8755" w:hanging="366"/>
      </w:pPr>
      <w:rPr>
        <w:rFonts w:hint="default"/>
      </w:rPr>
    </w:lvl>
  </w:abstractNum>
  <w:abstractNum w:abstractNumId="34">
    <w:multiLevelType w:val="hybridMultilevel"/>
    <w:lvl w:ilvl="0">
      <w:start w:val="1"/>
      <w:numFmt w:val="decimal"/>
      <w:lvlText w:val="%1."/>
      <w:lvlJc w:val="left"/>
      <w:pPr>
        <w:ind w:left="1713" w:hanging="268"/>
        <w:jc w:val="left"/>
      </w:pPr>
      <w:rPr>
        <w:rFonts w:hint="default" w:ascii="微軟正黑體" w:hAnsi="微軟正黑體" w:eastAsia="微軟正黑體" w:cs="微軟正黑體"/>
        <w:spacing w:val="-4"/>
        <w:w w:val="100"/>
        <w:sz w:val="24"/>
        <w:szCs w:val="24"/>
      </w:rPr>
    </w:lvl>
    <w:lvl w:ilvl="1">
      <w:start w:val="0"/>
      <w:numFmt w:val="bullet"/>
      <w:lvlText w:val="•"/>
      <w:lvlJc w:val="left"/>
      <w:pPr>
        <w:ind w:left="2654" w:hanging="268"/>
      </w:pPr>
      <w:rPr>
        <w:rFonts w:hint="default"/>
      </w:rPr>
    </w:lvl>
    <w:lvl w:ilvl="2">
      <w:start w:val="0"/>
      <w:numFmt w:val="bullet"/>
      <w:lvlText w:val="•"/>
      <w:lvlJc w:val="left"/>
      <w:pPr>
        <w:ind w:left="3589" w:hanging="268"/>
      </w:pPr>
      <w:rPr>
        <w:rFonts w:hint="default"/>
      </w:rPr>
    </w:lvl>
    <w:lvl w:ilvl="3">
      <w:start w:val="0"/>
      <w:numFmt w:val="bullet"/>
      <w:lvlText w:val="•"/>
      <w:lvlJc w:val="left"/>
      <w:pPr>
        <w:ind w:left="4524" w:hanging="268"/>
      </w:pPr>
      <w:rPr>
        <w:rFonts w:hint="default"/>
      </w:rPr>
    </w:lvl>
    <w:lvl w:ilvl="4">
      <w:start w:val="0"/>
      <w:numFmt w:val="bullet"/>
      <w:lvlText w:val="•"/>
      <w:lvlJc w:val="left"/>
      <w:pPr>
        <w:ind w:left="5458" w:hanging="268"/>
      </w:pPr>
      <w:rPr>
        <w:rFonts w:hint="default"/>
      </w:rPr>
    </w:lvl>
    <w:lvl w:ilvl="5">
      <w:start w:val="0"/>
      <w:numFmt w:val="bullet"/>
      <w:lvlText w:val="•"/>
      <w:lvlJc w:val="left"/>
      <w:pPr>
        <w:ind w:left="6393" w:hanging="268"/>
      </w:pPr>
      <w:rPr>
        <w:rFonts w:hint="default"/>
      </w:rPr>
    </w:lvl>
    <w:lvl w:ilvl="6">
      <w:start w:val="0"/>
      <w:numFmt w:val="bullet"/>
      <w:lvlText w:val="•"/>
      <w:lvlJc w:val="left"/>
      <w:pPr>
        <w:ind w:left="7328" w:hanging="268"/>
      </w:pPr>
      <w:rPr>
        <w:rFonts w:hint="default"/>
      </w:rPr>
    </w:lvl>
    <w:lvl w:ilvl="7">
      <w:start w:val="0"/>
      <w:numFmt w:val="bullet"/>
      <w:lvlText w:val="•"/>
      <w:lvlJc w:val="left"/>
      <w:pPr>
        <w:ind w:left="8263" w:hanging="268"/>
      </w:pPr>
      <w:rPr>
        <w:rFonts w:hint="default"/>
      </w:rPr>
    </w:lvl>
    <w:lvl w:ilvl="8">
      <w:start w:val="0"/>
      <w:numFmt w:val="bullet"/>
      <w:lvlText w:val="•"/>
      <w:lvlJc w:val="left"/>
      <w:pPr>
        <w:ind w:left="9197" w:hanging="268"/>
      </w:pPr>
      <w:rPr>
        <w:rFonts w:hint="default"/>
      </w:rPr>
    </w:lvl>
  </w:abstractNum>
  <w:abstractNum w:abstractNumId="33">
    <w:multiLevelType w:val="hybridMultilevel"/>
    <w:lvl w:ilvl="0">
      <w:start w:val="2"/>
      <w:numFmt w:val="decimal"/>
      <w:lvlText w:val="%1"/>
      <w:lvlJc w:val="left"/>
      <w:pPr>
        <w:ind w:left="1461" w:hanging="489"/>
        <w:jc w:val="left"/>
      </w:pPr>
      <w:rPr>
        <w:rFonts w:hint="default"/>
      </w:rPr>
    </w:lvl>
    <w:lvl w:ilvl="1">
      <w:start w:val="1"/>
      <w:numFmt w:val="decimal"/>
      <w:lvlText w:val="%1-%2"/>
      <w:lvlJc w:val="left"/>
      <w:pPr>
        <w:ind w:left="1461" w:hanging="489"/>
        <w:jc w:val="left"/>
      </w:pPr>
      <w:rPr>
        <w:rFonts w:hint="default" w:ascii="微軟正黑體" w:hAnsi="微軟正黑體" w:eastAsia="微軟正黑體" w:cs="微軟正黑體"/>
        <w:spacing w:val="-18"/>
        <w:w w:val="100"/>
        <w:sz w:val="24"/>
        <w:szCs w:val="24"/>
      </w:rPr>
    </w:lvl>
    <w:lvl w:ilvl="2">
      <w:start w:val="0"/>
      <w:numFmt w:val="bullet"/>
      <w:lvlText w:val="•"/>
      <w:lvlJc w:val="left"/>
      <w:pPr>
        <w:ind w:left="3381" w:hanging="489"/>
      </w:pPr>
      <w:rPr>
        <w:rFonts w:hint="default"/>
      </w:rPr>
    </w:lvl>
    <w:lvl w:ilvl="3">
      <w:start w:val="0"/>
      <w:numFmt w:val="bullet"/>
      <w:lvlText w:val="•"/>
      <w:lvlJc w:val="left"/>
      <w:pPr>
        <w:ind w:left="4342" w:hanging="489"/>
      </w:pPr>
      <w:rPr>
        <w:rFonts w:hint="default"/>
      </w:rPr>
    </w:lvl>
    <w:lvl w:ilvl="4">
      <w:start w:val="0"/>
      <w:numFmt w:val="bullet"/>
      <w:lvlText w:val="•"/>
      <w:lvlJc w:val="left"/>
      <w:pPr>
        <w:ind w:left="5302" w:hanging="489"/>
      </w:pPr>
      <w:rPr>
        <w:rFonts w:hint="default"/>
      </w:rPr>
    </w:lvl>
    <w:lvl w:ilvl="5">
      <w:start w:val="0"/>
      <w:numFmt w:val="bullet"/>
      <w:lvlText w:val="•"/>
      <w:lvlJc w:val="left"/>
      <w:pPr>
        <w:ind w:left="6263" w:hanging="489"/>
      </w:pPr>
      <w:rPr>
        <w:rFonts w:hint="default"/>
      </w:rPr>
    </w:lvl>
    <w:lvl w:ilvl="6">
      <w:start w:val="0"/>
      <w:numFmt w:val="bullet"/>
      <w:lvlText w:val="•"/>
      <w:lvlJc w:val="left"/>
      <w:pPr>
        <w:ind w:left="7224" w:hanging="489"/>
      </w:pPr>
      <w:rPr>
        <w:rFonts w:hint="default"/>
      </w:rPr>
    </w:lvl>
    <w:lvl w:ilvl="7">
      <w:start w:val="0"/>
      <w:numFmt w:val="bullet"/>
      <w:lvlText w:val="•"/>
      <w:lvlJc w:val="left"/>
      <w:pPr>
        <w:ind w:left="8185" w:hanging="489"/>
      </w:pPr>
      <w:rPr>
        <w:rFonts w:hint="default"/>
      </w:rPr>
    </w:lvl>
    <w:lvl w:ilvl="8">
      <w:start w:val="0"/>
      <w:numFmt w:val="bullet"/>
      <w:lvlText w:val="•"/>
      <w:lvlJc w:val="left"/>
      <w:pPr>
        <w:ind w:left="9145" w:hanging="489"/>
      </w:pPr>
      <w:rPr>
        <w:rFonts w:hint="default"/>
      </w:rPr>
    </w:lvl>
  </w:abstractNum>
  <w:abstractNum w:abstractNumId="32">
    <w:multiLevelType w:val="hybridMultilevel"/>
    <w:lvl w:ilvl="0">
      <w:start w:val="1"/>
      <w:numFmt w:val="decimal"/>
      <w:lvlText w:val="%1"/>
      <w:lvlJc w:val="left"/>
      <w:pPr>
        <w:ind w:left="1461" w:hanging="489"/>
        <w:jc w:val="left"/>
      </w:pPr>
      <w:rPr>
        <w:rFonts w:hint="default"/>
      </w:rPr>
    </w:lvl>
    <w:lvl w:ilvl="1">
      <w:start w:val="1"/>
      <w:numFmt w:val="decimal"/>
      <w:lvlText w:val="%1-%2"/>
      <w:lvlJc w:val="left"/>
      <w:pPr>
        <w:ind w:left="1461" w:hanging="489"/>
        <w:jc w:val="left"/>
      </w:pPr>
      <w:rPr>
        <w:rFonts w:hint="default" w:ascii="微軟正黑體" w:hAnsi="微軟正黑體" w:eastAsia="微軟正黑體" w:cs="微軟正黑體"/>
        <w:spacing w:val="-22"/>
        <w:w w:val="100"/>
        <w:sz w:val="24"/>
        <w:szCs w:val="24"/>
      </w:rPr>
    </w:lvl>
    <w:lvl w:ilvl="2">
      <w:start w:val="0"/>
      <w:numFmt w:val="bullet"/>
      <w:lvlText w:val="•"/>
      <w:lvlJc w:val="left"/>
      <w:pPr>
        <w:ind w:left="3381" w:hanging="489"/>
      </w:pPr>
      <w:rPr>
        <w:rFonts w:hint="default"/>
      </w:rPr>
    </w:lvl>
    <w:lvl w:ilvl="3">
      <w:start w:val="0"/>
      <w:numFmt w:val="bullet"/>
      <w:lvlText w:val="•"/>
      <w:lvlJc w:val="left"/>
      <w:pPr>
        <w:ind w:left="4342" w:hanging="489"/>
      </w:pPr>
      <w:rPr>
        <w:rFonts w:hint="default"/>
      </w:rPr>
    </w:lvl>
    <w:lvl w:ilvl="4">
      <w:start w:val="0"/>
      <w:numFmt w:val="bullet"/>
      <w:lvlText w:val="•"/>
      <w:lvlJc w:val="left"/>
      <w:pPr>
        <w:ind w:left="5302" w:hanging="489"/>
      </w:pPr>
      <w:rPr>
        <w:rFonts w:hint="default"/>
      </w:rPr>
    </w:lvl>
    <w:lvl w:ilvl="5">
      <w:start w:val="0"/>
      <w:numFmt w:val="bullet"/>
      <w:lvlText w:val="•"/>
      <w:lvlJc w:val="left"/>
      <w:pPr>
        <w:ind w:left="6263" w:hanging="489"/>
      </w:pPr>
      <w:rPr>
        <w:rFonts w:hint="default"/>
      </w:rPr>
    </w:lvl>
    <w:lvl w:ilvl="6">
      <w:start w:val="0"/>
      <w:numFmt w:val="bullet"/>
      <w:lvlText w:val="•"/>
      <w:lvlJc w:val="left"/>
      <w:pPr>
        <w:ind w:left="7224" w:hanging="489"/>
      </w:pPr>
      <w:rPr>
        <w:rFonts w:hint="default"/>
      </w:rPr>
    </w:lvl>
    <w:lvl w:ilvl="7">
      <w:start w:val="0"/>
      <w:numFmt w:val="bullet"/>
      <w:lvlText w:val="•"/>
      <w:lvlJc w:val="left"/>
      <w:pPr>
        <w:ind w:left="8185" w:hanging="489"/>
      </w:pPr>
      <w:rPr>
        <w:rFonts w:hint="default"/>
      </w:rPr>
    </w:lvl>
    <w:lvl w:ilvl="8">
      <w:start w:val="0"/>
      <w:numFmt w:val="bullet"/>
      <w:lvlText w:val="•"/>
      <w:lvlJc w:val="left"/>
      <w:pPr>
        <w:ind w:left="9145" w:hanging="489"/>
      </w:pPr>
      <w:rPr>
        <w:rFonts w:hint="default"/>
      </w:rPr>
    </w:lvl>
  </w:abstractNum>
  <w:abstractNum w:abstractNumId="31">
    <w:multiLevelType w:val="hybridMultilevel"/>
    <w:lvl w:ilvl="0">
      <w:start w:val="5"/>
      <w:numFmt w:val="decimal"/>
      <w:lvlText w:val="%1"/>
      <w:lvlJc w:val="left"/>
      <w:pPr>
        <w:ind w:left="663" w:hanging="483"/>
        <w:jc w:val="left"/>
      </w:pPr>
      <w:rPr>
        <w:rFonts w:hint="default"/>
      </w:rPr>
    </w:lvl>
    <w:lvl w:ilvl="1">
      <w:start w:val="1"/>
      <w:numFmt w:val="decimal"/>
      <w:lvlText w:val="%1.%2"/>
      <w:lvlJc w:val="left"/>
      <w:pPr>
        <w:ind w:left="663" w:hanging="483"/>
        <w:jc w:val="left"/>
      </w:pPr>
      <w:rPr>
        <w:rFonts w:hint="default" w:ascii="微軟正黑體" w:hAnsi="微軟正黑體" w:eastAsia="微軟正黑體" w:cs="微軟正黑體"/>
        <w:b/>
        <w:bCs/>
        <w:spacing w:val="0"/>
        <w:w w:val="99"/>
        <w:sz w:val="25"/>
        <w:szCs w:val="25"/>
      </w:rPr>
    </w:lvl>
    <w:lvl w:ilvl="2">
      <w:start w:val="1"/>
      <w:numFmt w:val="decimal"/>
      <w:lvlText w:val="%1.%2.%3"/>
      <w:lvlJc w:val="left"/>
      <w:pPr>
        <w:ind w:left="962" w:hanging="671"/>
        <w:jc w:val="left"/>
      </w:pPr>
      <w:rPr>
        <w:rFonts w:hint="default"/>
        <w:b/>
        <w:bCs/>
        <w:spacing w:val="-11"/>
        <w:w w:val="100"/>
      </w:rPr>
    </w:lvl>
    <w:lvl w:ilvl="3">
      <w:start w:val="1"/>
      <w:numFmt w:val="decimal"/>
      <w:lvlText w:val="%4."/>
      <w:lvlJc w:val="left"/>
      <w:pPr>
        <w:ind w:left="958" w:hanging="371"/>
        <w:jc w:val="left"/>
      </w:pPr>
      <w:rPr>
        <w:rFonts w:hint="default"/>
        <w:spacing w:val="-22"/>
        <w:w w:val="100"/>
      </w:rPr>
    </w:lvl>
    <w:lvl w:ilvl="4">
      <w:start w:val="1"/>
      <w:numFmt w:val="decimal"/>
      <w:lvlText w:val="%4-%5"/>
      <w:lvlJc w:val="left"/>
      <w:pPr>
        <w:ind w:left="1438" w:hanging="371"/>
        <w:jc w:val="left"/>
      </w:pPr>
      <w:rPr>
        <w:rFonts w:hint="default" w:ascii="微軟正黑體" w:hAnsi="微軟正黑體" w:eastAsia="微軟正黑體" w:cs="微軟正黑體"/>
        <w:spacing w:val="-20"/>
        <w:w w:val="100"/>
        <w:sz w:val="24"/>
        <w:szCs w:val="24"/>
      </w:rPr>
    </w:lvl>
    <w:lvl w:ilvl="5">
      <w:start w:val="0"/>
      <w:numFmt w:val="bullet"/>
      <w:lvlText w:val="•"/>
      <w:lvlJc w:val="left"/>
      <w:pPr>
        <w:ind w:left="3277" w:hanging="371"/>
      </w:pPr>
      <w:rPr>
        <w:rFonts w:hint="default"/>
      </w:rPr>
    </w:lvl>
    <w:lvl w:ilvl="6">
      <w:start w:val="0"/>
      <w:numFmt w:val="bullet"/>
      <w:lvlText w:val="•"/>
      <w:lvlJc w:val="left"/>
      <w:pPr>
        <w:ind w:left="4835" w:hanging="371"/>
      </w:pPr>
      <w:rPr>
        <w:rFonts w:hint="default"/>
      </w:rPr>
    </w:lvl>
    <w:lvl w:ilvl="7">
      <w:start w:val="0"/>
      <w:numFmt w:val="bullet"/>
      <w:lvlText w:val="•"/>
      <w:lvlJc w:val="left"/>
      <w:pPr>
        <w:ind w:left="6393" w:hanging="371"/>
      </w:pPr>
      <w:rPr>
        <w:rFonts w:hint="default"/>
      </w:rPr>
    </w:lvl>
    <w:lvl w:ilvl="8">
      <w:start w:val="0"/>
      <w:numFmt w:val="bullet"/>
      <w:lvlText w:val="•"/>
      <w:lvlJc w:val="left"/>
      <w:pPr>
        <w:ind w:left="7951" w:hanging="371"/>
      </w:pPr>
      <w:rPr>
        <w:rFonts w:hint="default"/>
      </w:rPr>
    </w:lvl>
  </w:abstractNum>
  <w:abstractNum w:abstractNumId="30">
    <w:multiLevelType w:val="hybridMultilevel"/>
    <w:lvl w:ilvl="0">
      <w:start w:val="1"/>
      <w:numFmt w:val="decimal"/>
      <w:lvlText w:val="%1."/>
      <w:lvlJc w:val="left"/>
      <w:pPr>
        <w:ind w:left="966" w:hanging="380"/>
        <w:jc w:val="left"/>
      </w:pPr>
      <w:rPr>
        <w:rFonts w:hint="default"/>
        <w:spacing w:val="-1"/>
        <w:w w:val="100"/>
      </w:rPr>
    </w:lvl>
    <w:lvl w:ilvl="1">
      <w:start w:val="0"/>
      <w:numFmt w:val="bullet"/>
      <w:lvlText w:val="•"/>
      <w:lvlJc w:val="left"/>
      <w:pPr>
        <w:ind w:left="1970" w:hanging="380"/>
      </w:pPr>
      <w:rPr>
        <w:rFonts w:hint="default"/>
      </w:rPr>
    </w:lvl>
    <w:lvl w:ilvl="2">
      <w:start w:val="0"/>
      <w:numFmt w:val="bullet"/>
      <w:lvlText w:val="•"/>
      <w:lvlJc w:val="left"/>
      <w:pPr>
        <w:ind w:left="2981" w:hanging="380"/>
      </w:pPr>
      <w:rPr>
        <w:rFonts w:hint="default"/>
      </w:rPr>
    </w:lvl>
    <w:lvl w:ilvl="3">
      <w:start w:val="0"/>
      <w:numFmt w:val="bullet"/>
      <w:lvlText w:val="•"/>
      <w:lvlJc w:val="left"/>
      <w:pPr>
        <w:ind w:left="3992" w:hanging="380"/>
      </w:pPr>
      <w:rPr>
        <w:rFonts w:hint="default"/>
      </w:rPr>
    </w:lvl>
    <w:lvl w:ilvl="4">
      <w:start w:val="0"/>
      <w:numFmt w:val="bullet"/>
      <w:lvlText w:val="•"/>
      <w:lvlJc w:val="left"/>
      <w:pPr>
        <w:ind w:left="5002" w:hanging="380"/>
      </w:pPr>
      <w:rPr>
        <w:rFonts w:hint="default"/>
      </w:rPr>
    </w:lvl>
    <w:lvl w:ilvl="5">
      <w:start w:val="0"/>
      <w:numFmt w:val="bullet"/>
      <w:lvlText w:val="•"/>
      <w:lvlJc w:val="left"/>
      <w:pPr>
        <w:ind w:left="6013" w:hanging="380"/>
      </w:pPr>
      <w:rPr>
        <w:rFonts w:hint="default"/>
      </w:rPr>
    </w:lvl>
    <w:lvl w:ilvl="6">
      <w:start w:val="0"/>
      <w:numFmt w:val="bullet"/>
      <w:lvlText w:val="•"/>
      <w:lvlJc w:val="left"/>
      <w:pPr>
        <w:ind w:left="7024" w:hanging="380"/>
      </w:pPr>
      <w:rPr>
        <w:rFonts w:hint="default"/>
      </w:rPr>
    </w:lvl>
    <w:lvl w:ilvl="7">
      <w:start w:val="0"/>
      <w:numFmt w:val="bullet"/>
      <w:lvlText w:val="•"/>
      <w:lvlJc w:val="left"/>
      <w:pPr>
        <w:ind w:left="8035" w:hanging="380"/>
      </w:pPr>
      <w:rPr>
        <w:rFonts w:hint="default"/>
      </w:rPr>
    </w:lvl>
    <w:lvl w:ilvl="8">
      <w:start w:val="0"/>
      <w:numFmt w:val="bullet"/>
      <w:lvlText w:val="•"/>
      <w:lvlJc w:val="left"/>
      <w:pPr>
        <w:ind w:left="9045" w:hanging="380"/>
      </w:pPr>
      <w:rPr>
        <w:rFonts w:hint="default"/>
      </w:rPr>
    </w:lvl>
  </w:abstractNum>
  <w:abstractNum w:abstractNumId="29">
    <w:multiLevelType w:val="hybridMultilevel"/>
    <w:lvl w:ilvl="0">
      <w:start w:val="4"/>
      <w:numFmt w:val="decimal"/>
      <w:lvlText w:val="%1"/>
      <w:lvlJc w:val="left"/>
      <w:pPr>
        <w:ind w:left="962" w:hanging="671"/>
        <w:jc w:val="left"/>
      </w:pPr>
      <w:rPr>
        <w:rFonts w:hint="default"/>
      </w:rPr>
    </w:lvl>
    <w:lvl w:ilvl="1">
      <w:start w:val="9"/>
      <w:numFmt w:val="decimal"/>
      <w:lvlText w:val="%1.%2"/>
      <w:lvlJc w:val="left"/>
      <w:pPr>
        <w:ind w:left="962" w:hanging="671"/>
        <w:jc w:val="left"/>
      </w:pPr>
      <w:rPr>
        <w:rFonts w:hint="default"/>
      </w:rPr>
    </w:lvl>
    <w:lvl w:ilvl="2">
      <w:start w:val="1"/>
      <w:numFmt w:val="decimal"/>
      <w:lvlText w:val="%1.%2.%3"/>
      <w:lvlJc w:val="left"/>
      <w:pPr>
        <w:ind w:left="962" w:hanging="671"/>
        <w:jc w:val="left"/>
      </w:pPr>
      <w:rPr>
        <w:rFonts w:hint="default" w:ascii="微軟正黑體" w:hAnsi="微軟正黑體" w:eastAsia="微軟正黑體" w:cs="微軟正黑體"/>
        <w:b/>
        <w:bCs/>
        <w:spacing w:val="-11"/>
        <w:w w:val="100"/>
        <w:sz w:val="24"/>
        <w:szCs w:val="24"/>
      </w:rPr>
    </w:lvl>
    <w:lvl w:ilvl="3">
      <w:start w:val="1"/>
      <w:numFmt w:val="decimal"/>
      <w:lvlText w:val="%4."/>
      <w:lvlJc w:val="left"/>
      <w:pPr>
        <w:ind w:left="941" w:hanging="244"/>
        <w:jc w:val="left"/>
      </w:pPr>
      <w:rPr>
        <w:rFonts w:hint="default" w:ascii="微軟正黑體" w:hAnsi="微軟正黑體" w:eastAsia="微軟正黑體" w:cs="微軟正黑體"/>
        <w:spacing w:val="0"/>
        <w:w w:val="100"/>
        <w:sz w:val="24"/>
        <w:szCs w:val="24"/>
      </w:rPr>
    </w:lvl>
    <w:lvl w:ilvl="4">
      <w:start w:val="0"/>
      <w:numFmt w:val="bullet"/>
      <w:lvlText w:val="•"/>
      <w:lvlJc w:val="left"/>
      <w:pPr>
        <w:ind w:left="4329" w:hanging="244"/>
      </w:pPr>
      <w:rPr>
        <w:rFonts w:hint="default"/>
      </w:rPr>
    </w:lvl>
    <w:lvl w:ilvl="5">
      <w:start w:val="0"/>
      <w:numFmt w:val="bullet"/>
      <w:lvlText w:val="•"/>
      <w:lvlJc w:val="left"/>
      <w:pPr>
        <w:ind w:left="5452" w:hanging="244"/>
      </w:pPr>
      <w:rPr>
        <w:rFonts w:hint="default"/>
      </w:rPr>
    </w:lvl>
    <w:lvl w:ilvl="6">
      <w:start w:val="0"/>
      <w:numFmt w:val="bullet"/>
      <w:lvlText w:val="•"/>
      <w:lvlJc w:val="left"/>
      <w:pPr>
        <w:ind w:left="6575" w:hanging="244"/>
      </w:pPr>
      <w:rPr>
        <w:rFonts w:hint="default"/>
      </w:rPr>
    </w:lvl>
    <w:lvl w:ilvl="7">
      <w:start w:val="0"/>
      <w:numFmt w:val="bullet"/>
      <w:lvlText w:val="•"/>
      <w:lvlJc w:val="left"/>
      <w:pPr>
        <w:ind w:left="7698" w:hanging="244"/>
      </w:pPr>
      <w:rPr>
        <w:rFonts w:hint="default"/>
      </w:rPr>
    </w:lvl>
    <w:lvl w:ilvl="8">
      <w:start w:val="0"/>
      <w:numFmt w:val="bullet"/>
      <w:lvlText w:val="•"/>
      <w:lvlJc w:val="left"/>
      <w:pPr>
        <w:ind w:left="8821" w:hanging="244"/>
      </w:pPr>
      <w:rPr>
        <w:rFonts w:hint="default"/>
      </w:rPr>
    </w:lvl>
  </w:abstractNum>
  <w:abstractNum w:abstractNumId="28">
    <w:multiLevelType w:val="hybridMultilevel"/>
    <w:lvl w:ilvl="0">
      <w:start w:val="1"/>
      <w:numFmt w:val="decimal"/>
      <w:lvlText w:val="%1."/>
      <w:lvlJc w:val="left"/>
      <w:pPr>
        <w:ind w:left="941" w:hanging="244"/>
        <w:jc w:val="left"/>
      </w:pPr>
      <w:rPr>
        <w:rFonts w:hint="default" w:ascii="微軟正黑體" w:hAnsi="微軟正黑體" w:eastAsia="微軟正黑體" w:cs="微軟正黑體"/>
        <w:color w:val="FF0000"/>
        <w:spacing w:val="0"/>
        <w:w w:val="100"/>
        <w:sz w:val="24"/>
        <w:szCs w:val="24"/>
      </w:rPr>
    </w:lvl>
    <w:lvl w:ilvl="1">
      <w:start w:val="0"/>
      <w:numFmt w:val="bullet"/>
      <w:lvlText w:val="•"/>
      <w:lvlJc w:val="left"/>
      <w:pPr>
        <w:ind w:left="1952" w:hanging="244"/>
      </w:pPr>
      <w:rPr>
        <w:rFonts w:hint="default"/>
      </w:rPr>
    </w:lvl>
    <w:lvl w:ilvl="2">
      <w:start w:val="0"/>
      <w:numFmt w:val="bullet"/>
      <w:lvlText w:val="•"/>
      <w:lvlJc w:val="left"/>
      <w:pPr>
        <w:ind w:left="2965" w:hanging="244"/>
      </w:pPr>
      <w:rPr>
        <w:rFonts w:hint="default"/>
      </w:rPr>
    </w:lvl>
    <w:lvl w:ilvl="3">
      <w:start w:val="0"/>
      <w:numFmt w:val="bullet"/>
      <w:lvlText w:val="•"/>
      <w:lvlJc w:val="left"/>
      <w:pPr>
        <w:ind w:left="3978" w:hanging="244"/>
      </w:pPr>
      <w:rPr>
        <w:rFonts w:hint="default"/>
      </w:rPr>
    </w:lvl>
    <w:lvl w:ilvl="4">
      <w:start w:val="0"/>
      <w:numFmt w:val="bullet"/>
      <w:lvlText w:val="•"/>
      <w:lvlJc w:val="left"/>
      <w:pPr>
        <w:ind w:left="4990" w:hanging="244"/>
      </w:pPr>
      <w:rPr>
        <w:rFonts w:hint="default"/>
      </w:rPr>
    </w:lvl>
    <w:lvl w:ilvl="5">
      <w:start w:val="0"/>
      <w:numFmt w:val="bullet"/>
      <w:lvlText w:val="•"/>
      <w:lvlJc w:val="left"/>
      <w:pPr>
        <w:ind w:left="6003" w:hanging="244"/>
      </w:pPr>
      <w:rPr>
        <w:rFonts w:hint="default"/>
      </w:rPr>
    </w:lvl>
    <w:lvl w:ilvl="6">
      <w:start w:val="0"/>
      <w:numFmt w:val="bullet"/>
      <w:lvlText w:val="•"/>
      <w:lvlJc w:val="left"/>
      <w:pPr>
        <w:ind w:left="7016" w:hanging="244"/>
      </w:pPr>
      <w:rPr>
        <w:rFonts w:hint="default"/>
      </w:rPr>
    </w:lvl>
    <w:lvl w:ilvl="7">
      <w:start w:val="0"/>
      <w:numFmt w:val="bullet"/>
      <w:lvlText w:val="•"/>
      <w:lvlJc w:val="left"/>
      <w:pPr>
        <w:ind w:left="8029" w:hanging="244"/>
      </w:pPr>
      <w:rPr>
        <w:rFonts w:hint="default"/>
      </w:rPr>
    </w:lvl>
    <w:lvl w:ilvl="8">
      <w:start w:val="0"/>
      <w:numFmt w:val="bullet"/>
      <w:lvlText w:val="•"/>
      <w:lvlJc w:val="left"/>
      <w:pPr>
        <w:ind w:left="9041" w:hanging="244"/>
      </w:pPr>
      <w:rPr>
        <w:rFonts w:hint="default"/>
      </w:rPr>
    </w:lvl>
  </w:abstractNum>
  <w:abstractNum w:abstractNumId="27">
    <w:multiLevelType w:val="hybridMultilevel"/>
    <w:lvl w:ilvl="0">
      <w:start w:val="4"/>
      <w:numFmt w:val="decimal"/>
      <w:lvlText w:val="%1"/>
      <w:lvlJc w:val="left"/>
      <w:pPr>
        <w:ind w:left="962" w:hanging="671"/>
        <w:jc w:val="left"/>
      </w:pPr>
      <w:rPr>
        <w:rFonts w:hint="default"/>
      </w:rPr>
    </w:lvl>
    <w:lvl w:ilvl="1">
      <w:start w:val="8"/>
      <w:numFmt w:val="decimal"/>
      <w:lvlText w:val="%1.%2"/>
      <w:lvlJc w:val="left"/>
      <w:pPr>
        <w:ind w:left="962" w:hanging="671"/>
        <w:jc w:val="left"/>
      </w:pPr>
      <w:rPr>
        <w:rFonts w:hint="default"/>
      </w:rPr>
    </w:lvl>
    <w:lvl w:ilvl="2">
      <w:start w:val="1"/>
      <w:numFmt w:val="decimal"/>
      <w:lvlText w:val="%1.%2.%3"/>
      <w:lvlJc w:val="left"/>
      <w:pPr>
        <w:ind w:left="962" w:hanging="671"/>
        <w:jc w:val="left"/>
      </w:pPr>
      <w:rPr>
        <w:rFonts w:hint="default" w:ascii="微軟正黑體" w:hAnsi="微軟正黑體" w:eastAsia="微軟正黑體" w:cs="微軟正黑體"/>
        <w:b/>
        <w:bCs/>
        <w:spacing w:val="-10"/>
        <w:w w:val="100"/>
        <w:sz w:val="24"/>
        <w:szCs w:val="24"/>
      </w:rPr>
    </w:lvl>
    <w:lvl w:ilvl="3">
      <w:start w:val="0"/>
      <w:numFmt w:val="bullet"/>
      <w:lvlText w:val="•"/>
      <w:lvlJc w:val="left"/>
      <w:pPr>
        <w:ind w:left="3992" w:hanging="671"/>
      </w:pPr>
      <w:rPr>
        <w:rFonts w:hint="default"/>
      </w:rPr>
    </w:lvl>
    <w:lvl w:ilvl="4">
      <w:start w:val="0"/>
      <w:numFmt w:val="bullet"/>
      <w:lvlText w:val="•"/>
      <w:lvlJc w:val="left"/>
      <w:pPr>
        <w:ind w:left="5002" w:hanging="671"/>
      </w:pPr>
      <w:rPr>
        <w:rFonts w:hint="default"/>
      </w:rPr>
    </w:lvl>
    <w:lvl w:ilvl="5">
      <w:start w:val="0"/>
      <w:numFmt w:val="bullet"/>
      <w:lvlText w:val="•"/>
      <w:lvlJc w:val="left"/>
      <w:pPr>
        <w:ind w:left="6013" w:hanging="671"/>
      </w:pPr>
      <w:rPr>
        <w:rFonts w:hint="default"/>
      </w:rPr>
    </w:lvl>
    <w:lvl w:ilvl="6">
      <w:start w:val="0"/>
      <w:numFmt w:val="bullet"/>
      <w:lvlText w:val="•"/>
      <w:lvlJc w:val="left"/>
      <w:pPr>
        <w:ind w:left="7024" w:hanging="671"/>
      </w:pPr>
      <w:rPr>
        <w:rFonts w:hint="default"/>
      </w:rPr>
    </w:lvl>
    <w:lvl w:ilvl="7">
      <w:start w:val="0"/>
      <w:numFmt w:val="bullet"/>
      <w:lvlText w:val="•"/>
      <w:lvlJc w:val="left"/>
      <w:pPr>
        <w:ind w:left="8035" w:hanging="671"/>
      </w:pPr>
      <w:rPr>
        <w:rFonts w:hint="default"/>
      </w:rPr>
    </w:lvl>
    <w:lvl w:ilvl="8">
      <w:start w:val="0"/>
      <w:numFmt w:val="bullet"/>
      <w:lvlText w:val="•"/>
      <w:lvlJc w:val="left"/>
      <w:pPr>
        <w:ind w:left="9045" w:hanging="671"/>
      </w:pPr>
      <w:rPr>
        <w:rFonts w:hint="default"/>
      </w:rPr>
    </w:lvl>
  </w:abstractNum>
  <w:abstractNum w:abstractNumId="26">
    <w:multiLevelType w:val="hybridMultilevel"/>
    <w:lvl w:ilvl="0">
      <w:start w:val="1"/>
      <w:numFmt w:val="decimal"/>
      <w:lvlText w:val="%1."/>
      <w:lvlJc w:val="left"/>
      <w:pPr>
        <w:ind w:left="953" w:hanging="256"/>
        <w:jc w:val="left"/>
      </w:pPr>
      <w:rPr>
        <w:rFonts w:hint="default" w:ascii="微軟正黑體" w:hAnsi="微軟正黑體" w:eastAsia="微軟正黑體" w:cs="微軟正黑體"/>
        <w:spacing w:val="0"/>
        <w:w w:val="100"/>
        <w:sz w:val="24"/>
        <w:szCs w:val="24"/>
      </w:rPr>
    </w:lvl>
    <w:lvl w:ilvl="1">
      <w:start w:val="0"/>
      <w:numFmt w:val="bullet"/>
      <w:lvlText w:val="•"/>
      <w:lvlJc w:val="left"/>
      <w:pPr>
        <w:ind w:left="1970" w:hanging="256"/>
      </w:pPr>
      <w:rPr>
        <w:rFonts w:hint="default"/>
      </w:rPr>
    </w:lvl>
    <w:lvl w:ilvl="2">
      <w:start w:val="0"/>
      <w:numFmt w:val="bullet"/>
      <w:lvlText w:val="•"/>
      <w:lvlJc w:val="left"/>
      <w:pPr>
        <w:ind w:left="2981" w:hanging="256"/>
      </w:pPr>
      <w:rPr>
        <w:rFonts w:hint="default"/>
      </w:rPr>
    </w:lvl>
    <w:lvl w:ilvl="3">
      <w:start w:val="0"/>
      <w:numFmt w:val="bullet"/>
      <w:lvlText w:val="•"/>
      <w:lvlJc w:val="left"/>
      <w:pPr>
        <w:ind w:left="3992" w:hanging="256"/>
      </w:pPr>
      <w:rPr>
        <w:rFonts w:hint="default"/>
      </w:rPr>
    </w:lvl>
    <w:lvl w:ilvl="4">
      <w:start w:val="0"/>
      <w:numFmt w:val="bullet"/>
      <w:lvlText w:val="•"/>
      <w:lvlJc w:val="left"/>
      <w:pPr>
        <w:ind w:left="5002" w:hanging="256"/>
      </w:pPr>
      <w:rPr>
        <w:rFonts w:hint="default"/>
      </w:rPr>
    </w:lvl>
    <w:lvl w:ilvl="5">
      <w:start w:val="0"/>
      <w:numFmt w:val="bullet"/>
      <w:lvlText w:val="•"/>
      <w:lvlJc w:val="left"/>
      <w:pPr>
        <w:ind w:left="6013" w:hanging="256"/>
      </w:pPr>
      <w:rPr>
        <w:rFonts w:hint="default"/>
      </w:rPr>
    </w:lvl>
    <w:lvl w:ilvl="6">
      <w:start w:val="0"/>
      <w:numFmt w:val="bullet"/>
      <w:lvlText w:val="•"/>
      <w:lvlJc w:val="left"/>
      <w:pPr>
        <w:ind w:left="7024" w:hanging="256"/>
      </w:pPr>
      <w:rPr>
        <w:rFonts w:hint="default"/>
      </w:rPr>
    </w:lvl>
    <w:lvl w:ilvl="7">
      <w:start w:val="0"/>
      <w:numFmt w:val="bullet"/>
      <w:lvlText w:val="•"/>
      <w:lvlJc w:val="left"/>
      <w:pPr>
        <w:ind w:left="8035" w:hanging="256"/>
      </w:pPr>
      <w:rPr>
        <w:rFonts w:hint="default"/>
      </w:rPr>
    </w:lvl>
    <w:lvl w:ilvl="8">
      <w:start w:val="0"/>
      <w:numFmt w:val="bullet"/>
      <w:lvlText w:val="•"/>
      <w:lvlJc w:val="left"/>
      <w:pPr>
        <w:ind w:left="9045" w:hanging="256"/>
      </w:pPr>
      <w:rPr>
        <w:rFonts w:hint="default"/>
      </w:rPr>
    </w:lvl>
  </w:abstractNum>
  <w:abstractNum w:abstractNumId="25">
    <w:multiLevelType w:val="hybridMultilevel"/>
    <w:lvl w:ilvl="0">
      <w:start w:val="1"/>
      <w:numFmt w:val="decimal"/>
      <w:lvlText w:val="%1."/>
      <w:lvlJc w:val="left"/>
      <w:pPr>
        <w:ind w:left="941" w:hanging="244"/>
        <w:jc w:val="left"/>
      </w:pPr>
      <w:rPr>
        <w:rFonts w:hint="default" w:ascii="微軟正黑體" w:hAnsi="微軟正黑體" w:eastAsia="微軟正黑體" w:cs="微軟正黑體"/>
        <w:spacing w:val="0"/>
        <w:w w:val="100"/>
        <w:sz w:val="24"/>
        <w:szCs w:val="24"/>
      </w:rPr>
    </w:lvl>
    <w:lvl w:ilvl="1">
      <w:start w:val="0"/>
      <w:numFmt w:val="bullet"/>
      <w:lvlText w:val="•"/>
      <w:lvlJc w:val="left"/>
      <w:pPr>
        <w:ind w:left="1952" w:hanging="244"/>
      </w:pPr>
      <w:rPr>
        <w:rFonts w:hint="default"/>
      </w:rPr>
    </w:lvl>
    <w:lvl w:ilvl="2">
      <w:start w:val="0"/>
      <w:numFmt w:val="bullet"/>
      <w:lvlText w:val="•"/>
      <w:lvlJc w:val="left"/>
      <w:pPr>
        <w:ind w:left="2965" w:hanging="244"/>
      </w:pPr>
      <w:rPr>
        <w:rFonts w:hint="default"/>
      </w:rPr>
    </w:lvl>
    <w:lvl w:ilvl="3">
      <w:start w:val="0"/>
      <w:numFmt w:val="bullet"/>
      <w:lvlText w:val="•"/>
      <w:lvlJc w:val="left"/>
      <w:pPr>
        <w:ind w:left="3978" w:hanging="244"/>
      </w:pPr>
      <w:rPr>
        <w:rFonts w:hint="default"/>
      </w:rPr>
    </w:lvl>
    <w:lvl w:ilvl="4">
      <w:start w:val="0"/>
      <w:numFmt w:val="bullet"/>
      <w:lvlText w:val="•"/>
      <w:lvlJc w:val="left"/>
      <w:pPr>
        <w:ind w:left="4990" w:hanging="244"/>
      </w:pPr>
      <w:rPr>
        <w:rFonts w:hint="default"/>
      </w:rPr>
    </w:lvl>
    <w:lvl w:ilvl="5">
      <w:start w:val="0"/>
      <w:numFmt w:val="bullet"/>
      <w:lvlText w:val="•"/>
      <w:lvlJc w:val="left"/>
      <w:pPr>
        <w:ind w:left="6003" w:hanging="244"/>
      </w:pPr>
      <w:rPr>
        <w:rFonts w:hint="default"/>
      </w:rPr>
    </w:lvl>
    <w:lvl w:ilvl="6">
      <w:start w:val="0"/>
      <w:numFmt w:val="bullet"/>
      <w:lvlText w:val="•"/>
      <w:lvlJc w:val="left"/>
      <w:pPr>
        <w:ind w:left="7016" w:hanging="244"/>
      </w:pPr>
      <w:rPr>
        <w:rFonts w:hint="default"/>
      </w:rPr>
    </w:lvl>
    <w:lvl w:ilvl="7">
      <w:start w:val="0"/>
      <w:numFmt w:val="bullet"/>
      <w:lvlText w:val="•"/>
      <w:lvlJc w:val="left"/>
      <w:pPr>
        <w:ind w:left="8029" w:hanging="244"/>
      </w:pPr>
      <w:rPr>
        <w:rFonts w:hint="default"/>
      </w:rPr>
    </w:lvl>
    <w:lvl w:ilvl="8">
      <w:start w:val="0"/>
      <w:numFmt w:val="bullet"/>
      <w:lvlText w:val="•"/>
      <w:lvlJc w:val="left"/>
      <w:pPr>
        <w:ind w:left="9041" w:hanging="244"/>
      </w:pPr>
      <w:rPr>
        <w:rFonts w:hint="default"/>
      </w:rPr>
    </w:lvl>
  </w:abstractNum>
  <w:abstractNum w:abstractNumId="24">
    <w:multiLevelType w:val="hybridMultilevel"/>
    <w:lvl w:ilvl="0">
      <w:start w:val="4"/>
      <w:numFmt w:val="decimal"/>
      <w:lvlText w:val="%1"/>
      <w:lvlJc w:val="left"/>
      <w:pPr>
        <w:ind w:left="962" w:hanging="671"/>
        <w:jc w:val="left"/>
      </w:pPr>
      <w:rPr>
        <w:rFonts w:hint="default"/>
      </w:rPr>
    </w:lvl>
    <w:lvl w:ilvl="1">
      <w:start w:val="6"/>
      <w:numFmt w:val="decimal"/>
      <w:lvlText w:val="%1.%2"/>
      <w:lvlJc w:val="left"/>
      <w:pPr>
        <w:ind w:left="962" w:hanging="671"/>
        <w:jc w:val="left"/>
      </w:pPr>
      <w:rPr>
        <w:rFonts w:hint="default"/>
      </w:rPr>
    </w:lvl>
    <w:lvl w:ilvl="2">
      <w:start w:val="1"/>
      <w:numFmt w:val="decimal"/>
      <w:lvlText w:val="%1.%2.%3"/>
      <w:lvlJc w:val="left"/>
      <w:pPr>
        <w:ind w:left="962" w:hanging="671"/>
        <w:jc w:val="left"/>
      </w:pPr>
      <w:rPr>
        <w:rFonts w:hint="default" w:ascii="微軟正黑體" w:hAnsi="微軟正黑體" w:eastAsia="微軟正黑體" w:cs="微軟正黑體"/>
        <w:b/>
        <w:bCs/>
        <w:spacing w:val="-11"/>
        <w:w w:val="100"/>
        <w:sz w:val="24"/>
        <w:szCs w:val="24"/>
      </w:rPr>
    </w:lvl>
    <w:lvl w:ilvl="3">
      <w:start w:val="0"/>
      <w:numFmt w:val="bullet"/>
      <w:lvlText w:val="•"/>
      <w:lvlJc w:val="left"/>
      <w:pPr>
        <w:ind w:left="3992" w:hanging="671"/>
      </w:pPr>
      <w:rPr>
        <w:rFonts w:hint="default"/>
      </w:rPr>
    </w:lvl>
    <w:lvl w:ilvl="4">
      <w:start w:val="0"/>
      <w:numFmt w:val="bullet"/>
      <w:lvlText w:val="•"/>
      <w:lvlJc w:val="left"/>
      <w:pPr>
        <w:ind w:left="5002" w:hanging="671"/>
      </w:pPr>
      <w:rPr>
        <w:rFonts w:hint="default"/>
      </w:rPr>
    </w:lvl>
    <w:lvl w:ilvl="5">
      <w:start w:val="0"/>
      <w:numFmt w:val="bullet"/>
      <w:lvlText w:val="•"/>
      <w:lvlJc w:val="left"/>
      <w:pPr>
        <w:ind w:left="6013" w:hanging="671"/>
      </w:pPr>
      <w:rPr>
        <w:rFonts w:hint="default"/>
      </w:rPr>
    </w:lvl>
    <w:lvl w:ilvl="6">
      <w:start w:val="0"/>
      <w:numFmt w:val="bullet"/>
      <w:lvlText w:val="•"/>
      <w:lvlJc w:val="left"/>
      <w:pPr>
        <w:ind w:left="7024" w:hanging="671"/>
      </w:pPr>
      <w:rPr>
        <w:rFonts w:hint="default"/>
      </w:rPr>
    </w:lvl>
    <w:lvl w:ilvl="7">
      <w:start w:val="0"/>
      <w:numFmt w:val="bullet"/>
      <w:lvlText w:val="•"/>
      <w:lvlJc w:val="left"/>
      <w:pPr>
        <w:ind w:left="8035" w:hanging="671"/>
      </w:pPr>
      <w:rPr>
        <w:rFonts w:hint="default"/>
      </w:rPr>
    </w:lvl>
    <w:lvl w:ilvl="8">
      <w:start w:val="0"/>
      <w:numFmt w:val="bullet"/>
      <w:lvlText w:val="•"/>
      <w:lvlJc w:val="left"/>
      <w:pPr>
        <w:ind w:left="9045" w:hanging="671"/>
      </w:pPr>
      <w:rPr>
        <w:rFonts w:hint="default"/>
      </w:rPr>
    </w:lvl>
  </w:abstractNum>
  <w:abstractNum w:abstractNumId="23">
    <w:multiLevelType w:val="hybridMultilevel"/>
    <w:lvl w:ilvl="0">
      <w:start w:val="5"/>
      <w:numFmt w:val="decimal"/>
      <w:lvlText w:val="%1"/>
      <w:lvlJc w:val="left"/>
      <w:pPr>
        <w:ind w:left="1149" w:hanging="496"/>
        <w:jc w:val="left"/>
      </w:pPr>
      <w:rPr>
        <w:rFonts w:hint="default"/>
      </w:rPr>
    </w:lvl>
    <w:lvl w:ilvl="1">
      <w:start w:val="3"/>
      <w:numFmt w:val="decimal"/>
      <w:lvlText w:val="%1-%2"/>
      <w:lvlJc w:val="left"/>
      <w:pPr>
        <w:ind w:left="1149" w:hanging="496"/>
        <w:jc w:val="left"/>
      </w:pPr>
      <w:rPr>
        <w:rFonts w:hint="default" w:ascii="微軟正黑體" w:hAnsi="微軟正黑體" w:eastAsia="微軟正黑體" w:cs="微軟正黑體"/>
        <w:spacing w:val="-21"/>
        <w:w w:val="100"/>
        <w:sz w:val="24"/>
        <w:szCs w:val="24"/>
      </w:rPr>
    </w:lvl>
    <w:lvl w:ilvl="2">
      <w:start w:val="0"/>
      <w:numFmt w:val="bullet"/>
      <w:lvlText w:val="•"/>
      <w:lvlJc w:val="left"/>
      <w:pPr>
        <w:ind w:left="3125" w:hanging="496"/>
      </w:pPr>
      <w:rPr>
        <w:rFonts w:hint="default"/>
      </w:rPr>
    </w:lvl>
    <w:lvl w:ilvl="3">
      <w:start w:val="0"/>
      <w:numFmt w:val="bullet"/>
      <w:lvlText w:val="•"/>
      <w:lvlJc w:val="left"/>
      <w:pPr>
        <w:ind w:left="4118" w:hanging="496"/>
      </w:pPr>
      <w:rPr>
        <w:rFonts w:hint="default"/>
      </w:rPr>
    </w:lvl>
    <w:lvl w:ilvl="4">
      <w:start w:val="0"/>
      <w:numFmt w:val="bullet"/>
      <w:lvlText w:val="•"/>
      <w:lvlJc w:val="left"/>
      <w:pPr>
        <w:ind w:left="5110" w:hanging="496"/>
      </w:pPr>
      <w:rPr>
        <w:rFonts w:hint="default"/>
      </w:rPr>
    </w:lvl>
    <w:lvl w:ilvl="5">
      <w:start w:val="0"/>
      <w:numFmt w:val="bullet"/>
      <w:lvlText w:val="•"/>
      <w:lvlJc w:val="left"/>
      <w:pPr>
        <w:ind w:left="6103" w:hanging="496"/>
      </w:pPr>
      <w:rPr>
        <w:rFonts w:hint="default"/>
      </w:rPr>
    </w:lvl>
    <w:lvl w:ilvl="6">
      <w:start w:val="0"/>
      <w:numFmt w:val="bullet"/>
      <w:lvlText w:val="•"/>
      <w:lvlJc w:val="left"/>
      <w:pPr>
        <w:ind w:left="7096" w:hanging="496"/>
      </w:pPr>
      <w:rPr>
        <w:rFonts w:hint="default"/>
      </w:rPr>
    </w:lvl>
    <w:lvl w:ilvl="7">
      <w:start w:val="0"/>
      <w:numFmt w:val="bullet"/>
      <w:lvlText w:val="•"/>
      <w:lvlJc w:val="left"/>
      <w:pPr>
        <w:ind w:left="8089" w:hanging="496"/>
      </w:pPr>
      <w:rPr>
        <w:rFonts w:hint="default"/>
      </w:rPr>
    </w:lvl>
    <w:lvl w:ilvl="8">
      <w:start w:val="0"/>
      <w:numFmt w:val="bullet"/>
      <w:lvlText w:val="•"/>
      <w:lvlJc w:val="left"/>
      <w:pPr>
        <w:ind w:left="9081" w:hanging="496"/>
      </w:pPr>
      <w:rPr>
        <w:rFonts w:hint="default"/>
      </w:rPr>
    </w:lvl>
  </w:abstractNum>
  <w:abstractNum w:abstractNumId="22">
    <w:multiLevelType w:val="hybridMultilevel"/>
    <w:lvl w:ilvl="0">
      <w:start w:val="4"/>
      <w:numFmt w:val="decimal"/>
      <w:lvlText w:val="%1"/>
      <w:lvlJc w:val="left"/>
      <w:pPr>
        <w:ind w:left="663" w:hanging="483"/>
        <w:jc w:val="left"/>
      </w:pPr>
      <w:rPr>
        <w:rFonts w:hint="default"/>
      </w:rPr>
    </w:lvl>
    <w:lvl w:ilvl="1">
      <w:start w:val="1"/>
      <w:numFmt w:val="decimal"/>
      <w:lvlText w:val="%1.%2"/>
      <w:lvlJc w:val="left"/>
      <w:pPr>
        <w:ind w:left="663" w:hanging="483"/>
        <w:jc w:val="left"/>
      </w:pPr>
      <w:rPr>
        <w:rFonts w:hint="default"/>
        <w:b/>
        <w:bCs/>
        <w:spacing w:val="0"/>
        <w:w w:val="99"/>
      </w:rPr>
    </w:lvl>
    <w:lvl w:ilvl="2">
      <w:start w:val="1"/>
      <w:numFmt w:val="decimal"/>
      <w:lvlText w:val="%3."/>
      <w:lvlJc w:val="left"/>
      <w:pPr>
        <w:ind w:left="657" w:hanging="366"/>
        <w:jc w:val="left"/>
      </w:pPr>
      <w:rPr>
        <w:rFonts w:hint="default"/>
        <w:spacing w:val="-63"/>
        <w:w w:val="100"/>
      </w:rPr>
    </w:lvl>
    <w:lvl w:ilvl="3">
      <w:start w:val="1"/>
      <w:numFmt w:val="decimal"/>
      <w:lvlText w:val="%3-%4"/>
      <w:lvlJc w:val="left"/>
      <w:pPr>
        <w:ind w:left="653" w:hanging="366"/>
        <w:jc w:val="left"/>
      </w:pPr>
      <w:rPr>
        <w:rFonts w:hint="default" w:ascii="微軟正黑體" w:hAnsi="微軟正黑體" w:eastAsia="微軟正黑體" w:cs="微軟正黑體"/>
        <w:spacing w:val="-25"/>
        <w:w w:val="100"/>
        <w:sz w:val="24"/>
        <w:szCs w:val="24"/>
      </w:rPr>
    </w:lvl>
    <w:lvl w:ilvl="4">
      <w:start w:val="0"/>
      <w:numFmt w:val="bullet"/>
      <w:lvlText w:val="•"/>
      <w:lvlJc w:val="left"/>
      <w:pPr>
        <w:ind w:left="4822" w:hanging="366"/>
      </w:pPr>
      <w:rPr>
        <w:rFonts w:hint="default"/>
      </w:rPr>
    </w:lvl>
    <w:lvl w:ilvl="5">
      <w:start w:val="0"/>
      <w:numFmt w:val="bullet"/>
      <w:lvlText w:val="•"/>
      <w:lvlJc w:val="left"/>
      <w:pPr>
        <w:ind w:left="5863" w:hanging="366"/>
      </w:pPr>
      <w:rPr>
        <w:rFonts w:hint="default"/>
      </w:rPr>
    </w:lvl>
    <w:lvl w:ilvl="6">
      <w:start w:val="0"/>
      <w:numFmt w:val="bullet"/>
      <w:lvlText w:val="•"/>
      <w:lvlJc w:val="left"/>
      <w:pPr>
        <w:ind w:left="6904" w:hanging="366"/>
      </w:pPr>
      <w:rPr>
        <w:rFonts w:hint="default"/>
      </w:rPr>
    </w:lvl>
    <w:lvl w:ilvl="7">
      <w:start w:val="0"/>
      <w:numFmt w:val="bullet"/>
      <w:lvlText w:val="•"/>
      <w:lvlJc w:val="left"/>
      <w:pPr>
        <w:ind w:left="7945" w:hanging="366"/>
      </w:pPr>
      <w:rPr>
        <w:rFonts w:hint="default"/>
      </w:rPr>
    </w:lvl>
    <w:lvl w:ilvl="8">
      <w:start w:val="0"/>
      <w:numFmt w:val="bullet"/>
      <w:lvlText w:val="•"/>
      <w:lvlJc w:val="left"/>
      <w:pPr>
        <w:ind w:left="8985" w:hanging="366"/>
      </w:pPr>
      <w:rPr>
        <w:rFonts w:hint="default"/>
      </w:rPr>
    </w:lvl>
  </w:abstractNum>
  <w:abstractNum w:abstractNumId="21">
    <w:multiLevelType w:val="hybridMultilevel"/>
    <w:lvl w:ilvl="0">
      <w:start w:val="1"/>
      <w:numFmt w:val="decimal"/>
      <w:lvlText w:val="(%1)"/>
      <w:lvlJc w:val="left"/>
      <w:pPr>
        <w:ind w:left="683" w:hanging="360"/>
        <w:jc w:val="left"/>
      </w:pPr>
      <w:rPr>
        <w:rFonts w:hint="default" w:ascii="微軟正黑體" w:hAnsi="微軟正黑體" w:eastAsia="微軟正黑體" w:cs="微軟正黑體"/>
        <w:spacing w:val="-1"/>
        <w:w w:val="100"/>
        <w:sz w:val="24"/>
        <w:szCs w:val="24"/>
      </w:rPr>
    </w:lvl>
    <w:lvl w:ilvl="1">
      <w:start w:val="0"/>
      <w:numFmt w:val="bullet"/>
      <w:lvlText w:val="•"/>
      <w:lvlJc w:val="left"/>
      <w:pPr>
        <w:ind w:left="1472" w:hanging="360"/>
      </w:pPr>
      <w:rPr>
        <w:rFonts w:hint="default"/>
      </w:rPr>
    </w:lvl>
    <w:lvl w:ilvl="2">
      <w:start w:val="0"/>
      <w:numFmt w:val="bullet"/>
      <w:lvlText w:val="•"/>
      <w:lvlJc w:val="left"/>
      <w:pPr>
        <w:ind w:left="2265" w:hanging="360"/>
      </w:pPr>
      <w:rPr>
        <w:rFonts w:hint="default"/>
      </w:rPr>
    </w:lvl>
    <w:lvl w:ilvl="3">
      <w:start w:val="0"/>
      <w:numFmt w:val="bullet"/>
      <w:lvlText w:val="•"/>
      <w:lvlJc w:val="left"/>
      <w:pPr>
        <w:ind w:left="3057" w:hanging="360"/>
      </w:pPr>
      <w:rPr>
        <w:rFonts w:hint="default"/>
      </w:rPr>
    </w:lvl>
    <w:lvl w:ilvl="4">
      <w:start w:val="0"/>
      <w:numFmt w:val="bullet"/>
      <w:lvlText w:val="•"/>
      <w:lvlJc w:val="left"/>
      <w:pPr>
        <w:ind w:left="3850" w:hanging="360"/>
      </w:pPr>
      <w:rPr>
        <w:rFonts w:hint="default"/>
      </w:rPr>
    </w:lvl>
    <w:lvl w:ilvl="5">
      <w:start w:val="0"/>
      <w:numFmt w:val="bullet"/>
      <w:lvlText w:val="•"/>
      <w:lvlJc w:val="left"/>
      <w:pPr>
        <w:ind w:left="4643" w:hanging="360"/>
      </w:pPr>
      <w:rPr>
        <w:rFonts w:hint="default"/>
      </w:rPr>
    </w:lvl>
    <w:lvl w:ilvl="6">
      <w:start w:val="0"/>
      <w:numFmt w:val="bullet"/>
      <w:lvlText w:val="•"/>
      <w:lvlJc w:val="left"/>
      <w:pPr>
        <w:ind w:left="5435" w:hanging="360"/>
      </w:pPr>
      <w:rPr>
        <w:rFonts w:hint="default"/>
      </w:rPr>
    </w:lvl>
    <w:lvl w:ilvl="7">
      <w:start w:val="0"/>
      <w:numFmt w:val="bullet"/>
      <w:lvlText w:val="•"/>
      <w:lvlJc w:val="left"/>
      <w:pPr>
        <w:ind w:left="6228" w:hanging="360"/>
      </w:pPr>
      <w:rPr>
        <w:rFonts w:hint="default"/>
      </w:rPr>
    </w:lvl>
    <w:lvl w:ilvl="8">
      <w:start w:val="0"/>
      <w:numFmt w:val="bullet"/>
      <w:lvlText w:val="•"/>
      <w:lvlJc w:val="left"/>
      <w:pPr>
        <w:ind w:left="7020" w:hanging="360"/>
      </w:pPr>
      <w:rPr>
        <w:rFonts w:hint="default"/>
      </w:rPr>
    </w:lvl>
  </w:abstractNum>
  <w:abstractNum w:abstractNumId="20">
    <w:multiLevelType w:val="hybridMultilevel"/>
    <w:lvl w:ilvl="0">
      <w:start w:val="1"/>
      <w:numFmt w:val="decimal"/>
      <w:lvlText w:val="(%1)"/>
      <w:lvlJc w:val="left"/>
      <w:pPr>
        <w:ind w:left="743" w:hanging="413"/>
        <w:jc w:val="left"/>
      </w:pPr>
      <w:rPr>
        <w:rFonts w:hint="default" w:ascii="微軟正黑體" w:hAnsi="微軟正黑體" w:eastAsia="微軟正黑體" w:cs="微軟正黑體"/>
        <w:spacing w:val="-1"/>
        <w:w w:val="99"/>
        <w:sz w:val="24"/>
        <w:szCs w:val="24"/>
      </w:rPr>
    </w:lvl>
    <w:lvl w:ilvl="1">
      <w:start w:val="0"/>
      <w:numFmt w:val="bullet"/>
      <w:lvlText w:val="•"/>
      <w:lvlJc w:val="left"/>
      <w:pPr>
        <w:ind w:left="1526" w:hanging="413"/>
      </w:pPr>
      <w:rPr>
        <w:rFonts w:hint="default"/>
      </w:rPr>
    </w:lvl>
    <w:lvl w:ilvl="2">
      <w:start w:val="0"/>
      <w:numFmt w:val="bullet"/>
      <w:lvlText w:val="•"/>
      <w:lvlJc w:val="left"/>
      <w:pPr>
        <w:ind w:left="2313" w:hanging="413"/>
      </w:pPr>
      <w:rPr>
        <w:rFonts w:hint="default"/>
      </w:rPr>
    </w:lvl>
    <w:lvl w:ilvl="3">
      <w:start w:val="0"/>
      <w:numFmt w:val="bullet"/>
      <w:lvlText w:val="•"/>
      <w:lvlJc w:val="left"/>
      <w:pPr>
        <w:ind w:left="3099" w:hanging="413"/>
      </w:pPr>
      <w:rPr>
        <w:rFonts w:hint="default"/>
      </w:rPr>
    </w:lvl>
    <w:lvl w:ilvl="4">
      <w:start w:val="0"/>
      <w:numFmt w:val="bullet"/>
      <w:lvlText w:val="•"/>
      <w:lvlJc w:val="left"/>
      <w:pPr>
        <w:ind w:left="3886" w:hanging="413"/>
      </w:pPr>
      <w:rPr>
        <w:rFonts w:hint="default"/>
      </w:rPr>
    </w:lvl>
    <w:lvl w:ilvl="5">
      <w:start w:val="0"/>
      <w:numFmt w:val="bullet"/>
      <w:lvlText w:val="•"/>
      <w:lvlJc w:val="left"/>
      <w:pPr>
        <w:ind w:left="4673" w:hanging="413"/>
      </w:pPr>
      <w:rPr>
        <w:rFonts w:hint="default"/>
      </w:rPr>
    </w:lvl>
    <w:lvl w:ilvl="6">
      <w:start w:val="0"/>
      <w:numFmt w:val="bullet"/>
      <w:lvlText w:val="•"/>
      <w:lvlJc w:val="left"/>
      <w:pPr>
        <w:ind w:left="5459" w:hanging="413"/>
      </w:pPr>
      <w:rPr>
        <w:rFonts w:hint="default"/>
      </w:rPr>
    </w:lvl>
    <w:lvl w:ilvl="7">
      <w:start w:val="0"/>
      <w:numFmt w:val="bullet"/>
      <w:lvlText w:val="•"/>
      <w:lvlJc w:val="left"/>
      <w:pPr>
        <w:ind w:left="6246" w:hanging="413"/>
      </w:pPr>
      <w:rPr>
        <w:rFonts w:hint="default"/>
      </w:rPr>
    </w:lvl>
    <w:lvl w:ilvl="8">
      <w:start w:val="0"/>
      <w:numFmt w:val="bullet"/>
      <w:lvlText w:val="•"/>
      <w:lvlJc w:val="left"/>
      <w:pPr>
        <w:ind w:left="7032" w:hanging="413"/>
      </w:pPr>
      <w:rPr>
        <w:rFonts w:hint="default"/>
      </w:rPr>
    </w:lvl>
  </w:abstractNum>
  <w:abstractNum w:abstractNumId="19">
    <w:multiLevelType w:val="hybridMultilevel"/>
    <w:lvl w:ilvl="0">
      <w:start w:val="1"/>
      <w:numFmt w:val="decimal"/>
      <w:lvlText w:val="%1."/>
      <w:lvlJc w:val="left"/>
      <w:pPr>
        <w:ind w:left="926" w:hanging="403"/>
        <w:jc w:val="left"/>
      </w:pPr>
      <w:rPr>
        <w:rFonts w:hint="default"/>
        <w:spacing w:val="-1"/>
        <w:w w:val="100"/>
      </w:rPr>
    </w:lvl>
    <w:lvl w:ilvl="1">
      <w:start w:val="0"/>
      <w:numFmt w:val="bullet"/>
      <w:lvlText w:val="•"/>
      <w:lvlJc w:val="left"/>
      <w:pPr>
        <w:ind w:left="1932" w:hanging="403"/>
      </w:pPr>
      <w:rPr>
        <w:rFonts w:hint="default"/>
      </w:rPr>
    </w:lvl>
    <w:lvl w:ilvl="2">
      <w:start w:val="0"/>
      <w:numFmt w:val="bullet"/>
      <w:lvlText w:val="•"/>
      <w:lvlJc w:val="left"/>
      <w:pPr>
        <w:ind w:left="2945" w:hanging="403"/>
      </w:pPr>
      <w:rPr>
        <w:rFonts w:hint="default"/>
      </w:rPr>
    </w:lvl>
    <w:lvl w:ilvl="3">
      <w:start w:val="0"/>
      <w:numFmt w:val="bullet"/>
      <w:lvlText w:val="•"/>
      <w:lvlJc w:val="left"/>
      <w:pPr>
        <w:ind w:left="3958" w:hanging="403"/>
      </w:pPr>
      <w:rPr>
        <w:rFonts w:hint="default"/>
      </w:rPr>
    </w:lvl>
    <w:lvl w:ilvl="4">
      <w:start w:val="0"/>
      <w:numFmt w:val="bullet"/>
      <w:lvlText w:val="•"/>
      <w:lvlJc w:val="left"/>
      <w:pPr>
        <w:ind w:left="4971" w:hanging="403"/>
      </w:pPr>
      <w:rPr>
        <w:rFonts w:hint="default"/>
      </w:rPr>
    </w:lvl>
    <w:lvl w:ilvl="5">
      <w:start w:val="0"/>
      <w:numFmt w:val="bullet"/>
      <w:lvlText w:val="•"/>
      <w:lvlJc w:val="left"/>
      <w:pPr>
        <w:ind w:left="5984" w:hanging="403"/>
      </w:pPr>
      <w:rPr>
        <w:rFonts w:hint="default"/>
      </w:rPr>
    </w:lvl>
    <w:lvl w:ilvl="6">
      <w:start w:val="0"/>
      <w:numFmt w:val="bullet"/>
      <w:lvlText w:val="•"/>
      <w:lvlJc w:val="left"/>
      <w:pPr>
        <w:ind w:left="6997" w:hanging="403"/>
      </w:pPr>
      <w:rPr>
        <w:rFonts w:hint="default"/>
      </w:rPr>
    </w:lvl>
    <w:lvl w:ilvl="7">
      <w:start w:val="0"/>
      <w:numFmt w:val="bullet"/>
      <w:lvlText w:val="•"/>
      <w:lvlJc w:val="left"/>
      <w:pPr>
        <w:ind w:left="8010" w:hanging="403"/>
      </w:pPr>
      <w:rPr>
        <w:rFonts w:hint="default"/>
      </w:rPr>
    </w:lvl>
    <w:lvl w:ilvl="8">
      <w:start w:val="0"/>
      <w:numFmt w:val="bullet"/>
      <w:lvlText w:val="•"/>
      <w:lvlJc w:val="left"/>
      <w:pPr>
        <w:ind w:left="9023" w:hanging="403"/>
      </w:pPr>
      <w:rPr>
        <w:rFonts w:hint="default"/>
      </w:rPr>
    </w:lvl>
  </w:abstractNum>
  <w:abstractNum w:abstractNumId="18">
    <w:multiLevelType w:val="hybridMultilevel"/>
    <w:lvl w:ilvl="0">
      <w:start w:val="1"/>
      <w:numFmt w:val="decimal"/>
      <w:lvlText w:val="%1."/>
      <w:lvlJc w:val="left"/>
      <w:pPr>
        <w:ind w:left="932" w:hanging="244"/>
        <w:jc w:val="left"/>
      </w:pPr>
      <w:rPr>
        <w:rFonts w:hint="default" w:ascii="微軟正黑體" w:hAnsi="微軟正黑體" w:eastAsia="微軟正黑體" w:cs="微軟正黑體"/>
        <w:spacing w:val="0"/>
        <w:w w:val="100"/>
        <w:sz w:val="24"/>
        <w:szCs w:val="24"/>
      </w:rPr>
    </w:lvl>
    <w:lvl w:ilvl="1">
      <w:start w:val="0"/>
      <w:numFmt w:val="bullet"/>
      <w:lvlText w:val="•"/>
      <w:lvlJc w:val="left"/>
      <w:pPr>
        <w:ind w:left="1950" w:hanging="244"/>
      </w:pPr>
      <w:rPr>
        <w:rFonts w:hint="default"/>
      </w:rPr>
    </w:lvl>
    <w:lvl w:ilvl="2">
      <w:start w:val="0"/>
      <w:numFmt w:val="bullet"/>
      <w:lvlText w:val="•"/>
      <w:lvlJc w:val="left"/>
      <w:pPr>
        <w:ind w:left="2961" w:hanging="244"/>
      </w:pPr>
      <w:rPr>
        <w:rFonts w:hint="default"/>
      </w:rPr>
    </w:lvl>
    <w:lvl w:ilvl="3">
      <w:start w:val="0"/>
      <w:numFmt w:val="bullet"/>
      <w:lvlText w:val="•"/>
      <w:lvlJc w:val="left"/>
      <w:pPr>
        <w:ind w:left="3972" w:hanging="244"/>
      </w:pPr>
      <w:rPr>
        <w:rFonts w:hint="default"/>
      </w:rPr>
    </w:lvl>
    <w:lvl w:ilvl="4">
      <w:start w:val="0"/>
      <w:numFmt w:val="bullet"/>
      <w:lvlText w:val="•"/>
      <w:lvlJc w:val="left"/>
      <w:pPr>
        <w:ind w:left="4983" w:hanging="244"/>
      </w:pPr>
      <w:rPr>
        <w:rFonts w:hint="default"/>
      </w:rPr>
    </w:lvl>
    <w:lvl w:ilvl="5">
      <w:start w:val="0"/>
      <w:numFmt w:val="bullet"/>
      <w:lvlText w:val="•"/>
      <w:lvlJc w:val="left"/>
      <w:pPr>
        <w:ind w:left="5994" w:hanging="244"/>
      </w:pPr>
      <w:rPr>
        <w:rFonts w:hint="default"/>
      </w:rPr>
    </w:lvl>
    <w:lvl w:ilvl="6">
      <w:start w:val="0"/>
      <w:numFmt w:val="bullet"/>
      <w:lvlText w:val="•"/>
      <w:lvlJc w:val="left"/>
      <w:pPr>
        <w:ind w:left="7005" w:hanging="244"/>
      </w:pPr>
      <w:rPr>
        <w:rFonts w:hint="default"/>
      </w:rPr>
    </w:lvl>
    <w:lvl w:ilvl="7">
      <w:start w:val="0"/>
      <w:numFmt w:val="bullet"/>
      <w:lvlText w:val="•"/>
      <w:lvlJc w:val="left"/>
      <w:pPr>
        <w:ind w:left="8016" w:hanging="244"/>
      </w:pPr>
      <w:rPr>
        <w:rFonts w:hint="default"/>
      </w:rPr>
    </w:lvl>
    <w:lvl w:ilvl="8">
      <w:start w:val="0"/>
      <w:numFmt w:val="bullet"/>
      <w:lvlText w:val="•"/>
      <w:lvlJc w:val="left"/>
      <w:pPr>
        <w:ind w:left="9027" w:hanging="244"/>
      </w:pPr>
      <w:rPr>
        <w:rFonts w:hint="default"/>
      </w:rPr>
    </w:lvl>
  </w:abstractNum>
  <w:abstractNum w:abstractNumId="17">
    <w:multiLevelType w:val="hybridMultilevel"/>
    <w:lvl w:ilvl="0">
      <w:start w:val="1"/>
      <w:numFmt w:val="decimal"/>
      <w:lvlText w:val="%1."/>
      <w:lvlJc w:val="left"/>
      <w:pPr>
        <w:ind w:left="928" w:hanging="240"/>
        <w:jc w:val="left"/>
      </w:pPr>
      <w:rPr>
        <w:rFonts w:hint="default" w:ascii="微軟正黑體" w:hAnsi="微軟正黑體" w:eastAsia="微軟正黑體" w:cs="微軟正黑體"/>
        <w:w w:val="100"/>
        <w:sz w:val="24"/>
        <w:szCs w:val="24"/>
      </w:rPr>
    </w:lvl>
    <w:lvl w:ilvl="1">
      <w:start w:val="0"/>
      <w:numFmt w:val="bullet"/>
      <w:lvlText w:val="•"/>
      <w:lvlJc w:val="left"/>
      <w:pPr>
        <w:ind w:left="1932" w:hanging="240"/>
      </w:pPr>
      <w:rPr>
        <w:rFonts w:hint="default"/>
      </w:rPr>
    </w:lvl>
    <w:lvl w:ilvl="2">
      <w:start w:val="0"/>
      <w:numFmt w:val="bullet"/>
      <w:lvlText w:val="•"/>
      <w:lvlJc w:val="left"/>
      <w:pPr>
        <w:ind w:left="2945" w:hanging="240"/>
      </w:pPr>
      <w:rPr>
        <w:rFonts w:hint="default"/>
      </w:rPr>
    </w:lvl>
    <w:lvl w:ilvl="3">
      <w:start w:val="0"/>
      <w:numFmt w:val="bullet"/>
      <w:lvlText w:val="•"/>
      <w:lvlJc w:val="left"/>
      <w:pPr>
        <w:ind w:left="3958" w:hanging="240"/>
      </w:pPr>
      <w:rPr>
        <w:rFonts w:hint="default"/>
      </w:rPr>
    </w:lvl>
    <w:lvl w:ilvl="4">
      <w:start w:val="0"/>
      <w:numFmt w:val="bullet"/>
      <w:lvlText w:val="•"/>
      <w:lvlJc w:val="left"/>
      <w:pPr>
        <w:ind w:left="4971" w:hanging="240"/>
      </w:pPr>
      <w:rPr>
        <w:rFonts w:hint="default"/>
      </w:rPr>
    </w:lvl>
    <w:lvl w:ilvl="5">
      <w:start w:val="0"/>
      <w:numFmt w:val="bullet"/>
      <w:lvlText w:val="•"/>
      <w:lvlJc w:val="left"/>
      <w:pPr>
        <w:ind w:left="5984" w:hanging="240"/>
      </w:pPr>
      <w:rPr>
        <w:rFonts w:hint="default"/>
      </w:rPr>
    </w:lvl>
    <w:lvl w:ilvl="6">
      <w:start w:val="0"/>
      <w:numFmt w:val="bullet"/>
      <w:lvlText w:val="•"/>
      <w:lvlJc w:val="left"/>
      <w:pPr>
        <w:ind w:left="6997" w:hanging="240"/>
      </w:pPr>
      <w:rPr>
        <w:rFonts w:hint="default"/>
      </w:rPr>
    </w:lvl>
    <w:lvl w:ilvl="7">
      <w:start w:val="0"/>
      <w:numFmt w:val="bullet"/>
      <w:lvlText w:val="•"/>
      <w:lvlJc w:val="left"/>
      <w:pPr>
        <w:ind w:left="8010" w:hanging="240"/>
      </w:pPr>
      <w:rPr>
        <w:rFonts w:hint="default"/>
      </w:rPr>
    </w:lvl>
    <w:lvl w:ilvl="8">
      <w:start w:val="0"/>
      <w:numFmt w:val="bullet"/>
      <w:lvlText w:val="•"/>
      <w:lvlJc w:val="left"/>
      <w:pPr>
        <w:ind w:left="9023" w:hanging="240"/>
      </w:pPr>
      <w:rPr>
        <w:rFonts w:hint="default"/>
      </w:rPr>
    </w:lvl>
  </w:abstractNum>
  <w:abstractNum w:abstractNumId="16">
    <w:multiLevelType w:val="hybridMultilevel"/>
    <w:lvl w:ilvl="0">
      <w:start w:val="2"/>
      <w:numFmt w:val="decimal"/>
      <w:lvlText w:val="%1"/>
      <w:lvlJc w:val="left"/>
      <w:pPr>
        <w:ind w:left="1464" w:hanging="512"/>
        <w:jc w:val="left"/>
      </w:pPr>
      <w:rPr>
        <w:rFonts w:hint="default"/>
      </w:rPr>
    </w:lvl>
    <w:lvl w:ilvl="1">
      <w:start w:val="1"/>
      <w:numFmt w:val="decimal"/>
      <w:lvlText w:val="%1-%2"/>
      <w:lvlJc w:val="left"/>
      <w:pPr>
        <w:ind w:left="1464" w:hanging="512"/>
        <w:jc w:val="left"/>
      </w:pPr>
      <w:rPr>
        <w:rFonts w:hint="default" w:ascii="微軟正黑體" w:hAnsi="微軟正黑體" w:eastAsia="微軟正黑體" w:cs="微軟正黑體"/>
        <w:spacing w:val="-39"/>
        <w:w w:val="100"/>
        <w:sz w:val="24"/>
        <w:szCs w:val="24"/>
      </w:rPr>
    </w:lvl>
    <w:lvl w:ilvl="2">
      <w:start w:val="0"/>
      <w:numFmt w:val="bullet"/>
      <w:lvlText w:val="•"/>
      <w:lvlJc w:val="left"/>
      <w:pPr>
        <w:ind w:left="3377" w:hanging="512"/>
      </w:pPr>
      <w:rPr>
        <w:rFonts w:hint="default"/>
      </w:rPr>
    </w:lvl>
    <w:lvl w:ilvl="3">
      <w:start w:val="0"/>
      <w:numFmt w:val="bullet"/>
      <w:lvlText w:val="•"/>
      <w:lvlJc w:val="left"/>
      <w:pPr>
        <w:ind w:left="4336" w:hanging="512"/>
      </w:pPr>
      <w:rPr>
        <w:rFonts w:hint="default"/>
      </w:rPr>
    </w:lvl>
    <w:lvl w:ilvl="4">
      <w:start w:val="0"/>
      <w:numFmt w:val="bullet"/>
      <w:lvlText w:val="•"/>
      <w:lvlJc w:val="left"/>
      <w:pPr>
        <w:ind w:left="5295" w:hanging="512"/>
      </w:pPr>
      <w:rPr>
        <w:rFonts w:hint="default"/>
      </w:rPr>
    </w:lvl>
    <w:lvl w:ilvl="5">
      <w:start w:val="0"/>
      <w:numFmt w:val="bullet"/>
      <w:lvlText w:val="•"/>
      <w:lvlJc w:val="left"/>
      <w:pPr>
        <w:ind w:left="6254" w:hanging="512"/>
      </w:pPr>
      <w:rPr>
        <w:rFonts w:hint="default"/>
      </w:rPr>
    </w:lvl>
    <w:lvl w:ilvl="6">
      <w:start w:val="0"/>
      <w:numFmt w:val="bullet"/>
      <w:lvlText w:val="•"/>
      <w:lvlJc w:val="left"/>
      <w:pPr>
        <w:ind w:left="7213" w:hanging="512"/>
      </w:pPr>
      <w:rPr>
        <w:rFonts w:hint="default"/>
      </w:rPr>
    </w:lvl>
    <w:lvl w:ilvl="7">
      <w:start w:val="0"/>
      <w:numFmt w:val="bullet"/>
      <w:lvlText w:val="•"/>
      <w:lvlJc w:val="left"/>
      <w:pPr>
        <w:ind w:left="8172" w:hanging="512"/>
      </w:pPr>
      <w:rPr>
        <w:rFonts w:hint="default"/>
      </w:rPr>
    </w:lvl>
    <w:lvl w:ilvl="8">
      <w:start w:val="0"/>
      <w:numFmt w:val="bullet"/>
      <w:lvlText w:val="•"/>
      <w:lvlJc w:val="left"/>
      <w:pPr>
        <w:ind w:left="9131" w:hanging="512"/>
      </w:pPr>
      <w:rPr>
        <w:rFonts w:hint="default"/>
      </w:rPr>
    </w:lvl>
  </w:abstractNum>
  <w:abstractNum w:abstractNumId="15">
    <w:multiLevelType w:val="hybridMultilevel"/>
    <w:lvl w:ilvl="0">
      <w:start w:val="1"/>
      <w:numFmt w:val="decimal"/>
      <w:lvlText w:val="%1."/>
      <w:lvlJc w:val="left"/>
      <w:pPr>
        <w:ind w:left="942" w:hanging="264"/>
        <w:jc w:val="left"/>
      </w:pPr>
      <w:rPr>
        <w:rFonts w:hint="default" w:ascii="微軟正黑體" w:hAnsi="微軟正黑體" w:eastAsia="微軟正黑體" w:cs="微軟正黑體"/>
        <w:b/>
        <w:bCs/>
        <w:spacing w:val="-1"/>
        <w:w w:val="100"/>
        <w:sz w:val="24"/>
        <w:szCs w:val="24"/>
      </w:rPr>
    </w:lvl>
    <w:lvl w:ilvl="1">
      <w:start w:val="1"/>
      <w:numFmt w:val="decimal"/>
      <w:lvlText w:val="(%2)"/>
      <w:lvlJc w:val="left"/>
      <w:pPr>
        <w:ind w:left="1243" w:hanging="312"/>
        <w:jc w:val="left"/>
      </w:pPr>
      <w:rPr>
        <w:rFonts w:hint="default" w:ascii="微軟正黑體" w:hAnsi="微軟正黑體" w:eastAsia="微軟正黑體" w:cs="微軟正黑體"/>
        <w:spacing w:val="-1"/>
        <w:w w:val="100"/>
        <w:sz w:val="24"/>
        <w:szCs w:val="24"/>
      </w:rPr>
    </w:lvl>
    <w:lvl w:ilvl="2">
      <w:start w:val="0"/>
      <w:numFmt w:val="bullet"/>
      <w:lvlText w:val="•"/>
      <w:lvlJc w:val="left"/>
      <w:pPr>
        <w:ind w:left="2329" w:hanging="312"/>
      </w:pPr>
      <w:rPr>
        <w:rFonts w:hint="default"/>
      </w:rPr>
    </w:lvl>
    <w:lvl w:ilvl="3">
      <w:start w:val="0"/>
      <w:numFmt w:val="bullet"/>
      <w:lvlText w:val="•"/>
      <w:lvlJc w:val="left"/>
      <w:pPr>
        <w:ind w:left="3419" w:hanging="312"/>
      </w:pPr>
      <w:rPr>
        <w:rFonts w:hint="default"/>
      </w:rPr>
    </w:lvl>
    <w:lvl w:ilvl="4">
      <w:start w:val="0"/>
      <w:numFmt w:val="bullet"/>
      <w:lvlText w:val="•"/>
      <w:lvlJc w:val="left"/>
      <w:pPr>
        <w:ind w:left="4509" w:hanging="312"/>
      </w:pPr>
      <w:rPr>
        <w:rFonts w:hint="default"/>
      </w:rPr>
    </w:lvl>
    <w:lvl w:ilvl="5">
      <w:start w:val="0"/>
      <w:numFmt w:val="bullet"/>
      <w:lvlText w:val="•"/>
      <w:lvlJc w:val="left"/>
      <w:pPr>
        <w:ind w:left="5599" w:hanging="312"/>
      </w:pPr>
      <w:rPr>
        <w:rFonts w:hint="default"/>
      </w:rPr>
    </w:lvl>
    <w:lvl w:ilvl="6">
      <w:start w:val="0"/>
      <w:numFmt w:val="bullet"/>
      <w:lvlText w:val="•"/>
      <w:lvlJc w:val="left"/>
      <w:pPr>
        <w:ind w:left="6689" w:hanging="312"/>
      </w:pPr>
      <w:rPr>
        <w:rFonts w:hint="default"/>
      </w:rPr>
    </w:lvl>
    <w:lvl w:ilvl="7">
      <w:start w:val="0"/>
      <w:numFmt w:val="bullet"/>
      <w:lvlText w:val="•"/>
      <w:lvlJc w:val="left"/>
      <w:pPr>
        <w:ind w:left="7779" w:hanging="312"/>
      </w:pPr>
      <w:rPr>
        <w:rFonts w:hint="default"/>
      </w:rPr>
    </w:lvl>
    <w:lvl w:ilvl="8">
      <w:start w:val="0"/>
      <w:numFmt w:val="bullet"/>
      <w:lvlText w:val="•"/>
      <w:lvlJc w:val="left"/>
      <w:pPr>
        <w:ind w:left="8869" w:hanging="312"/>
      </w:pPr>
      <w:rPr>
        <w:rFonts w:hint="default"/>
      </w:rPr>
    </w:lvl>
  </w:abstractNum>
  <w:abstractNum w:abstractNumId="14">
    <w:multiLevelType w:val="hybridMultilevel"/>
    <w:lvl w:ilvl="0">
      <w:start w:val="1"/>
      <w:numFmt w:val="decimal"/>
      <w:lvlText w:val="%1."/>
      <w:lvlJc w:val="left"/>
      <w:pPr>
        <w:ind w:left="926" w:hanging="238"/>
        <w:jc w:val="left"/>
      </w:pPr>
      <w:rPr>
        <w:rFonts w:hint="default" w:ascii="微軟正黑體" w:hAnsi="微軟正黑體" w:eastAsia="微軟正黑體" w:cs="微軟正黑體"/>
        <w:b/>
        <w:bCs/>
        <w:spacing w:val="-1"/>
        <w:w w:val="100"/>
        <w:sz w:val="24"/>
        <w:szCs w:val="24"/>
      </w:rPr>
    </w:lvl>
    <w:lvl w:ilvl="1">
      <w:start w:val="0"/>
      <w:numFmt w:val="bullet"/>
      <w:lvlText w:val="•"/>
      <w:lvlJc w:val="left"/>
      <w:pPr>
        <w:ind w:left="1932" w:hanging="238"/>
      </w:pPr>
      <w:rPr>
        <w:rFonts w:hint="default"/>
      </w:rPr>
    </w:lvl>
    <w:lvl w:ilvl="2">
      <w:start w:val="0"/>
      <w:numFmt w:val="bullet"/>
      <w:lvlText w:val="•"/>
      <w:lvlJc w:val="left"/>
      <w:pPr>
        <w:ind w:left="2945" w:hanging="238"/>
      </w:pPr>
      <w:rPr>
        <w:rFonts w:hint="default"/>
      </w:rPr>
    </w:lvl>
    <w:lvl w:ilvl="3">
      <w:start w:val="0"/>
      <w:numFmt w:val="bullet"/>
      <w:lvlText w:val="•"/>
      <w:lvlJc w:val="left"/>
      <w:pPr>
        <w:ind w:left="3958" w:hanging="238"/>
      </w:pPr>
      <w:rPr>
        <w:rFonts w:hint="default"/>
      </w:rPr>
    </w:lvl>
    <w:lvl w:ilvl="4">
      <w:start w:val="0"/>
      <w:numFmt w:val="bullet"/>
      <w:lvlText w:val="•"/>
      <w:lvlJc w:val="left"/>
      <w:pPr>
        <w:ind w:left="4971" w:hanging="238"/>
      </w:pPr>
      <w:rPr>
        <w:rFonts w:hint="default"/>
      </w:rPr>
    </w:lvl>
    <w:lvl w:ilvl="5">
      <w:start w:val="0"/>
      <w:numFmt w:val="bullet"/>
      <w:lvlText w:val="•"/>
      <w:lvlJc w:val="left"/>
      <w:pPr>
        <w:ind w:left="5984" w:hanging="238"/>
      </w:pPr>
      <w:rPr>
        <w:rFonts w:hint="default"/>
      </w:rPr>
    </w:lvl>
    <w:lvl w:ilvl="6">
      <w:start w:val="0"/>
      <w:numFmt w:val="bullet"/>
      <w:lvlText w:val="•"/>
      <w:lvlJc w:val="left"/>
      <w:pPr>
        <w:ind w:left="6997" w:hanging="238"/>
      </w:pPr>
      <w:rPr>
        <w:rFonts w:hint="default"/>
      </w:rPr>
    </w:lvl>
    <w:lvl w:ilvl="7">
      <w:start w:val="0"/>
      <w:numFmt w:val="bullet"/>
      <w:lvlText w:val="•"/>
      <w:lvlJc w:val="left"/>
      <w:pPr>
        <w:ind w:left="8010" w:hanging="238"/>
      </w:pPr>
      <w:rPr>
        <w:rFonts w:hint="default"/>
      </w:rPr>
    </w:lvl>
    <w:lvl w:ilvl="8">
      <w:start w:val="0"/>
      <w:numFmt w:val="bullet"/>
      <w:lvlText w:val="•"/>
      <w:lvlJc w:val="left"/>
      <w:pPr>
        <w:ind w:left="9023" w:hanging="238"/>
      </w:pPr>
      <w:rPr>
        <w:rFonts w:hint="default"/>
      </w:rPr>
    </w:lvl>
  </w:abstractNum>
  <w:abstractNum w:abstractNumId="13">
    <w:multiLevelType w:val="hybridMultilevel"/>
    <w:lvl w:ilvl="0">
      <w:start w:val="1"/>
      <w:numFmt w:val="decimal"/>
      <w:lvlText w:val="%1."/>
      <w:lvlJc w:val="left"/>
      <w:pPr>
        <w:ind w:left="926" w:hanging="238"/>
        <w:jc w:val="left"/>
      </w:pPr>
      <w:rPr>
        <w:rFonts w:hint="default" w:ascii="微軟正黑體" w:hAnsi="微軟正黑體" w:eastAsia="微軟正黑體" w:cs="微軟正黑體"/>
        <w:b/>
        <w:bCs/>
        <w:spacing w:val="-1"/>
        <w:w w:val="100"/>
        <w:sz w:val="24"/>
        <w:szCs w:val="24"/>
      </w:rPr>
    </w:lvl>
    <w:lvl w:ilvl="1">
      <w:start w:val="0"/>
      <w:numFmt w:val="bullet"/>
      <w:lvlText w:val="•"/>
      <w:lvlJc w:val="left"/>
      <w:pPr>
        <w:ind w:left="1932" w:hanging="238"/>
      </w:pPr>
      <w:rPr>
        <w:rFonts w:hint="default"/>
      </w:rPr>
    </w:lvl>
    <w:lvl w:ilvl="2">
      <w:start w:val="0"/>
      <w:numFmt w:val="bullet"/>
      <w:lvlText w:val="•"/>
      <w:lvlJc w:val="left"/>
      <w:pPr>
        <w:ind w:left="2945" w:hanging="238"/>
      </w:pPr>
      <w:rPr>
        <w:rFonts w:hint="default"/>
      </w:rPr>
    </w:lvl>
    <w:lvl w:ilvl="3">
      <w:start w:val="0"/>
      <w:numFmt w:val="bullet"/>
      <w:lvlText w:val="•"/>
      <w:lvlJc w:val="left"/>
      <w:pPr>
        <w:ind w:left="3958" w:hanging="238"/>
      </w:pPr>
      <w:rPr>
        <w:rFonts w:hint="default"/>
      </w:rPr>
    </w:lvl>
    <w:lvl w:ilvl="4">
      <w:start w:val="0"/>
      <w:numFmt w:val="bullet"/>
      <w:lvlText w:val="•"/>
      <w:lvlJc w:val="left"/>
      <w:pPr>
        <w:ind w:left="4971" w:hanging="238"/>
      </w:pPr>
      <w:rPr>
        <w:rFonts w:hint="default"/>
      </w:rPr>
    </w:lvl>
    <w:lvl w:ilvl="5">
      <w:start w:val="0"/>
      <w:numFmt w:val="bullet"/>
      <w:lvlText w:val="•"/>
      <w:lvlJc w:val="left"/>
      <w:pPr>
        <w:ind w:left="5984" w:hanging="238"/>
      </w:pPr>
      <w:rPr>
        <w:rFonts w:hint="default"/>
      </w:rPr>
    </w:lvl>
    <w:lvl w:ilvl="6">
      <w:start w:val="0"/>
      <w:numFmt w:val="bullet"/>
      <w:lvlText w:val="•"/>
      <w:lvlJc w:val="left"/>
      <w:pPr>
        <w:ind w:left="6997" w:hanging="238"/>
      </w:pPr>
      <w:rPr>
        <w:rFonts w:hint="default"/>
      </w:rPr>
    </w:lvl>
    <w:lvl w:ilvl="7">
      <w:start w:val="0"/>
      <w:numFmt w:val="bullet"/>
      <w:lvlText w:val="•"/>
      <w:lvlJc w:val="left"/>
      <w:pPr>
        <w:ind w:left="8010" w:hanging="238"/>
      </w:pPr>
      <w:rPr>
        <w:rFonts w:hint="default"/>
      </w:rPr>
    </w:lvl>
    <w:lvl w:ilvl="8">
      <w:start w:val="0"/>
      <w:numFmt w:val="bullet"/>
      <w:lvlText w:val="•"/>
      <w:lvlJc w:val="left"/>
      <w:pPr>
        <w:ind w:left="9023" w:hanging="238"/>
      </w:pPr>
      <w:rPr>
        <w:rFonts w:hint="default"/>
      </w:rPr>
    </w:lvl>
  </w:abstractNum>
  <w:abstractNum w:abstractNumId="12">
    <w:multiLevelType w:val="hybridMultilevel"/>
    <w:lvl w:ilvl="0">
      <w:start w:val="3"/>
      <w:numFmt w:val="decimal"/>
      <w:lvlText w:val="%1"/>
      <w:lvlJc w:val="left"/>
      <w:pPr>
        <w:ind w:left="760" w:hanging="601"/>
        <w:jc w:val="left"/>
      </w:pPr>
      <w:rPr>
        <w:rFonts w:hint="default"/>
      </w:rPr>
    </w:lvl>
    <w:lvl w:ilvl="1">
      <w:start w:val="1"/>
      <w:numFmt w:val="decimal"/>
      <w:lvlText w:val="%1.%2"/>
      <w:lvlJc w:val="left"/>
      <w:pPr>
        <w:ind w:left="760" w:hanging="601"/>
        <w:jc w:val="left"/>
      </w:pPr>
      <w:rPr>
        <w:rFonts w:hint="default" w:ascii="微軟正黑體" w:hAnsi="微軟正黑體" w:eastAsia="微軟正黑體" w:cs="微軟正黑體"/>
        <w:b/>
        <w:bCs/>
        <w:w w:val="99"/>
        <w:sz w:val="25"/>
        <w:szCs w:val="25"/>
      </w:rPr>
    </w:lvl>
    <w:lvl w:ilvl="2">
      <w:start w:val="1"/>
      <w:numFmt w:val="decimal"/>
      <w:lvlText w:val="%1.%2.%3"/>
      <w:lvlJc w:val="left"/>
      <w:pPr>
        <w:ind w:left="931" w:hanging="660"/>
        <w:jc w:val="left"/>
      </w:pPr>
      <w:rPr>
        <w:rFonts w:hint="default"/>
        <w:b/>
        <w:bCs/>
        <w:spacing w:val="-12"/>
        <w:w w:val="100"/>
      </w:rPr>
    </w:lvl>
    <w:lvl w:ilvl="3">
      <w:start w:val="1"/>
      <w:numFmt w:val="decimal"/>
      <w:lvlText w:val="%4."/>
      <w:lvlJc w:val="left"/>
      <w:pPr>
        <w:ind w:left="928" w:hanging="240"/>
        <w:jc w:val="left"/>
      </w:pPr>
      <w:rPr>
        <w:rFonts w:hint="default" w:ascii="微軟正黑體" w:hAnsi="微軟正黑體" w:eastAsia="微軟正黑體" w:cs="微軟正黑體"/>
        <w:w w:val="100"/>
        <w:sz w:val="24"/>
        <w:szCs w:val="24"/>
      </w:rPr>
    </w:lvl>
    <w:lvl w:ilvl="4">
      <w:start w:val="1"/>
      <w:numFmt w:val="decimal"/>
      <w:lvlText w:val="%4-%5"/>
      <w:lvlJc w:val="left"/>
      <w:pPr>
        <w:ind w:left="1411" w:hanging="480"/>
        <w:jc w:val="left"/>
      </w:pPr>
      <w:rPr>
        <w:rFonts w:hint="default" w:ascii="微軟正黑體" w:hAnsi="微軟正黑體" w:eastAsia="微軟正黑體" w:cs="微軟正黑體"/>
        <w:spacing w:val="-57"/>
        <w:w w:val="100"/>
        <w:sz w:val="24"/>
        <w:szCs w:val="24"/>
      </w:rPr>
    </w:lvl>
    <w:lvl w:ilvl="5">
      <w:start w:val="0"/>
      <w:numFmt w:val="bullet"/>
      <w:lvlText w:val="•"/>
      <w:lvlJc w:val="left"/>
      <w:pPr>
        <w:ind w:left="4171" w:hanging="480"/>
      </w:pPr>
      <w:rPr>
        <w:rFonts w:hint="default"/>
      </w:rPr>
    </w:lvl>
    <w:lvl w:ilvl="6">
      <w:start w:val="0"/>
      <w:numFmt w:val="bullet"/>
      <w:lvlText w:val="•"/>
      <w:lvlJc w:val="left"/>
      <w:pPr>
        <w:ind w:left="5546" w:hanging="480"/>
      </w:pPr>
      <w:rPr>
        <w:rFonts w:hint="default"/>
      </w:rPr>
    </w:lvl>
    <w:lvl w:ilvl="7">
      <w:start w:val="0"/>
      <w:numFmt w:val="bullet"/>
      <w:lvlText w:val="•"/>
      <w:lvlJc w:val="left"/>
      <w:pPr>
        <w:ind w:left="6922" w:hanging="480"/>
      </w:pPr>
      <w:rPr>
        <w:rFonts w:hint="default"/>
      </w:rPr>
    </w:lvl>
    <w:lvl w:ilvl="8">
      <w:start w:val="0"/>
      <w:numFmt w:val="bullet"/>
      <w:lvlText w:val="•"/>
      <w:lvlJc w:val="left"/>
      <w:pPr>
        <w:ind w:left="8298" w:hanging="480"/>
      </w:pPr>
      <w:rPr>
        <w:rFonts w:hint="default"/>
      </w:rPr>
    </w:lvl>
  </w:abstractNum>
  <w:abstractNum w:abstractNumId="11">
    <w:multiLevelType w:val="hybridMultilevel"/>
    <w:lvl w:ilvl="0">
      <w:start w:val="1"/>
      <w:numFmt w:val="decimal"/>
      <w:lvlText w:val="%1."/>
      <w:lvlJc w:val="left"/>
      <w:pPr>
        <w:ind w:left="919" w:hanging="352"/>
        <w:jc w:val="left"/>
      </w:pPr>
      <w:rPr>
        <w:rFonts w:hint="default"/>
        <w:spacing w:val="-22"/>
        <w:w w:val="100"/>
      </w:rPr>
    </w:lvl>
    <w:lvl w:ilvl="1">
      <w:start w:val="0"/>
      <w:numFmt w:val="bullet"/>
      <w:lvlText w:val="•"/>
      <w:lvlJc w:val="left"/>
      <w:pPr>
        <w:ind w:left="1932" w:hanging="352"/>
      </w:pPr>
      <w:rPr>
        <w:rFonts w:hint="default"/>
      </w:rPr>
    </w:lvl>
    <w:lvl w:ilvl="2">
      <w:start w:val="0"/>
      <w:numFmt w:val="bullet"/>
      <w:lvlText w:val="•"/>
      <w:lvlJc w:val="left"/>
      <w:pPr>
        <w:ind w:left="2945" w:hanging="352"/>
      </w:pPr>
      <w:rPr>
        <w:rFonts w:hint="default"/>
      </w:rPr>
    </w:lvl>
    <w:lvl w:ilvl="3">
      <w:start w:val="0"/>
      <w:numFmt w:val="bullet"/>
      <w:lvlText w:val="•"/>
      <w:lvlJc w:val="left"/>
      <w:pPr>
        <w:ind w:left="3958" w:hanging="352"/>
      </w:pPr>
      <w:rPr>
        <w:rFonts w:hint="default"/>
      </w:rPr>
    </w:lvl>
    <w:lvl w:ilvl="4">
      <w:start w:val="0"/>
      <w:numFmt w:val="bullet"/>
      <w:lvlText w:val="•"/>
      <w:lvlJc w:val="left"/>
      <w:pPr>
        <w:ind w:left="4971" w:hanging="352"/>
      </w:pPr>
      <w:rPr>
        <w:rFonts w:hint="default"/>
      </w:rPr>
    </w:lvl>
    <w:lvl w:ilvl="5">
      <w:start w:val="0"/>
      <w:numFmt w:val="bullet"/>
      <w:lvlText w:val="•"/>
      <w:lvlJc w:val="left"/>
      <w:pPr>
        <w:ind w:left="5984" w:hanging="352"/>
      </w:pPr>
      <w:rPr>
        <w:rFonts w:hint="default"/>
      </w:rPr>
    </w:lvl>
    <w:lvl w:ilvl="6">
      <w:start w:val="0"/>
      <w:numFmt w:val="bullet"/>
      <w:lvlText w:val="•"/>
      <w:lvlJc w:val="left"/>
      <w:pPr>
        <w:ind w:left="6997" w:hanging="352"/>
      </w:pPr>
      <w:rPr>
        <w:rFonts w:hint="default"/>
      </w:rPr>
    </w:lvl>
    <w:lvl w:ilvl="7">
      <w:start w:val="0"/>
      <w:numFmt w:val="bullet"/>
      <w:lvlText w:val="•"/>
      <w:lvlJc w:val="left"/>
      <w:pPr>
        <w:ind w:left="8010" w:hanging="352"/>
      </w:pPr>
      <w:rPr>
        <w:rFonts w:hint="default"/>
      </w:rPr>
    </w:lvl>
    <w:lvl w:ilvl="8">
      <w:start w:val="0"/>
      <w:numFmt w:val="bullet"/>
      <w:lvlText w:val="•"/>
      <w:lvlJc w:val="left"/>
      <w:pPr>
        <w:ind w:left="9023" w:hanging="352"/>
      </w:pPr>
      <w:rPr>
        <w:rFonts w:hint="default"/>
      </w:rPr>
    </w:lvl>
  </w:abstractNum>
  <w:abstractNum w:abstractNumId="10">
    <w:multiLevelType w:val="hybridMultilevel"/>
    <w:lvl w:ilvl="0">
      <w:start w:val="1"/>
      <w:numFmt w:val="decimal"/>
      <w:lvlText w:val="%1."/>
      <w:lvlJc w:val="left"/>
      <w:pPr>
        <w:ind w:left="896" w:hanging="240"/>
        <w:jc w:val="left"/>
      </w:pPr>
      <w:rPr>
        <w:rFonts w:hint="default" w:ascii="微軟正黑體" w:hAnsi="微軟正黑體" w:eastAsia="微軟正黑體" w:cs="微軟正黑體"/>
        <w:w w:val="100"/>
        <w:sz w:val="24"/>
        <w:szCs w:val="24"/>
      </w:rPr>
    </w:lvl>
    <w:lvl w:ilvl="1">
      <w:start w:val="0"/>
      <w:numFmt w:val="bullet"/>
      <w:lvlText w:val="•"/>
      <w:lvlJc w:val="left"/>
      <w:pPr>
        <w:ind w:left="1914" w:hanging="240"/>
      </w:pPr>
      <w:rPr>
        <w:rFonts w:hint="default"/>
      </w:rPr>
    </w:lvl>
    <w:lvl w:ilvl="2">
      <w:start w:val="0"/>
      <w:numFmt w:val="bullet"/>
      <w:lvlText w:val="•"/>
      <w:lvlJc w:val="left"/>
      <w:pPr>
        <w:ind w:left="2929" w:hanging="240"/>
      </w:pPr>
      <w:rPr>
        <w:rFonts w:hint="default"/>
      </w:rPr>
    </w:lvl>
    <w:lvl w:ilvl="3">
      <w:start w:val="0"/>
      <w:numFmt w:val="bullet"/>
      <w:lvlText w:val="•"/>
      <w:lvlJc w:val="left"/>
      <w:pPr>
        <w:ind w:left="3944" w:hanging="240"/>
      </w:pPr>
      <w:rPr>
        <w:rFonts w:hint="default"/>
      </w:rPr>
    </w:lvl>
    <w:lvl w:ilvl="4">
      <w:start w:val="0"/>
      <w:numFmt w:val="bullet"/>
      <w:lvlText w:val="•"/>
      <w:lvlJc w:val="left"/>
      <w:pPr>
        <w:ind w:left="4959" w:hanging="240"/>
      </w:pPr>
      <w:rPr>
        <w:rFonts w:hint="default"/>
      </w:rPr>
    </w:lvl>
    <w:lvl w:ilvl="5">
      <w:start w:val="0"/>
      <w:numFmt w:val="bullet"/>
      <w:lvlText w:val="•"/>
      <w:lvlJc w:val="left"/>
      <w:pPr>
        <w:ind w:left="5974" w:hanging="240"/>
      </w:pPr>
      <w:rPr>
        <w:rFonts w:hint="default"/>
      </w:rPr>
    </w:lvl>
    <w:lvl w:ilvl="6">
      <w:start w:val="0"/>
      <w:numFmt w:val="bullet"/>
      <w:lvlText w:val="•"/>
      <w:lvlJc w:val="left"/>
      <w:pPr>
        <w:ind w:left="6989" w:hanging="240"/>
      </w:pPr>
      <w:rPr>
        <w:rFonts w:hint="default"/>
      </w:rPr>
    </w:lvl>
    <w:lvl w:ilvl="7">
      <w:start w:val="0"/>
      <w:numFmt w:val="bullet"/>
      <w:lvlText w:val="•"/>
      <w:lvlJc w:val="left"/>
      <w:pPr>
        <w:ind w:left="8004" w:hanging="240"/>
      </w:pPr>
      <w:rPr>
        <w:rFonts w:hint="default"/>
      </w:rPr>
    </w:lvl>
    <w:lvl w:ilvl="8">
      <w:start w:val="0"/>
      <w:numFmt w:val="bullet"/>
      <w:lvlText w:val="•"/>
      <w:lvlJc w:val="left"/>
      <w:pPr>
        <w:ind w:left="9019" w:hanging="240"/>
      </w:pPr>
      <w:rPr>
        <w:rFonts w:hint="default"/>
      </w:rPr>
    </w:lvl>
  </w:abstractNum>
  <w:abstractNum w:abstractNumId="9">
    <w:multiLevelType w:val="hybridMultilevel"/>
    <w:lvl w:ilvl="0">
      <w:start w:val="3"/>
      <w:numFmt w:val="decimal"/>
      <w:lvlText w:val="%1"/>
      <w:lvlJc w:val="left"/>
      <w:pPr>
        <w:ind w:left="1410" w:hanging="513"/>
        <w:jc w:val="left"/>
      </w:pPr>
      <w:rPr>
        <w:rFonts w:hint="default"/>
      </w:rPr>
    </w:lvl>
    <w:lvl w:ilvl="1">
      <w:start w:val="2"/>
      <w:numFmt w:val="decimal"/>
      <w:lvlText w:val="%1-%2"/>
      <w:lvlJc w:val="left"/>
      <w:pPr>
        <w:ind w:left="1410" w:hanging="513"/>
        <w:jc w:val="left"/>
      </w:pPr>
      <w:rPr>
        <w:rFonts w:hint="default" w:ascii="微軟正黑體" w:hAnsi="微軟正黑體" w:eastAsia="微軟正黑體" w:cs="微軟正黑體"/>
        <w:spacing w:val="-20"/>
        <w:w w:val="99"/>
        <w:sz w:val="24"/>
        <w:szCs w:val="24"/>
      </w:rPr>
    </w:lvl>
    <w:lvl w:ilvl="2">
      <w:start w:val="0"/>
      <w:numFmt w:val="bullet"/>
      <w:lvlText w:val="•"/>
      <w:lvlJc w:val="left"/>
      <w:pPr>
        <w:ind w:left="3345" w:hanging="513"/>
      </w:pPr>
      <w:rPr>
        <w:rFonts w:hint="default"/>
      </w:rPr>
    </w:lvl>
    <w:lvl w:ilvl="3">
      <w:start w:val="0"/>
      <w:numFmt w:val="bullet"/>
      <w:lvlText w:val="•"/>
      <w:lvlJc w:val="left"/>
      <w:pPr>
        <w:ind w:left="4308" w:hanging="513"/>
      </w:pPr>
      <w:rPr>
        <w:rFonts w:hint="default"/>
      </w:rPr>
    </w:lvl>
    <w:lvl w:ilvl="4">
      <w:start w:val="0"/>
      <w:numFmt w:val="bullet"/>
      <w:lvlText w:val="•"/>
      <w:lvlJc w:val="left"/>
      <w:pPr>
        <w:ind w:left="5271" w:hanging="513"/>
      </w:pPr>
      <w:rPr>
        <w:rFonts w:hint="default"/>
      </w:rPr>
    </w:lvl>
    <w:lvl w:ilvl="5">
      <w:start w:val="0"/>
      <w:numFmt w:val="bullet"/>
      <w:lvlText w:val="•"/>
      <w:lvlJc w:val="left"/>
      <w:pPr>
        <w:ind w:left="6234" w:hanging="513"/>
      </w:pPr>
      <w:rPr>
        <w:rFonts w:hint="default"/>
      </w:rPr>
    </w:lvl>
    <w:lvl w:ilvl="6">
      <w:start w:val="0"/>
      <w:numFmt w:val="bullet"/>
      <w:lvlText w:val="•"/>
      <w:lvlJc w:val="left"/>
      <w:pPr>
        <w:ind w:left="7197" w:hanging="513"/>
      </w:pPr>
      <w:rPr>
        <w:rFonts w:hint="default"/>
      </w:rPr>
    </w:lvl>
    <w:lvl w:ilvl="7">
      <w:start w:val="0"/>
      <w:numFmt w:val="bullet"/>
      <w:lvlText w:val="•"/>
      <w:lvlJc w:val="left"/>
      <w:pPr>
        <w:ind w:left="8160" w:hanging="513"/>
      </w:pPr>
      <w:rPr>
        <w:rFonts w:hint="default"/>
      </w:rPr>
    </w:lvl>
    <w:lvl w:ilvl="8">
      <w:start w:val="0"/>
      <w:numFmt w:val="bullet"/>
      <w:lvlText w:val="•"/>
      <w:lvlJc w:val="left"/>
      <w:pPr>
        <w:ind w:left="9123" w:hanging="513"/>
      </w:pPr>
      <w:rPr>
        <w:rFonts w:hint="default"/>
      </w:rPr>
    </w:lvl>
  </w:abstractNum>
  <w:abstractNum w:abstractNumId="8">
    <w:multiLevelType w:val="hybridMultilevel"/>
    <w:lvl w:ilvl="0">
      <w:start w:val="2"/>
      <w:numFmt w:val="decimal"/>
      <w:lvlText w:val="%1"/>
      <w:lvlJc w:val="left"/>
      <w:pPr>
        <w:ind w:left="931" w:hanging="660"/>
        <w:jc w:val="left"/>
      </w:pPr>
      <w:rPr>
        <w:rFonts w:hint="default"/>
      </w:rPr>
    </w:lvl>
    <w:lvl w:ilvl="1">
      <w:start w:val="6"/>
      <w:numFmt w:val="decimal"/>
      <w:lvlText w:val="%1.%2"/>
      <w:lvlJc w:val="left"/>
      <w:pPr>
        <w:ind w:left="931" w:hanging="660"/>
        <w:jc w:val="left"/>
      </w:pPr>
      <w:rPr>
        <w:rFonts w:hint="default"/>
      </w:rPr>
    </w:lvl>
    <w:lvl w:ilvl="2">
      <w:start w:val="1"/>
      <w:numFmt w:val="decimal"/>
      <w:lvlText w:val="%1.%2.%3"/>
      <w:lvlJc w:val="left"/>
      <w:pPr>
        <w:ind w:left="931" w:hanging="660"/>
        <w:jc w:val="left"/>
      </w:pPr>
      <w:rPr>
        <w:rFonts w:hint="default" w:ascii="微軟正黑體" w:hAnsi="微軟正黑體" w:eastAsia="微軟正黑體" w:cs="微軟正黑體"/>
        <w:b/>
        <w:bCs/>
        <w:spacing w:val="-3"/>
        <w:w w:val="100"/>
        <w:sz w:val="24"/>
        <w:szCs w:val="24"/>
      </w:rPr>
    </w:lvl>
    <w:lvl w:ilvl="3">
      <w:start w:val="1"/>
      <w:numFmt w:val="decimal"/>
      <w:lvlText w:val="%4."/>
      <w:lvlJc w:val="left"/>
      <w:pPr>
        <w:ind w:left="915" w:hanging="260"/>
        <w:jc w:val="left"/>
      </w:pPr>
      <w:rPr>
        <w:rFonts w:hint="default" w:ascii="微軟正黑體" w:hAnsi="微軟正黑體" w:eastAsia="微軟正黑體" w:cs="微軟正黑體"/>
        <w:spacing w:val="-4"/>
        <w:w w:val="100"/>
        <w:sz w:val="24"/>
        <w:szCs w:val="24"/>
      </w:rPr>
    </w:lvl>
    <w:lvl w:ilvl="4">
      <w:start w:val="0"/>
      <w:numFmt w:val="bullet"/>
      <w:lvlText w:val="•"/>
      <w:lvlJc w:val="left"/>
      <w:pPr>
        <w:ind w:left="3467" w:hanging="260"/>
      </w:pPr>
      <w:rPr>
        <w:rFonts w:hint="default"/>
      </w:rPr>
    </w:lvl>
    <w:lvl w:ilvl="5">
      <w:start w:val="0"/>
      <w:numFmt w:val="bullet"/>
      <w:lvlText w:val="•"/>
      <w:lvlJc w:val="left"/>
      <w:pPr>
        <w:ind w:left="4731" w:hanging="260"/>
      </w:pPr>
      <w:rPr>
        <w:rFonts w:hint="default"/>
      </w:rPr>
    </w:lvl>
    <w:lvl w:ilvl="6">
      <w:start w:val="0"/>
      <w:numFmt w:val="bullet"/>
      <w:lvlText w:val="•"/>
      <w:lvlJc w:val="left"/>
      <w:pPr>
        <w:ind w:left="5994" w:hanging="260"/>
      </w:pPr>
      <w:rPr>
        <w:rFonts w:hint="default"/>
      </w:rPr>
    </w:lvl>
    <w:lvl w:ilvl="7">
      <w:start w:val="0"/>
      <w:numFmt w:val="bullet"/>
      <w:lvlText w:val="•"/>
      <w:lvlJc w:val="left"/>
      <w:pPr>
        <w:ind w:left="7258" w:hanging="260"/>
      </w:pPr>
      <w:rPr>
        <w:rFonts w:hint="default"/>
      </w:rPr>
    </w:lvl>
    <w:lvl w:ilvl="8">
      <w:start w:val="0"/>
      <w:numFmt w:val="bullet"/>
      <w:lvlText w:val="•"/>
      <w:lvlJc w:val="left"/>
      <w:pPr>
        <w:ind w:left="8522" w:hanging="260"/>
      </w:pPr>
      <w:rPr>
        <w:rFonts w:hint="default"/>
      </w:rPr>
    </w:lvl>
  </w:abstractNum>
  <w:abstractNum w:abstractNumId="7">
    <w:multiLevelType w:val="hybridMultilevel"/>
    <w:lvl w:ilvl="0">
      <w:start w:val="1"/>
      <w:numFmt w:val="decimal"/>
      <w:lvlText w:val="%1."/>
      <w:lvlJc w:val="left"/>
      <w:pPr>
        <w:ind w:left="518" w:hanging="324"/>
        <w:jc w:val="left"/>
      </w:pPr>
      <w:rPr>
        <w:rFonts w:hint="default" w:ascii="微軟正黑體" w:hAnsi="微軟正黑體" w:eastAsia="微軟正黑體" w:cs="微軟正黑體"/>
        <w:spacing w:val="-60"/>
        <w:w w:val="100"/>
        <w:sz w:val="24"/>
        <w:szCs w:val="24"/>
      </w:rPr>
    </w:lvl>
    <w:lvl w:ilvl="1">
      <w:start w:val="0"/>
      <w:numFmt w:val="bullet"/>
      <w:lvlText w:val="•"/>
      <w:lvlJc w:val="left"/>
      <w:pPr>
        <w:ind w:left="1572" w:hanging="324"/>
      </w:pPr>
      <w:rPr>
        <w:rFonts w:hint="default"/>
      </w:rPr>
    </w:lvl>
    <w:lvl w:ilvl="2">
      <w:start w:val="0"/>
      <w:numFmt w:val="bullet"/>
      <w:lvlText w:val="•"/>
      <w:lvlJc w:val="left"/>
      <w:pPr>
        <w:ind w:left="2625" w:hanging="324"/>
      </w:pPr>
      <w:rPr>
        <w:rFonts w:hint="default"/>
      </w:rPr>
    </w:lvl>
    <w:lvl w:ilvl="3">
      <w:start w:val="0"/>
      <w:numFmt w:val="bullet"/>
      <w:lvlText w:val="•"/>
      <w:lvlJc w:val="left"/>
      <w:pPr>
        <w:ind w:left="3678" w:hanging="324"/>
      </w:pPr>
      <w:rPr>
        <w:rFonts w:hint="default"/>
      </w:rPr>
    </w:lvl>
    <w:lvl w:ilvl="4">
      <w:start w:val="0"/>
      <w:numFmt w:val="bullet"/>
      <w:lvlText w:val="•"/>
      <w:lvlJc w:val="left"/>
      <w:pPr>
        <w:ind w:left="4731" w:hanging="324"/>
      </w:pPr>
      <w:rPr>
        <w:rFonts w:hint="default"/>
      </w:rPr>
    </w:lvl>
    <w:lvl w:ilvl="5">
      <w:start w:val="0"/>
      <w:numFmt w:val="bullet"/>
      <w:lvlText w:val="•"/>
      <w:lvlJc w:val="left"/>
      <w:pPr>
        <w:ind w:left="5784" w:hanging="324"/>
      </w:pPr>
      <w:rPr>
        <w:rFonts w:hint="default"/>
      </w:rPr>
    </w:lvl>
    <w:lvl w:ilvl="6">
      <w:start w:val="0"/>
      <w:numFmt w:val="bullet"/>
      <w:lvlText w:val="•"/>
      <w:lvlJc w:val="left"/>
      <w:pPr>
        <w:ind w:left="6837" w:hanging="324"/>
      </w:pPr>
      <w:rPr>
        <w:rFonts w:hint="default"/>
      </w:rPr>
    </w:lvl>
    <w:lvl w:ilvl="7">
      <w:start w:val="0"/>
      <w:numFmt w:val="bullet"/>
      <w:lvlText w:val="•"/>
      <w:lvlJc w:val="left"/>
      <w:pPr>
        <w:ind w:left="7890" w:hanging="324"/>
      </w:pPr>
      <w:rPr>
        <w:rFonts w:hint="default"/>
      </w:rPr>
    </w:lvl>
    <w:lvl w:ilvl="8">
      <w:start w:val="0"/>
      <w:numFmt w:val="bullet"/>
      <w:lvlText w:val="•"/>
      <w:lvlJc w:val="left"/>
      <w:pPr>
        <w:ind w:left="8943" w:hanging="324"/>
      </w:pPr>
      <w:rPr>
        <w:rFonts w:hint="default"/>
      </w:rPr>
    </w:lvl>
  </w:abstractNum>
  <w:abstractNum w:abstractNumId="6">
    <w:multiLevelType w:val="hybridMultilevel"/>
    <w:lvl w:ilvl="0">
      <w:start w:val="3"/>
      <w:numFmt w:val="decimal"/>
      <w:lvlText w:val="%1"/>
      <w:lvlJc w:val="left"/>
      <w:pPr>
        <w:ind w:left="1146" w:hanging="513"/>
        <w:jc w:val="left"/>
      </w:pPr>
      <w:rPr>
        <w:rFonts w:hint="default"/>
      </w:rPr>
    </w:lvl>
    <w:lvl w:ilvl="1">
      <w:start w:val="1"/>
      <w:numFmt w:val="decimal"/>
      <w:lvlText w:val="%1-%2"/>
      <w:lvlJc w:val="left"/>
      <w:pPr>
        <w:ind w:left="1146" w:hanging="513"/>
        <w:jc w:val="left"/>
      </w:pPr>
      <w:rPr>
        <w:rFonts w:hint="default" w:ascii="微軟正黑體" w:hAnsi="微軟正黑體" w:eastAsia="微軟正黑體" w:cs="微軟正黑體"/>
        <w:spacing w:val="0"/>
        <w:w w:val="100"/>
        <w:sz w:val="24"/>
        <w:szCs w:val="24"/>
      </w:rPr>
    </w:lvl>
    <w:lvl w:ilvl="2">
      <w:start w:val="0"/>
      <w:numFmt w:val="bullet"/>
      <w:lvlText w:val="•"/>
      <w:lvlJc w:val="left"/>
      <w:pPr>
        <w:ind w:left="3121" w:hanging="513"/>
      </w:pPr>
      <w:rPr>
        <w:rFonts w:hint="default"/>
      </w:rPr>
    </w:lvl>
    <w:lvl w:ilvl="3">
      <w:start w:val="0"/>
      <w:numFmt w:val="bullet"/>
      <w:lvlText w:val="•"/>
      <w:lvlJc w:val="left"/>
      <w:pPr>
        <w:ind w:left="4112" w:hanging="513"/>
      </w:pPr>
      <w:rPr>
        <w:rFonts w:hint="default"/>
      </w:rPr>
    </w:lvl>
    <w:lvl w:ilvl="4">
      <w:start w:val="0"/>
      <w:numFmt w:val="bullet"/>
      <w:lvlText w:val="•"/>
      <w:lvlJc w:val="left"/>
      <w:pPr>
        <w:ind w:left="5103" w:hanging="513"/>
      </w:pPr>
      <w:rPr>
        <w:rFonts w:hint="default"/>
      </w:rPr>
    </w:lvl>
    <w:lvl w:ilvl="5">
      <w:start w:val="0"/>
      <w:numFmt w:val="bullet"/>
      <w:lvlText w:val="•"/>
      <w:lvlJc w:val="left"/>
      <w:pPr>
        <w:ind w:left="6094" w:hanging="513"/>
      </w:pPr>
      <w:rPr>
        <w:rFonts w:hint="default"/>
      </w:rPr>
    </w:lvl>
    <w:lvl w:ilvl="6">
      <w:start w:val="0"/>
      <w:numFmt w:val="bullet"/>
      <w:lvlText w:val="•"/>
      <w:lvlJc w:val="left"/>
      <w:pPr>
        <w:ind w:left="7085" w:hanging="513"/>
      </w:pPr>
      <w:rPr>
        <w:rFonts w:hint="default"/>
      </w:rPr>
    </w:lvl>
    <w:lvl w:ilvl="7">
      <w:start w:val="0"/>
      <w:numFmt w:val="bullet"/>
      <w:lvlText w:val="•"/>
      <w:lvlJc w:val="left"/>
      <w:pPr>
        <w:ind w:left="8076" w:hanging="513"/>
      </w:pPr>
      <w:rPr>
        <w:rFonts w:hint="default"/>
      </w:rPr>
    </w:lvl>
    <w:lvl w:ilvl="8">
      <w:start w:val="0"/>
      <w:numFmt w:val="bullet"/>
      <w:lvlText w:val="•"/>
      <w:lvlJc w:val="left"/>
      <w:pPr>
        <w:ind w:left="9067" w:hanging="513"/>
      </w:pPr>
      <w:rPr>
        <w:rFonts w:hint="default"/>
      </w:rPr>
    </w:lvl>
  </w:abstractNum>
  <w:abstractNum w:abstractNumId="5">
    <w:multiLevelType w:val="hybridMultilevel"/>
    <w:lvl w:ilvl="0">
      <w:start w:val="1"/>
      <w:numFmt w:val="decimal"/>
      <w:lvlText w:val="%1."/>
      <w:lvlJc w:val="left"/>
      <w:pPr>
        <w:ind w:left="631" w:hanging="360"/>
        <w:jc w:val="left"/>
      </w:pPr>
      <w:rPr>
        <w:rFonts w:hint="default"/>
        <w:spacing w:val="-11"/>
        <w:w w:val="100"/>
      </w:rPr>
    </w:lvl>
    <w:lvl w:ilvl="1">
      <w:start w:val="0"/>
      <w:numFmt w:val="bullet"/>
      <w:lvlText w:val="•"/>
      <w:lvlJc w:val="left"/>
      <w:pPr>
        <w:ind w:left="1680" w:hanging="360"/>
      </w:pPr>
      <w:rPr>
        <w:rFonts w:hint="default"/>
      </w:rPr>
    </w:lvl>
    <w:lvl w:ilvl="2">
      <w:start w:val="0"/>
      <w:numFmt w:val="bullet"/>
      <w:lvlText w:val="•"/>
      <w:lvlJc w:val="left"/>
      <w:pPr>
        <w:ind w:left="2721" w:hanging="360"/>
      </w:pPr>
      <w:rPr>
        <w:rFonts w:hint="default"/>
      </w:rPr>
    </w:lvl>
    <w:lvl w:ilvl="3">
      <w:start w:val="0"/>
      <w:numFmt w:val="bullet"/>
      <w:lvlText w:val="•"/>
      <w:lvlJc w:val="left"/>
      <w:pPr>
        <w:ind w:left="3762" w:hanging="360"/>
      </w:pPr>
      <w:rPr>
        <w:rFonts w:hint="default"/>
      </w:rPr>
    </w:lvl>
    <w:lvl w:ilvl="4">
      <w:start w:val="0"/>
      <w:numFmt w:val="bullet"/>
      <w:lvlText w:val="•"/>
      <w:lvlJc w:val="left"/>
      <w:pPr>
        <w:ind w:left="4803" w:hanging="360"/>
      </w:pPr>
      <w:rPr>
        <w:rFonts w:hint="default"/>
      </w:rPr>
    </w:lvl>
    <w:lvl w:ilvl="5">
      <w:start w:val="0"/>
      <w:numFmt w:val="bullet"/>
      <w:lvlText w:val="•"/>
      <w:lvlJc w:val="left"/>
      <w:pPr>
        <w:ind w:left="5844" w:hanging="360"/>
      </w:pPr>
      <w:rPr>
        <w:rFonts w:hint="default"/>
      </w:rPr>
    </w:lvl>
    <w:lvl w:ilvl="6">
      <w:start w:val="0"/>
      <w:numFmt w:val="bullet"/>
      <w:lvlText w:val="•"/>
      <w:lvlJc w:val="left"/>
      <w:pPr>
        <w:ind w:left="6885" w:hanging="360"/>
      </w:pPr>
      <w:rPr>
        <w:rFonts w:hint="default"/>
      </w:rPr>
    </w:lvl>
    <w:lvl w:ilvl="7">
      <w:start w:val="0"/>
      <w:numFmt w:val="bullet"/>
      <w:lvlText w:val="•"/>
      <w:lvlJc w:val="left"/>
      <w:pPr>
        <w:ind w:left="7926" w:hanging="360"/>
      </w:pPr>
      <w:rPr>
        <w:rFonts w:hint="default"/>
      </w:rPr>
    </w:lvl>
    <w:lvl w:ilvl="8">
      <w:start w:val="0"/>
      <w:numFmt w:val="bullet"/>
      <w:lvlText w:val="•"/>
      <w:lvlJc w:val="left"/>
      <w:pPr>
        <w:ind w:left="8967" w:hanging="360"/>
      </w:pPr>
      <w:rPr>
        <w:rFonts w:hint="default"/>
      </w:rPr>
    </w:lvl>
  </w:abstractNum>
  <w:abstractNum w:abstractNumId="4">
    <w:multiLevelType w:val="hybridMultilevel"/>
    <w:lvl w:ilvl="0">
      <w:start w:val="1"/>
      <w:numFmt w:val="decimal"/>
      <w:lvlText w:val="%1."/>
      <w:lvlJc w:val="left"/>
      <w:pPr>
        <w:ind w:left="637" w:hanging="366"/>
        <w:jc w:val="left"/>
      </w:pPr>
      <w:rPr>
        <w:rFonts w:hint="default" w:ascii="微軟正黑體" w:hAnsi="微軟正黑體" w:eastAsia="微軟正黑體" w:cs="微軟正黑體"/>
        <w:spacing w:val="-5"/>
        <w:w w:val="100"/>
        <w:sz w:val="24"/>
        <w:szCs w:val="24"/>
      </w:rPr>
    </w:lvl>
    <w:lvl w:ilvl="1">
      <w:start w:val="0"/>
      <w:numFmt w:val="bullet"/>
      <w:lvlText w:val="•"/>
      <w:lvlJc w:val="left"/>
      <w:pPr>
        <w:ind w:left="1680" w:hanging="366"/>
      </w:pPr>
      <w:rPr>
        <w:rFonts w:hint="default"/>
      </w:rPr>
    </w:lvl>
    <w:lvl w:ilvl="2">
      <w:start w:val="0"/>
      <w:numFmt w:val="bullet"/>
      <w:lvlText w:val="•"/>
      <w:lvlJc w:val="left"/>
      <w:pPr>
        <w:ind w:left="2721" w:hanging="366"/>
      </w:pPr>
      <w:rPr>
        <w:rFonts w:hint="default"/>
      </w:rPr>
    </w:lvl>
    <w:lvl w:ilvl="3">
      <w:start w:val="0"/>
      <w:numFmt w:val="bullet"/>
      <w:lvlText w:val="•"/>
      <w:lvlJc w:val="left"/>
      <w:pPr>
        <w:ind w:left="3762" w:hanging="366"/>
      </w:pPr>
      <w:rPr>
        <w:rFonts w:hint="default"/>
      </w:rPr>
    </w:lvl>
    <w:lvl w:ilvl="4">
      <w:start w:val="0"/>
      <w:numFmt w:val="bullet"/>
      <w:lvlText w:val="•"/>
      <w:lvlJc w:val="left"/>
      <w:pPr>
        <w:ind w:left="4803" w:hanging="366"/>
      </w:pPr>
      <w:rPr>
        <w:rFonts w:hint="default"/>
      </w:rPr>
    </w:lvl>
    <w:lvl w:ilvl="5">
      <w:start w:val="0"/>
      <w:numFmt w:val="bullet"/>
      <w:lvlText w:val="•"/>
      <w:lvlJc w:val="left"/>
      <w:pPr>
        <w:ind w:left="5844" w:hanging="366"/>
      </w:pPr>
      <w:rPr>
        <w:rFonts w:hint="default"/>
      </w:rPr>
    </w:lvl>
    <w:lvl w:ilvl="6">
      <w:start w:val="0"/>
      <w:numFmt w:val="bullet"/>
      <w:lvlText w:val="•"/>
      <w:lvlJc w:val="left"/>
      <w:pPr>
        <w:ind w:left="6885" w:hanging="366"/>
      </w:pPr>
      <w:rPr>
        <w:rFonts w:hint="default"/>
      </w:rPr>
    </w:lvl>
    <w:lvl w:ilvl="7">
      <w:start w:val="0"/>
      <w:numFmt w:val="bullet"/>
      <w:lvlText w:val="•"/>
      <w:lvlJc w:val="left"/>
      <w:pPr>
        <w:ind w:left="7926" w:hanging="366"/>
      </w:pPr>
      <w:rPr>
        <w:rFonts w:hint="default"/>
      </w:rPr>
    </w:lvl>
    <w:lvl w:ilvl="8">
      <w:start w:val="0"/>
      <w:numFmt w:val="bullet"/>
      <w:lvlText w:val="•"/>
      <w:lvlJc w:val="left"/>
      <w:pPr>
        <w:ind w:left="8967" w:hanging="366"/>
      </w:pPr>
      <w:rPr>
        <w:rFonts w:hint="default"/>
      </w:rPr>
    </w:lvl>
  </w:abstractNum>
  <w:abstractNum w:abstractNumId="3">
    <w:multiLevelType w:val="hybridMultilevel"/>
    <w:lvl w:ilvl="0">
      <w:start w:val="1"/>
      <w:numFmt w:val="decimal"/>
      <w:lvlText w:val="%1."/>
      <w:lvlJc w:val="left"/>
      <w:pPr>
        <w:ind w:left="631" w:hanging="360"/>
        <w:jc w:val="left"/>
      </w:pPr>
      <w:rPr>
        <w:rFonts w:hint="default" w:ascii="微軟正黑體" w:hAnsi="微軟正黑體" w:eastAsia="微軟正黑體" w:cs="微軟正黑體"/>
        <w:spacing w:val="-11"/>
        <w:w w:val="100"/>
        <w:sz w:val="24"/>
        <w:szCs w:val="24"/>
      </w:rPr>
    </w:lvl>
    <w:lvl w:ilvl="1">
      <w:start w:val="1"/>
      <w:numFmt w:val="decimal"/>
      <w:lvlText w:val="%1-%2"/>
      <w:lvlJc w:val="left"/>
      <w:pPr>
        <w:ind w:left="1093" w:hanging="508"/>
        <w:jc w:val="left"/>
      </w:pPr>
      <w:rPr>
        <w:rFonts w:hint="default" w:ascii="微軟正黑體" w:hAnsi="微軟正黑體" w:eastAsia="微軟正黑體" w:cs="微軟正黑體"/>
        <w:spacing w:val="-18"/>
        <w:w w:val="100"/>
        <w:sz w:val="24"/>
        <w:szCs w:val="24"/>
      </w:rPr>
    </w:lvl>
    <w:lvl w:ilvl="2">
      <w:start w:val="1"/>
      <w:numFmt w:val="decimal"/>
      <w:lvlText w:val="%1-%2-%3"/>
      <w:lvlJc w:val="left"/>
      <w:pPr>
        <w:ind w:left="1851" w:hanging="756"/>
        <w:jc w:val="left"/>
      </w:pPr>
      <w:rPr>
        <w:rFonts w:hint="default" w:ascii="微軟正黑體" w:hAnsi="微軟正黑體" w:eastAsia="微軟正黑體" w:cs="微軟正黑體"/>
        <w:spacing w:val="-30"/>
        <w:w w:val="96"/>
        <w:sz w:val="24"/>
        <w:szCs w:val="24"/>
      </w:rPr>
    </w:lvl>
    <w:lvl w:ilvl="3">
      <w:start w:val="0"/>
      <w:numFmt w:val="bullet"/>
      <w:lvlText w:val="•"/>
      <w:lvlJc w:val="left"/>
      <w:pPr>
        <w:ind w:left="3008" w:hanging="756"/>
      </w:pPr>
      <w:rPr>
        <w:rFonts w:hint="default"/>
      </w:rPr>
    </w:lvl>
    <w:lvl w:ilvl="4">
      <w:start w:val="0"/>
      <w:numFmt w:val="bullet"/>
      <w:lvlText w:val="•"/>
      <w:lvlJc w:val="left"/>
      <w:pPr>
        <w:ind w:left="4157" w:hanging="756"/>
      </w:pPr>
      <w:rPr>
        <w:rFonts w:hint="default"/>
      </w:rPr>
    </w:lvl>
    <w:lvl w:ilvl="5">
      <w:start w:val="0"/>
      <w:numFmt w:val="bullet"/>
      <w:lvlText w:val="•"/>
      <w:lvlJc w:val="left"/>
      <w:pPr>
        <w:ind w:left="5306" w:hanging="756"/>
      </w:pPr>
      <w:rPr>
        <w:rFonts w:hint="default"/>
      </w:rPr>
    </w:lvl>
    <w:lvl w:ilvl="6">
      <w:start w:val="0"/>
      <w:numFmt w:val="bullet"/>
      <w:lvlText w:val="•"/>
      <w:lvlJc w:val="left"/>
      <w:pPr>
        <w:ind w:left="6454" w:hanging="756"/>
      </w:pPr>
      <w:rPr>
        <w:rFonts w:hint="default"/>
      </w:rPr>
    </w:lvl>
    <w:lvl w:ilvl="7">
      <w:start w:val="0"/>
      <w:numFmt w:val="bullet"/>
      <w:lvlText w:val="•"/>
      <w:lvlJc w:val="left"/>
      <w:pPr>
        <w:ind w:left="7603" w:hanging="756"/>
      </w:pPr>
      <w:rPr>
        <w:rFonts w:hint="default"/>
      </w:rPr>
    </w:lvl>
    <w:lvl w:ilvl="8">
      <w:start w:val="0"/>
      <w:numFmt w:val="bullet"/>
      <w:lvlText w:val="•"/>
      <w:lvlJc w:val="left"/>
      <w:pPr>
        <w:ind w:left="8752" w:hanging="756"/>
      </w:pPr>
      <w:rPr>
        <w:rFonts w:hint="default"/>
      </w:rPr>
    </w:lvl>
  </w:abstractNum>
  <w:abstractNum w:abstractNumId="2">
    <w:multiLevelType w:val="hybridMultilevel"/>
    <w:lvl w:ilvl="0">
      <w:start w:val="2"/>
      <w:numFmt w:val="decimal"/>
      <w:lvlText w:val="%1"/>
      <w:lvlJc w:val="left"/>
      <w:pPr>
        <w:ind w:left="636" w:hanging="476"/>
        <w:jc w:val="left"/>
      </w:pPr>
      <w:rPr>
        <w:rFonts w:hint="default"/>
      </w:rPr>
    </w:lvl>
    <w:lvl w:ilvl="1">
      <w:start w:val="1"/>
      <w:numFmt w:val="decimal"/>
      <w:lvlText w:val="%1.%2"/>
      <w:lvlJc w:val="left"/>
      <w:pPr>
        <w:ind w:left="636" w:hanging="476"/>
        <w:jc w:val="left"/>
      </w:pPr>
      <w:rPr>
        <w:rFonts w:hint="default" w:ascii="微軟正黑體" w:hAnsi="微軟正黑體" w:eastAsia="微軟正黑體" w:cs="微軟正黑體"/>
        <w:b/>
        <w:bCs/>
        <w:spacing w:val="-3"/>
        <w:w w:val="99"/>
        <w:sz w:val="24"/>
        <w:szCs w:val="24"/>
      </w:rPr>
    </w:lvl>
    <w:lvl w:ilvl="2">
      <w:start w:val="1"/>
      <w:numFmt w:val="decimal"/>
      <w:lvlText w:val="%3."/>
      <w:lvlJc w:val="left"/>
      <w:pPr>
        <w:ind w:left="631" w:hanging="360"/>
        <w:jc w:val="left"/>
      </w:pPr>
      <w:rPr>
        <w:rFonts w:hint="default" w:ascii="微軟正黑體" w:hAnsi="微軟正黑體" w:eastAsia="微軟正黑體" w:cs="微軟正黑體"/>
        <w:spacing w:val="-28"/>
        <w:w w:val="100"/>
        <w:sz w:val="24"/>
        <w:szCs w:val="24"/>
      </w:rPr>
    </w:lvl>
    <w:lvl w:ilvl="3">
      <w:start w:val="1"/>
      <w:numFmt w:val="decimal"/>
      <w:lvlText w:val="%3-%4"/>
      <w:lvlJc w:val="left"/>
      <w:pPr>
        <w:ind w:left="1123" w:hanging="501"/>
        <w:jc w:val="left"/>
      </w:pPr>
      <w:rPr>
        <w:rFonts w:hint="default" w:ascii="微軟正黑體" w:hAnsi="微軟正黑體" w:eastAsia="微軟正黑體" w:cs="微軟正黑體"/>
        <w:spacing w:val="-27"/>
        <w:w w:val="100"/>
        <w:sz w:val="24"/>
        <w:szCs w:val="24"/>
      </w:rPr>
    </w:lvl>
    <w:lvl w:ilvl="4">
      <w:start w:val="0"/>
      <w:numFmt w:val="bullet"/>
      <w:lvlText w:val="•"/>
      <w:lvlJc w:val="left"/>
      <w:pPr>
        <w:ind w:left="4429" w:hanging="501"/>
      </w:pPr>
      <w:rPr>
        <w:rFonts w:hint="default"/>
      </w:rPr>
    </w:lvl>
    <w:lvl w:ilvl="5">
      <w:start w:val="0"/>
      <w:numFmt w:val="bullet"/>
      <w:lvlText w:val="•"/>
      <w:lvlJc w:val="left"/>
      <w:pPr>
        <w:ind w:left="5533" w:hanging="501"/>
      </w:pPr>
      <w:rPr>
        <w:rFonts w:hint="default"/>
      </w:rPr>
    </w:lvl>
    <w:lvl w:ilvl="6">
      <w:start w:val="0"/>
      <w:numFmt w:val="bullet"/>
      <w:lvlText w:val="•"/>
      <w:lvlJc w:val="left"/>
      <w:pPr>
        <w:ind w:left="6636" w:hanging="501"/>
      </w:pPr>
      <w:rPr>
        <w:rFonts w:hint="default"/>
      </w:rPr>
    </w:lvl>
    <w:lvl w:ilvl="7">
      <w:start w:val="0"/>
      <w:numFmt w:val="bullet"/>
      <w:lvlText w:val="•"/>
      <w:lvlJc w:val="left"/>
      <w:pPr>
        <w:ind w:left="7739" w:hanging="501"/>
      </w:pPr>
      <w:rPr>
        <w:rFonts w:hint="default"/>
      </w:rPr>
    </w:lvl>
    <w:lvl w:ilvl="8">
      <w:start w:val="0"/>
      <w:numFmt w:val="bullet"/>
      <w:lvlText w:val="•"/>
      <w:lvlJc w:val="left"/>
      <w:pPr>
        <w:ind w:left="8843" w:hanging="501"/>
      </w:pPr>
      <w:rPr>
        <w:rFonts w:hint="default"/>
      </w:rPr>
    </w:lvl>
  </w:abstractNum>
  <w:abstractNum w:abstractNumId="1">
    <w:multiLevelType w:val="hybridMultilevel"/>
    <w:lvl w:ilvl="0">
      <w:start w:val="1"/>
      <w:numFmt w:val="decimal"/>
      <w:lvlText w:val="%1."/>
      <w:lvlJc w:val="left"/>
      <w:pPr>
        <w:ind w:left="951" w:hanging="351"/>
        <w:jc w:val="left"/>
      </w:pPr>
      <w:rPr>
        <w:rFonts w:hint="default" w:ascii="微軟正黑體" w:hAnsi="微軟正黑體" w:eastAsia="微軟正黑體" w:cs="微軟正黑體"/>
        <w:spacing w:val="0"/>
        <w:w w:val="100"/>
        <w:sz w:val="23"/>
        <w:szCs w:val="23"/>
      </w:rPr>
    </w:lvl>
    <w:lvl w:ilvl="1">
      <w:start w:val="0"/>
      <w:numFmt w:val="bullet"/>
      <w:lvlText w:val="•"/>
      <w:lvlJc w:val="left"/>
      <w:pPr>
        <w:ind w:left="1968" w:hanging="351"/>
      </w:pPr>
      <w:rPr>
        <w:rFonts w:hint="default"/>
      </w:rPr>
    </w:lvl>
    <w:lvl w:ilvl="2">
      <w:start w:val="0"/>
      <w:numFmt w:val="bullet"/>
      <w:lvlText w:val="•"/>
      <w:lvlJc w:val="left"/>
      <w:pPr>
        <w:ind w:left="2977" w:hanging="351"/>
      </w:pPr>
      <w:rPr>
        <w:rFonts w:hint="default"/>
      </w:rPr>
    </w:lvl>
    <w:lvl w:ilvl="3">
      <w:start w:val="0"/>
      <w:numFmt w:val="bullet"/>
      <w:lvlText w:val="•"/>
      <w:lvlJc w:val="left"/>
      <w:pPr>
        <w:ind w:left="3986" w:hanging="351"/>
      </w:pPr>
      <w:rPr>
        <w:rFonts w:hint="default"/>
      </w:rPr>
    </w:lvl>
    <w:lvl w:ilvl="4">
      <w:start w:val="0"/>
      <w:numFmt w:val="bullet"/>
      <w:lvlText w:val="•"/>
      <w:lvlJc w:val="left"/>
      <w:pPr>
        <w:ind w:left="4995" w:hanging="351"/>
      </w:pPr>
      <w:rPr>
        <w:rFonts w:hint="default"/>
      </w:rPr>
    </w:lvl>
    <w:lvl w:ilvl="5">
      <w:start w:val="0"/>
      <w:numFmt w:val="bullet"/>
      <w:lvlText w:val="•"/>
      <w:lvlJc w:val="left"/>
      <w:pPr>
        <w:ind w:left="6004" w:hanging="351"/>
      </w:pPr>
      <w:rPr>
        <w:rFonts w:hint="default"/>
      </w:rPr>
    </w:lvl>
    <w:lvl w:ilvl="6">
      <w:start w:val="0"/>
      <w:numFmt w:val="bullet"/>
      <w:lvlText w:val="•"/>
      <w:lvlJc w:val="left"/>
      <w:pPr>
        <w:ind w:left="7013" w:hanging="351"/>
      </w:pPr>
      <w:rPr>
        <w:rFonts w:hint="default"/>
      </w:rPr>
    </w:lvl>
    <w:lvl w:ilvl="7">
      <w:start w:val="0"/>
      <w:numFmt w:val="bullet"/>
      <w:lvlText w:val="•"/>
      <w:lvlJc w:val="left"/>
      <w:pPr>
        <w:ind w:left="8022" w:hanging="351"/>
      </w:pPr>
      <w:rPr>
        <w:rFonts w:hint="default"/>
      </w:rPr>
    </w:lvl>
    <w:lvl w:ilvl="8">
      <w:start w:val="0"/>
      <w:numFmt w:val="bullet"/>
      <w:lvlText w:val="•"/>
      <w:lvlJc w:val="left"/>
      <w:pPr>
        <w:ind w:left="9031" w:hanging="351"/>
      </w:pPr>
      <w:rPr>
        <w:rFonts w:hint="default"/>
      </w:rPr>
    </w:lvl>
  </w:abstractNum>
  <w:abstractNum w:abstractNumId="0">
    <w:multiLevelType w:val="hybridMultilevel"/>
    <w:lvl w:ilvl="0">
      <w:start w:val="1"/>
      <w:numFmt w:val="decimal"/>
      <w:lvlText w:val="%1"/>
      <w:lvlJc w:val="left"/>
      <w:pPr>
        <w:ind w:left="675" w:hanging="515"/>
        <w:jc w:val="left"/>
      </w:pPr>
      <w:rPr>
        <w:rFonts w:hint="default"/>
      </w:rPr>
    </w:lvl>
    <w:lvl w:ilvl="1">
      <w:start w:val="1"/>
      <w:numFmt w:val="decimal"/>
      <w:lvlText w:val="%1.%2"/>
      <w:lvlJc w:val="left"/>
      <w:pPr>
        <w:ind w:left="675" w:hanging="515"/>
        <w:jc w:val="left"/>
      </w:pPr>
      <w:rPr>
        <w:rFonts w:hint="default" w:ascii="微軟正黑體" w:hAnsi="微軟正黑體" w:eastAsia="微軟正黑體" w:cs="微軟正黑體"/>
        <w:b/>
        <w:bCs/>
        <w:spacing w:val="-8"/>
        <w:w w:val="99"/>
        <w:sz w:val="24"/>
        <w:szCs w:val="24"/>
      </w:rPr>
    </w:lvl>
    <w:lvl w:ilvl="2">
      <w:start w:val="1"/>
      <w:numFmt w:val="decimal"/>
      <w:lvlText w:val="%1.%2.%3"/>
      <w:lvlJc w:val="left"/>
      <w:pPr>
        <w:ind w:left="930" w:hanging="659"/>
        <w:jc w:val="left"/>
      </w:pPr>
      <w:rPr>
        <w:rFonts w:hint="default" w:ascii="微軟正黑體" w:hAnsi="微軟正黑體" w:eastAsia="微軟正黑體" w:cs="微軟正黑體"/>
        <w:b/>
        <w:bCs/>
        <w:spacing w:val="-23"/>
        <w:w w:val="100"/>
        <w:sz w:val="24"/>
        <w:szCs w:val="24"/>
      </w:rPr>
    </w:lvl>
    <w:lvl w:ilvl="3">
      <w:start w:val="1"/>
      <w:numFmt w:val="decimal"/>
      <w:lvlText w:val="%4."/>
      <w:lvlJc w:val="left"/>
      <w:pPr>
        <w:ind w:left="1833" w:hanging="369"/>
        <w:jc w:val="left"/>
      </w:pPr>
      <w:rPr>
        <w:rFonts w:hint="default" w:ascii="微軟正黑體" w:hAnsi="微軟正黑體" w:eastAsia="微軟正黑體" w:cs="微軟正黑體"/>
        <w:spacing w:val="-7"/>
        <w:w w:val="100"/>
        <w:sz w:val="24"/>
        <w:szCs w:val="24"/>
      </w:rPr>
    </w:lvl>
    <w:lvl w:ilvl="4">
      <w:start w:val="0"/>
      <w:numFmt w:val="bullet"/>
      <w:lvlText w:val="•"/>
      <w:lvlJc w:val="left"/>
      <w:pPr>
        <w:ind w:left="1746" w:hanging="369"/>
      </w:pPr>
      <w:rPr>
        <w:rFonts w:hint="default"/>
      </w:rPr>
    </w:lvl>
    <w:lvl w:ilvl="5">
      <w:start w:val="0"/>
      <w:numFmt w:val="bullet"/>
      <w:lvlText w:val="•"/>
      <w:lvlJc w:val="left"/>
      <w:pPr>
        <w:ind w:left="1699" w:hanging="369"/>
      </w:pPr>
      <w:rPr>
        <w:rFonts w:hint="default"/>
      </w:rPr>
    </w:lvl>
    <w:lvl w:ilvl="6">
      <w:start w:val="0"/>
      <w:numFmt w:val="bullet"/>
      <w:lvlText w:val="•"/>
      <w:lvlJc w:val="left"/>
      <w:pPr>
        <w:ind w:left="1652" w:hanging="369"/>
      </w:pPr>
      <w:rPr>
        <w:rFonts w:hint="default"/>
      </w:rPr>
    </w:lvl>
    <w:lvl w:ilvl="7">
      <w:start w:val="0"/>
      <w:numFmt w:val="bullet"/>
      <w:lvlText w:val="•"/>
      <w:lvlJc w:val="left"/>
      <w:pPr>
        <w:ind w:left="1605" w:hanging="369"/>
      </w:pPr>
      <w:rPr>
        <w:rFonts w:hint="default"/>
      </w:rPr>
    </w:lvl>
    <w:lvl w:ilvl="8">
      <w:start w:val="0"/>
      <w:numFmt w:val="bullet"/>
      <w:lvlText w:val="•"/>
      <w:lvlJc w:val="left"/>
      <w:pPr>
        <w:ind w:left="1558" w:hanging="369"/>
      </w:pPr>
      <w:rPr>
        <w:rFonts w:hint="default"/>
      </w:rPr>
    </w:lvl>
  </w:abstract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微軟正黑體" w:hAnsi="微軟正黑體" w:eastAsia="微軟正黑體" w:cs="微軟正黑體"/>
    </w:rPr>
  </w:style>
  <w:style w:styleId="BodyText" w:type="paragraph">
    <w:name w:val="Body Text"/>
    <w:basedOn w:val="Normal"/>
    <w:uiPriority w:val="1"/>
    <w:qFormat/>
    <w:pPr/>
    <w:rPr>
      <w:rFonts w:ascii="微軟正黑體" w:hAnsi="微軟正黑體" w:eastAsia="微軟正黑體" w:cs="微軟正黑體"/>
      <w:sz w:val="24"/>
      <w:szCs w:val="24"/>
    </w:rPr>
  </w:style>
  <w:style w:styleId="Heading1" w:type="paragraph">
    <w:name w:val="Heading 1"/>
    <w:basedOn w:val="Normal"/>
    <w:uiPriority w:val="1"/>
    <w:qFormat/>
    <w:pPr>
      <w:spacing w:line="670" w:lineRule="exact"/>
      <w:outlineLvl w:val="1"/>
    </w:pPr>
    <w:rPr>
      <w:rFonts w:ascii="微軟正黑體" w:hAnsi="微軟正黑體" w:eastAsia="微軟正黑體" w:cs="微軟正黑體"/>
      <w:b/>
      <w:bCs/>
      <w:sz w:val="37"/>
      <w:szCs w:val="37"/>
    </w:rPr>
  </w:style>
  <w:style w:styleId="Heading2" w:type="paragraph">
    <w:name w:val="Heading 2"/>
    <w:basedOn w:val="Normal"/>
    <w:uiPriority w:val="1"/>
    <w:qFormat/>
    <w:pPr>
      <w:ind w:left="275"/>
      <w:outlineLvl w:val="2"/>
    </w:pPr>
    <w:rPr>
      <w:rFonts w:ascii="微軟正黑體" w:hAnsi="微軟正黑體" w:eastAsia="微軟正黑體" w:cs="微軟正黑體"/>
      <w:b/>
      <w:bCs/>
      <w:sz w:val="32"/>
      <w:szCs w:val="32"/>
    </w:rPr>
  </w:style>
  <w:style w:styleId="Heading3" w:type="paragraph">
    <w:name w:val="Heading 3"/>
    <w:basedOn w:val="Normal"/>
    <w:uiPriority w:val="1"/>
    <w:qFormat/>
    <w:pPr>
      <w:spacing w:before="127"/>
      <w:ind w:left="117" w:firstLine="567"/>
      <w:jc w:val="both"/>
      <w:outlineLvl w:val="3"/>
    </w:pPr>
    <w:rPr>
      <w:rFonts w:ascii="微軟正黑體" w:hAnsi="微軟正黑體" w:eastAsia="微軟正黑體" w:cs="微軟正黑體"/>
      <w:b/>
      <w:bCs/>
      <w:sz w:val="28"/>
      <w:szCs w:val="28"/>
    </w:rPr>
  </w:style>
  <w:style w:styleId="Heading4" w:type="paragraph">
    <w:name w:val="Heading 4"/>
    <w:basedOn w:val="Normal"/>
    <w:uiPriority w:val="1"/>
    <w:qFormat/>
    <w:pPr>
      <w:ind w:left="398"/>
      <w:outlineLvl w:val="4"/>
    </w:pPr>
    <w:rPr>
      <w:rFonts w:ascii="微軟正黑體" w:hAnsi="微軟正黑體" w:eastAsia="微軟正黑體" w:cs="微軟正黑體"/>
      <w:sz w:val="28"/>
      <w:szCs w:val="28"/>
    </w:rPr>
  </w:style>
  <w:style w:styleId="Heading5" w:type="paragraph">
    <w:name w:val="Heading 5"/>
    <w:basedOn w:val="Normal"/>
    <w:uiPriority w:val="1"/>
    <w:qFormat/>
    <w:pPr>
      <w:spacing w:before="7"/>
      <w:ind w:left="78"/>
      <w:jc w:val="center"/>
      <w:outlineLvl w:val="5"/>
    </w:pPr>
    <w:rPr>
      <w:rFonts w:ascii="微軟正黑體" w:hAnsi="微軟正黑體" w:eastAsia="微軟正黑體" w:cs="微軟正黑體"/>
      <w:b/>
      <w:bCs/>
      <w:sz w:val="26"/>
      <w:szCs w:val="26"/>
    </w:rPr>
  </w:style>
  <w:style w:styleId="Heading6" w:type="paragraph">
    <w:name w:val="Heading 6"/>
    <w:basedOn w:val="Normal"/>
    <w:uiPriority w:val="1"/>
    <w:qFormat/>
    <w:pPr>
      <w:ind w:left="648"/>
      <w:outlineLvl w:val="6"/>
    </w:pPr>
    <w:rPr>
      <w:rFonts w:ascii="微軟正黑體" w:hAnsi="微軟正黑體" w:eastAsia="微軟正黑體" w:cs="微軟正黑體"/>
      <w:b/>
      <w:bCs/>
      <w:sz w:val="25"/>
      <w:szCs w:val="25"/>
    </w:rPr>
  </w:style>
  <w:style w:styleId="Heading7" w:type="paragraph">
    <w:name w:val="Heading 7"/>
    <w:basedOn w:val="Normal"/>
    <w:uiPriority w:val="1"/>
    <w:qFormat/>
    <w:pPr>
      <w:ind w:left="931"/>
      <w:jc w:val="both"/>
      <w:outlineLvl w:val="7"/>
    </w:pPr>
    <w:rPr>
      <w:rFonts w:ascii="微軟正黑體" w:hAnsi="微軟正黑體" w:eastAsia="微軟正黑體" w:cs="微軟正黑體"/>
      <w:b/>
      <w:bCs/>
      <w:sz w:val="24"/>
      <w:szCs w:val="24"/>
    </w:rPr>
  </w:style>
  <w:style w:styleId="ListParagraph" w:type="paragraph">
    <w:name w:val="List Paragraph"/>
    <w:basedOn w:val="Normal"/>
    <w:uiPriority w:val="1"/>
    <w:qFormat/>
    <w:pPr>
      <w:ind w:left="1449" w:hanging="489"/>
      <w:jc w:val="both"/>
    </w:pPr>
    <w:rPr>
      <w:rFonts w:ascii="微軟正黑體" w:hAnsi="微軟正黑體" w:eastAsia="微軟正黑體" w:cs="微軟正黑體"/>
    </w:rPr>
  </w:style>
  <w:style w:styleId="TableParagraph" w:type="paragraph">
    <w:name w:val="Table Paragraph"/>
    <w:basedOn w:val="Normal"/>
    <w:uiPriority w:val="1"/>
    <w:qFormat/>
    <w:pPr/>
    <w:rPr>
      <w:rFonts w:ascii="微軟正黑體" w:hAnsi="微軟正黑體" w:eastAsia="微軟正黑體" w:cs="微軟正黑體"/>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hyperlink" Target="http://www.cdc.gov.tw/File/Get/jo3E819KTQnK9fuuUdrSxQ)" TargetMode="External"/><Relationship Id="rId14" Type="http://schemas.openxmlformats.org/officeDocument/2006/relationships/hyperlink" Target="http://apps.who.int/iris/bitstream/10665/44165/1/9789241547833_eng.pdf" TargetMode="External"/><Relationship Id="rId15" Type="http://schemas.openxmlformats.org/officeDocument/2006/relationships/hyperlink" Target="http://whqlibdoc.who.int/publications/2008/9789241547581_eng.pdf?ua=1" TargetMode="External"/><Relationship Id="rId16" Type="http://schemas.openxmlformats.org/officeDocument/2006/relationships/hyperlink" Target="http://apps.who.int/iris/bitstream/10665/79199/1/9789241505345_eng.pdf?ua=1" TargetMode="External"/><Relationship Id="rId17" Type="http://schemas.openxmlformats.org/officeDocument/2006/relationships/hyperlink" Target="https://www.who.int/publications/i/item/9789240007048" TargetMode="External"/><Relationship Id="rId18" Type="http://schemas.openxmlformats.org/officeDocument/2006/relationships/hyperlink" Target="https://www.who.int/publications/i/item/meeting-report-of-the-who-expert-consultation-on-the-definition-of-extensively-drug-resistant-tuberculosis" TargetMode="External"/><Relationship Id="rId19" Type="http://schemas.openxmlformats.org/officeDocument/2006/relationships/hyperlink" Target="http://www.who.int/tb/publications/global_report/high_tb_burdencountrylists2016-2020.pdf" TargetMode="External"/><Relationship Id="rId20" Type="http://schemas.openxmlformats.org/officeDocument/2006/relationships/hyperlink" Target="http://www.who.int/tb/publications/ISTC_3rdEd.pdf" TargetMode="External"/><Relationship Id="rId21" Type="http://schemas.openxmlformats.org/officeDocument/2006/relationships/hyperlink" Target="http://www.who.int/iris/bitstream/10665/112469/1/9789241506700_eng.pdf?ua=1" TargetMode="External"/><Relationship Id="rId22" Type="http://schemas.openxmlformats.org/officeDocument/2006/relationships/hyperlink" Target="http://www.stoptb.org/wg/gli/assets/documents/LPA_test_web_ready.pdf" TargetMode="External"/><Relationship Id="rId23" Type="http://schemas.openxmlformats.org/officeDocument/2006/relationships/hyperlink" Target="https://www.who.int/publications/i/item/WHO-CDS-TB-2018.5" TargetMode="External"/><Relationship Id="rId24" Type="http://schemas.openxmlformats.org/officeDocument/2006/relationships/hyperlink" Target="https://www.who.int/publications/i/item/9789241514842" TargetMode="External"/><Relationship Id="rId25" Type="http://schemas.openxmlformats.org/officeDocument/2006/relationships/hyperlink" Target="https://www.who.int/publications/i/item/9789240028173" TargetMode="External"/><Relationship Id="rId26" Type="http://schemas.openxmlformats.org/officeDocument/2006/relationships/hyperlink" Target="https://www.who.int/publications/i/item/9789240029415" TargetMode="External"/><Relationship Id="rId27" Type="http://schemas.openxmlformats.org/officeDocument/2006/relationships/footer" Target="footer7.xml"/><Relationship Id="rId28" Type="http://schemas.openxmlformats.org/officeDocument/2006/relationships/image" Target="media/image3.png"/><Relationship Id="rId29" Type="http://schemas.openxmlformats.org/officeDocument/2006/relationships/footer" Target="footer8.xml"/><Relationship Id="rId30" Type="http://schemas.openxmlformats.org/officeDocument/2006/relationships/hyperlink" Target="http://whqlibdoc.who.int/publications/2010/9789241547833_eng.pdf" TargetMode="External"/><Relationship Id="rId31" Type="http://schemas.openxmlformats.org/officeDocument/2006/relationships/hyperlink" Target="http://apps.who.int/iris/bitstream/10665/69366/1/WHO_HTM_TB_2006.365_eng.pdf?ua=1&amp;amp%3Bua=1" TargetMode="External"/><Relationship Id="rId32" Type="http://schemas.openxmlformats.org/officeDocument/2006/relationships/hyperlink" Target="https://pubmed.ncbi.nlm.nih.gov/?term=Ba%C3%A7%C3%A7io%C4%9Flu%2BA&amp;cauthor_id=16517138" TargetMode="External"/><Relationship Id="rId33" Type="http://schemas.openxmlformats.org/officeDocument/2006/relationships/hyperlink" Target="https://pubmed.ncbi.nlm.nih.gov/?term=Acican%2BT&amp;cauthor_id=16517138" TargetMode="External"/><Relationship Id="rId34" Type="http://schemas.openxmlformats.org/officeDocument/2006/relationships/hyperlink" Target="http://www.who.int/tb/areas-of-work/drug-resistant-tb/MDRTBguidelines2016.pdf" TargetMode="External"/><Relationship Id="rId35" Type="http://schemas.openxmlformats.org/officeDocument/2006/relationships/image" Target="media/image4.png"/><Relationship Id="rId36" Type="http://schemas.openxmlformats.org/officeDocument/2006/relationships/image" Target="media/image5.png"/><Relationship Id="rId37" Type="http://schemas.openxmlformats.org/officeDocument/2006/relationships/hyperlink" Target="http://apps.who.int/iris/bitstream/10665/130918/1/9789241548809_eng.pdf" TargetMode="External"/><Relationship Id="rId38" Type="http://schemas.openxmlformats.org/officeDocument/2006/relationships/hyperlink" Target="http://apps.who.int/iris/bitstream/10665/250125/1/9789241549639-eng.pdf" TargetMode="External"/><Relationship Id="rId39" Type="http://schemas.openxmlformats.org/officeDocument/2006/relationships/footer" Target="footer9.xml"/><Relationship Id="rId40" Type="http://schemas.openxmlformats.org/officeDocument/2006/relationships/image" Target="media/image6.png"/><Relationship Id="rId41" Type="http://schemas.openxmlformats.org/officeDocument/2006/relationships/hyperlink" Target="mailto:pharmacy@mail.tainantb.gov.tw" TargetMode="External"/><Relationship Id="rId42" Type="http://schemas.openxmlformats.org/officeDocument/2006/relationships/hyperlink" Target="mailto:wenfang@cdc.gov.tw" TargetMode="External"/><Relationship Id="rId43" Type="http://schemas.openxmlformats.org/officeDocument/2006/relationships/hyperlink" Target="mailto:tin@cdc.gov.tw" TargetMode="External"/><Relationship Id="rId44" Type="http://schemas.openxmlformats.org/officeDocument/2006/relationships/hyperlink" Target="mailto:chen@cdc.gov.tw" TargetMode="External"/><Relationship Id="rId45" Type="http://schemas.openxmlformats.org/officeDocument/2006/relationships/hyperlink" Target="mailto:sammi4869@cdc.gov.tw" TargetMode="External"/><Relationship Id="rId46" Type="http://schemas.openxmlformats.org/officeDocument/2006/relationships/hyperlink" Target="mailto:yuting@cdc.gov.tw" TargetMode="External"/><Relationship Id="rId47" Type="http://schemas.openxmlformats.org/officeDocument/2006/relationships/hyperlink" Target="mailto:wendy80215@cdc.gov.tw" TargetMode="External"/><Relationship Id="rId48" Type="http://schemas.openxmlformats.org/officeDocument/2006/relationships/footer" Target="footer10.xml"/><Relationship Id="rId49" Type="http://schemas.openxmlformats.org/officeDocument/2006/relationships/image" Target="media/image7.png"/><Relationship Id="rId50" Type="http://schemas.openxmlformats.org/officeDocument/2006/relationships/footer" Target="footer11.xml"/><Relationship Id="rId51" Type="http://schemas.openxmlformats.org/officeDocument/2006/relationships/footer" Target="footer12.xml"/><Relationship Id="rId52" Type="http://schemas.openxmlformats.org/officeDocument/2006/relationships/hyperlink" Target="http://www.who.int/tb/publications/childtb_guidelines/en/" TargetMode="External"/><Relationship Id="rId53" Type="http://schemas.openxmlformats.org/officeDocument/2006/relationships/hyperlink" Target="http://apps.who.int/iris/handle/10665/44444?locale=en&amp;amp%3Bnull" TargetMode="External"/><Relationship Id="rId54" Type="http://schemas.openxmlformats.org/officeDocument/2006/relationships/hyperlink" Target="http://www.who.int/tb/areas-of-work/children/en/" TargetMode="External"/><Relationship Id="rId55" Type="http://schemas.openxmlformats.org/officeDocument/2006/relationships/hyperlink" Target="https://www.kncvtbc.org/en/2018/10/25/simple-kncv-stool-test-break-through-for-childhood-tb/" TargetMode="External"/><Relationship Id="rId56" Type="http://schemas.openxmlformats.org/officeDocument/2006/relationships/footer" Target="footer13.xml"/><Relationship Id="rId57" Type="http://schemas.openxmlformats.org/officeDocument/2006/relationships/image" Target="media/image8.jpeg"/><Relationship Id="rId58" Type="http://schemas.openxmlformats.org/officeDocument/2006/relationships/footer" Target="footer14.xml"/><Relationship Id="rId59" Type="http://schemas.openxmlformats.org/officeDocument/2006/relationships/hyperlink" Target="http://www.aidsinfo.nih.gov/contentfiles/lvguidelines/adultandadolescentgl.pdf" TargetMode="External"/><Relationship Id="rId60" Type="http://schemas.openxmlformats.org/officeDocument/2006/relationships/hyperlink" Target="http://www.ncbi.nlm.nih.gov/pubmed?term=%22Abdool%20Karim%20SS%22%5BAuthor%5D" TargetMode="External"/><Relationship Id="rId61" Type="http://schemas.openxmlformats.org/officeDocument/2006/relationships/hyperlink" Target="http://www.ncbi.nlm.nih.gov/pubmed?term=%22Naidoo%20K%22%5BAuthor%5D" TargetMode="External"/><Relationship Id="rId62" Type="http://schemas.openxmlformats.org/officeDocument/2006/relationships/hyperlink" Target="http://www.ncbi.nlm.nih.gov/pubmed?term=%22Grobler%20A%22%5BAuthor%5D" TargetMode="External"/><Relationship Id="rId63" Type="http://schemas.openxmlformats.org/officeDocument/2006/relationships/image" Target="media/image9.png"/><Relationship Id="rId64" Type="http://schemas.openxmlformats.org/officeDocument/2006/relationships/footer" Target="footer15.xml"/><Relationship Id="rId65" Type="http://schemas.openxmlformats.org/officeDocument/2006/relationships/image" Target="media/image10.png"/><Relationship Id="rId66" Type="http://schemas.openxmlformats.org/officeDocument/2006/relationships/footer" Target="footer16.xml"/><Relationship Id="rId67" Type="http://schemas.openxmlformats.org/officeDocument/2006/relationships/hyperlink" Target="http://www.who.int/tb/publications/ltbi_document_page/en/" TargetMode="External"/><Relationship Id="rId68" Type="http://schemas.openxmlformats.org/officeDocument/2006/relationships/hyperlink" Target="http://www.nejm.org/doi/suppl/10.1056/NEJMoa1104875/suppl_file/" TargetMode="External"/><Relationship Id="rId69" Type="http://schemas.openxmlformats.org/officeDocument/2006/relationships/hyperlink" Target="http://capetown.worldlunghealth.org/Abstract_Book_2015-Web.pdf" TargetMode="External"/><Relationship Id="rId70" Type="http://schemas.openxmlformats.org/officeDocument/2006/relationships/hyperlink" Target="http://www.who.int/tb/publications/2018/latent-tuberculosis-infection/en/" TargetMode="External"/><Relationship Id="rId71" Type="http://schemas.openxmlformats.org/officeDocument/2006/relationships/hyperlink" Target="https://www.cdc.gov/tb/publications/ltbi/treatment.htm" TargetMode="External"/><Relationship Id="rId72" Type="http://schemas.openxmlformats.org/officeDocument/2006/relationships/hyperlink" Target="https://doi.org/10.25560/82532" TargetMode="External"/><Relationship Id="rId73" Type="http://schemas.openxmlformats.org/officeDocument/2006/relationships/hyperlink" Target="https://www.tdrf.org.tw/2019/03/21/safety02-18/" TargetMode="External"/><Relationship Id="rId74" Type="http://schemas.openxmlformats.org/officeDocument/2006/relationships/hyperlink" Target="https://www.currytbcenter.ucsf.edu/products/view/drug-resistant-tuberculosis-survival-guide-clinicians-3rd-edition" TargetMode="External"/><Relationship Id="rId75" Type="http://schemas.openxmlformats.org/officeDocument/2006/relationships/hyperlink" Target="https://www.atsjournals.org/doi/full/10.1164/rccm.v201erratum2" TargetMode="External"/><Relationship Id="rId76" Type="http://schemas.openxmlformats.org/officeDocument/2006/relationships/image" Target="media/image11.png"/><Relationship Id="rId77" Type="http://schemas.openxmlformats.org/officeDocument/2006/relationships/image" Target="media/image12.png"/><Relationship Id="rId78" Type="http://schemas.openxmlformats.org/officeDocument/2006/relationships/image" Target="media/image13.png"/><Relationship Id="rId79" Type="http://schemas.openxmlformats.org/officeDocument/2006/relationships/hyperlink" Target="http://apps.who.int/iris/bitstream/10665/67890/1/WHO_CDS_TB_2003.313_eng.pdf?ua=1&amp;amp%3Bua=1" TargetMode="External"/><Relationship Id="rId80" Type="http://schemas.openxmlformats.org/officeDocument/2006/relationships/hyperlink" Target="http://whqlibdoc.who.int/hq/2004/WHO_HTM_TB_2004.338.pdf?ua=1&amp;amp%3Bua=1" TargetMode="External"/><Relationship Id="rId81" Type="http://schemas.openxmlformats.org/officeDocument/2006/relationships/image" Target="media/image14.png"/><Relationship Id="rId82" Type="http://schemas.openxmlformats.org/officeDocument/2006/relationships/hyperlink" Target="https://www.ncbi.nlm.nih.gov/pubmed/?term=Chiang%20CY%5BAuthor%5D&amp;cauthor=true&amp;cauthor_uid=20487603" TargetMode="External"/><Relationship Id="rId83" Type="http://schemas.openxmlformats.org/officeDocument/2006/relationships/hyperlink" Target="https://www.ncbi.nlm.nih.gov/pubmed/?term=Schaaf%20HS%5BAuthor%5D&amp;cauthor=true&amp;cauthor_uid=20487603" TargetMode="External"/><Relationship Id="rId84" Type="http://schemas.openxmlformats.org/officeDocument/2006/relationships/hyperlink" Target="http://www.who.int/tb/WHOPolicyStatementSLLPA.pdf" TargetMode="External"/><Relationship Id="rId85" Type="http://schemas.openxmlformats.org/officeDocument/2006/relationships/hyperlink" Target="http://www.who.int/news/item/27-01-2021-who-announces-" TargetMode="External"/><Relationship Id="rId86" Type="http://schemas.openxmlformats.org/officeDocument/2006/relationships/hyperlink" Target="http://www.stoptb.org/wg/dots_expansion/childhoodtb/assets/documents/Updated_DRTB-Field-Guide-2019-V3.pdf" TargetMode="External"/><Relationship Id="rId87" Type="http://schemas.openxmlformats.org/officeDocument/2006/relationships/hyperlink" Target="https://apps.who.int/iris/bitstream/handle/10665/311389/9789241550529-eng.pdf?ua=1" TargetMode="External"/><Relationship Id="rId88" Type="http://schemas.openxmlformats.org/officeDocument/2006/relationships/hyperlink" Target="https://apps.who.int/iris/bitstream/handle/10665/250614/9789241549899-eng.pdf?sequence=1" TargetMode="External"/><Relationship Id="rId89" Type="http://schemas.openxmlformats.org/officeDocument/2006/relationships/footer" Target="footer17.xml"/><Relationship Id="rId90" Type="http://schemas.openxmlformats.org/officeDocument/2006/relationships/hyperlink" Target="http://www.cdc.gov.tw/" TargetMode="External"/><Relationship Id="rId91" Type="http://schemas.openxmlformats.org/officeDocument/2006/relationships/hyperlink" Target="http://www.govbooks.com.tw/" TargetMode="External"/><Relationship Id="rId92" Type="http://schemas.openxmlformats.org/officeDocument/2006/relationships/hyperlink" Target="http://www.eslitebooks.com/" TargetMode="External"/><Relationship Id="rId93" Type="http://schemas.openxmlformats.org/officeDocument/2006/relationships/hyperlink" Target="http://www.books.com.tw/" TargetMode="External"/><Relationship Id="rId9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2026-04-24T07:23:58Z</dcterms:created>
  <dcterms:modified xsi:type="dcterms:W3CDTF">2026-04-24T07:23:58Z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Creator">
    <vt:lpwstr>Acrobat PDFMaker 17 Word 版</vt:lpwstr>
  </property>
  <property fmtid="{D5CDD505-2E9C-101B-9397-08002B2CF9AE}" pid="4" name="LastSaved">
    <vt:filetime>2026-04-24T00:00:00Z</vt:filetime>
  </property>
</Properties>
</file>